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F14D3" w14:textId="77777777" w:rsidR="003E0D5B" w:rsidRDefault="003E0D5B">
      <w:pPr>
        <w:pStyle w:val="Nadpis1"/>
      </w:pPr>
    </w:p>
    <w:p w14:paraId="46CE911C" w14:textId="77777777" w:rsidR="007003C8" w:rsidRPr="008E598A" w:rsidRDefault="00367703">
      <w:pPr>
        <w:pStyle w:val="Nadpis1"/>
      </w:pPr>
      <w:r w:rsidRPr="008E598A">
        <w:t>OKRES PRAHA-</w:t>
      </w:r>
      <w:r w:rsidR="007003C8" w:rsidRPr="008E598A">
        <w:t>VÝCHOD</w:t>
      </w:r>
    </w:p>
    <w:p w14:paraId="7DA1AA52" w14:textId="77777777" w:rsidR="007003C8" w:rsidRPr="008E598A" w:rsidRDefault="007003C8">
      <w:pPr>
        <w:rPr>
          <w:rFonts w:eastAsia="MS Mincho"/>
          <w:sz w:val="20"/>
        </w:rPr>
      </w:pPr>
    </w:p>
    <w:p w14:paraId="3E10131C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Okres</w:t>
      </w:r>
      <w:r w:rsidR="00A73ACA" w:rsidRPr="008E598A">
        <w:rPr>
          <w:rFonts w:eastAsia="MS Mincho"/>
          <w:sz w:val="20"/>
        </w:rPr>
        <w:t xml:space="preserve"> Praha-východ sousedí na západě</w:t>
      </w:r>
      <w:r w:rsidR="00334E10" w:rsidRPr="008E598A">
        <w:rPr>
          <w:rFonts w:eastAsia="MS Mincho"/>
          <w:sz w:val="20"/>
        </w:rPr>
        <w:t xml:space="preserve"> s h</w:t>
      </w:r>
      <w:r w:rsidRPr="008E598A">
        <w:rPr>
          <w:rFonts w:eastAsia="MS Mincho"/>
          <w:sz w:val="20"/>
        </w:rPr>
        <w:t>lavním městem Prahou a okresem Prah</w:t>
      </w:r>
      <w:r w:rsidR="008022CA" w:rsidRPr="008E598A">
        <w:rPr>
          <w:rFonts w:eastAsia="MS Mincho"/>
          <w:sz w:val="20"/>
        </w:rPr>
        <w:t>a</w:t>
      </w:r>
      <w:r w:rsidRPr="008E598A">
        <w:rPr>
          <w:rFonts w:eastAsia="MS Mincho"/>
          <w:sz w:val="20"/>
        </w:rPr>
        <w:t>-západ, na jihu s</w:t>
      </w:r>
      <w:r w:rsidR="00E973D0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Benešo</w:t>
      </w:r>
      <w:r w:rsidR="00A73ACA" w:rsidRPr="008E598A">
        <w:rPr>
          <w:rFonts w:eastAsia="MS Mincho"/>
          <w:sz w:val="20"/>
        </w:rPr>
        <w:t>vskem, na východě s </w:t>
      </w:r>
      <w:r w:rsidRPr="008E598A">
        <w:rPr>
          <w:rFonts w:eastAsia="MS Mincho"/>
          <w:sz w:val="20"/>
        </w:rPr>
        <w:t>Nymburskem</w:t>
      </w:r>
      <w:r w:rsidR="00A73ACA" w:rsidRPr="008E598A">
        <w:rPr>
          <w:rFonts w:eastAsia="MS Mincho"/>
          <w:sz w:val="20"/>
        </w:rPr>
        <w:t>, Kolínskem a Kutnohorskem</w:t>
      </w:r>
      <w:r w:rsidRPr="008E598A">
        <w:rPr>
          <w:rFonts w:eastAsia="MS Mincho"/>
          <w:sz w:val="20"/>
        </w:rPr>
        <w:t xml:space="preserve"> a konečně na severu s</w:t>
      </w:r>
      <w:r w:rsidR="00A73ACA" w:rsidRPr="008E598A">
        <w:rPr>
          <w:rFonts w:eastAsia="MS Mincho"/>
          <w:sz w:val="20"/>
        </w:rPr>
        <w:t> okresy Mladá Boleslav a Mělník</w:t>
      </w:r>
      <w:r w:rsidRPr="008E598A">
        <w:rPr>
          <w:rFonts w:eastAsia="MS Mincho"/>
          <w:sz w:val="20"/>
        </w:rPr>
        <w:t>.</w:t>
      </w:r>
    </w:p>
    <w:p w14:paraId="09B9F4D0" w14:textId="7F3DA0AD" w:rsidR="00FA3604" w:rsidRPr="006B5E88" w:rsidRDefault="00FA3604" w:rsidP="008D49A6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 xml:space="preserve">Svojí </w:t>
      </w:r>
      <w:r w:rsidRPr="006B5E88">
        <w:rPr>
          <w:rFonts w:eastAsia="MS Mincho"/>
          <w:sz w:val="20"/>
        </w:rPr>
        <w:t>rozlohou 755 km</w:t>
      </w:r>
      <w:r w:rsidRPr="006B5E88">
        <w:rPr>
          <w:rFonts w:eastAsia="MS Mincho"/>
          <w:sz w:val="20"/>
          <w:vertAlign w:val="superscript"/>
        </w:rPr>
        <w:t>2</w:t>
      </w:r>
      <w:r w:rsidRPr="006B5E88">
        <w:rPr>
          <w:rFonts w:eastAsia="MS Mincho"/>
          <w:sz w:val="20"/>
        </w:rPr>
        <w:t xml:space="preserve"> zaujímá okres 7. místo ve Středočeském kraji a 6,9 % z jeho rozlohy</w:t>
      </w:r>
      <w:r w:rsidR="001502A2" w:rsidRPr="006B5E88">
        <w:rPr>
          <w:rFonts w:eastAsia="MS Mincho"/>
          <w:sz w:val="20"/>
        </w:rPr>
        <w:t>.</w:t>
      </w:r>
      <w:r w:rsidR="005736AB" w:rsidRPr="006B5E88">
        <w:rPr>
          <w:rFonts w:eastAsia="MS Mincho"/>
          <w:sz w:val="20"/>
        </w:rPr>
        <w:t xml:space="preserve"> Zemědělská půda zabírá 6</w:t>
      </w:r>
      <w:r w:rsidR="000179A7" w:rsidRPr="006B5E88">
        <w:rPr>
          <w:rFonts w:eastAsia="MS Mincho"/>
          <w:sz w:val="20"/>
        </w:rPr>
        <w:t>2,</w:t>
      </w:r>
      <w:r w:rsidR="002D2FD6" w:rsidRPr="006B5E88">
        <w:rPr>
          <w:rFonts w:eastAsia="MS Mincho"/>
          <w:sz w:val="20"/>
        </w:rPr>
        <w:t>8</w:t>
      </w:r>
      <w:r w:rsidRPr="006B5E88">
        <w:rPr>
          <w:rFonts w:eastAsia="MS Mincho"/>
          <w:sz w:val="20"/>
        </w:rPr>
        <w:t xml:space="preserve"> % a lesy 22,5 % z rozlohy okresu. </w:t>
      </w:r>
      <w:r w:rsidR="00AC7B00" w:rsidRPr="006B5E88">
        <w:rPr>
          <w:rFonts w:eastAsia="MS Mincho"/>
          <w:sz w:val="20"/>
        </w:rPr>
        <w:t>N</w:t>
      </w:r>
      <w:r w:rsidR="00094206" w:rsidRPr="006B5E88">
        <w:rPr>
          <w:rFonts w:eastAsia="MS Mincho"/>
          <w:sz w:val="20"/>
        </w:rPr>
        <w:t xml:space="preserve">ejvyšším počtem obyvatel </w:t>
      </w:r>
      <w:r w:rsidR="006B5E88" w:rsidRPr="006B5E88">
        <w:rPr>
          <w:rFonts w:eastAsia="MS Mincho"/>
          <w:sz w:val="20"/>
        </w:rPr>
        <w:t>204</w:t>
      </w:r>
      <w:r w:rsidR="00C517D0" w:rsidRPr="006B5E88">
        <w:rPr>
          <w:rFonts w:eastAsia="MS Mincho"/>
          <w:sz w:val="20"/>
        </w:rPr>
        <w:t>,</w:t>
      </w:r>
      <w:r w:rsidR="006B5E88" w:rsidRPr="006B5E88">
        <w:rPr>
          <w:rFonts w:eastAsia="MS Mincho"/>
          <w:sz w:val="20"/>
        </w:rPr>
        <w:t>5</w:t>
      </w:r>
      <w:r w:rsidR="00094206" w:rsidRPr="006B5E88">
        <w:rPr>
          <w:rFonts w:eastAsia="MS Mincho"/>
          <w:sz w:val="20"/>
        </w:rPr>
        <w:t xml:space="preserve"> tisíc </w:t>
      </w:r>
      <w:r w:rsidR="006B5E88" w:rsidRPr="006B5E88">
        <w:rPr>
          <w:rFonts w:eastAsia="MS Mincho"/>
          <w:sz w:val="20"/>
        </w:rPr>
        <w:t>(14</w:t>
      </w:r>
      <w:r w:rsidR="00A23A2F" w:rsidRPr="006B5E88">
        <w:rPr>
          <w:rFonts w:eastAsia="MS Mincho"/>
          <w:sz w:val="20"/>
        </w:rPr>
        <w:t xml:space="preserve"> % obyvatel kraje) </w:t>
      </w:r>
      <w:r w:rsidR="001A3B29" w:rsidRPr="006B5E88">
        <w:rPr>
          <w:rFonts w:eastAsia="MS Mincho"/>
          <w:sz w:val="20"/>
        </w:rPr>
        <w:t>a</w:t>
      </w:r>
      <w:r w:rsidR="001502A2" w:rsidRPr="006B5E88">
        <w:rPr>
          <w:rFonts w:eastAsia="MS Mincho"/>
          <w:sz w:val="20"/>
        </w:rPr>
        <w:t> </w:t>
      </w:r>
      <w:r w:rsidR="001A3B29" w:rsidRPr="006B5E88">
        <w:rPr>
          <w:rFonts w:eastAsia="MS Mincho"/>
          <w:sz w:val="20"/>
        </w:rPr>
        <w:t>druhou</w:t>
      </w:r>
      <w:r w:rsidR="00094206" w:rsidRPr="006B5E88">
        <w:rPr>
          <w:rFonts w:eastAsia="MS Mincho"/>
          <w:sz w:val="20"/>
        </w:rPr>
        <w:t xml:space="preserve"> nejvyšší hustotou zalidnění</w:t>
      </w:r>
      <w:r w:rsidRPr="006B5E88">
        <w:rPr>
          <w:rFonts w:eastAsia="MS Mincho"/>
          <w:sz w:val="20"/>
        </w:rPr>
        <w:t xml:space="preserve"> </w:t>
      </w:r>
      <w:r w:rsidR="00C517D0" w:rsidRPr="006B5E88">
        <w:rPr>
          <w:rFonts w:eastAsia="MS Mincho"/>
          <w:sz w:val="20"/>
        </w:rPr>
        <w:t>2</w:t>
      </w:r>
      <w:r w:rsidR="006B5E88" w:rsidRPr="006B5E88">
        <w:rPr>
          <w:rFonts w:eastAsia="MS Mincho"/>
          <w:sz w:val="20"/>
        </w:rPr>
        <w:t>70</w:t>
      </w:r>
      <w:r w:rsidR="007F4CFA" w:rsidRPr="006B5E88">
        <w:rPr>
          <w:rFonts w:eastAsia="MS Mincho"/>
          <w:sz w:val="20"/>
        </w:rPr>
        <w:t>,</w:t>
      </w:r>
      <w:r w:rsidR="006B5E88" w:rsidRPr="006B5E88">
        <w:rPr>
          <w:rFonts w:eastAsia="MS Mincho"/>
          <w:sz w:val="20"/>
        </w:rPr>
        <w:t>8</w:t>
      </w:r>
      <w:r w:rsidRPr="006B5E88">
        <w:rPr>
          <w:rFonts w:eastAsia="MS Mincho"/>
          <w:sz w:val="20"/>
        </w:rPr>
        <w:t xml:space="preserve"> obyvatel na km</w:t>
      </w:r>
      <w:r w:rsidRPr="006B5E88">
        <w:rPr>
          <w:rFonts w:eastAsia="MS Mincho"/>
          <w:sz w:val="20"/>
          <w:vertAlign w:val="superscript"/>
        </w:rPr>
        <w:t>2</w:t>
      </w:r>
      <w:r w:rsidRPr="006B5E88">
        <w:rPr>
          <w:rFonts w:eastAsia="MS Mincho"/>
          <w:sz w:val="20"/>
        </w:rPr>
        <w:t xml:space="preserve"> se řadí </w:t>
      </w:r>
      <w:r w:rsidR="007D4959" w:rsidRPr="006B5E88">
        <w:rPr>
          <w:rFonts w:eastAsia="MS Mincho"/>
          <w:sz w:val="20"/>
        </w:rPr>
        <w:t xml:space="preserve">Praha-východ </w:t>
      </w:r>
      <w:r w:rsidR="00094206" w:rsidRPr="006B5E88">
        <w:rPr>
          <w:rFonts w:eastAsia="MS Mincho"/>
          <w:sz w:val="20"/>
        </w:rPr>
        <w:t>k nejhustěji osídleným okresům kraje</w:t>
      </w:r>
      <w:r w:rsidRPr="006B5E88">
        <w:rPr>
          <w:rFonts w:eastAsia="MS Mincho"/>
          <w:sz w:val="20"/>
        </w:rPr>
        <w:t xml:space="preserve">. </w:t>
      </w:r>
    </w:p>
    <w:p w14:paraId="3DF188A9" w14:textId="77777777" w:rsidR="00FA3604" w:rsidRPr="008E598A" w:rsidRDefault="00FA3604" w:rsidP="008D49A6">
      <w:pPr>
        <w:spacing w:before="120"/>
        <w:jc w:val="both"/>
        <w:rPr>
          <w:rFonts w:eastAsia="MS Mincho"/>
          <w:sz w:val="20"/>
        </w:rPr>
      </w:pPr>
      <w:r w:rsidRPr="006B5E88">
        <w:rPr>
          <w:rFonts w:eastAsia="MS Mincho"/>
          <w:sz w:val="20"/>
        </w:rPr>
        <w:t>Od reformy veřejné správy z 1. ledna</w:t>
      </w:r>
      <w:r w:rsidRPr="008E598A">
        <w:rPr>
          <w:rFonts w:eastAsia="MS Mincho"/>
          <w:sz w:val="20"/>
        </w:rPr>
        <w:t xml:space="preserve"> 2003 se okres člení na 2 správní obvody obcí s rozšířenou působností (Brandýs nad Labem-Stará Boleslav, Říčany) a 7 správních obvodů obcí s pověřeným obecním úřadem (Brandýs nad Labem-Stará Boleslav, Říčany, Čelákovice, Kamenice, Kostelec nad Černými lesy, Odolena Voda, Úvaly).</w:t>
      </w:r>
    </w:p>
    <w:p w14:paraId="76147E9A" w14:textId="7E1BE1BD" w:rsidR="00FA3604" w:rsidRPr="008E598A" w:rsidRDefault="00FA3604" w:rsidP="003C0AC3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V </w:t>
      </w:r>
      <w:r w:rsidRPr="00F52ECE">
        <w:rPr>
          <w:rFonts w:eastAsia="MS Mincho"/>
          <w:sz w:val="20"/>
        </w:rPr>
        <w:t xml:space="preserve">současné době náleží do okresu Praha-východ celkem 110 obcí. Z celkového počtu obcí má 8 přiznán statut města (Brandýs nad </w:t>
      </w:r>
      <w:proofErr w:type="gramStart"/>
      <w:r w:rsidR="0064795B" w:rsidRPr="00F52ECE">
        <w:rPr>
          <w:rFonts w:eastAsia="MS Mincho"/>
          <w:sz w:val="20"/>
        </w:rPr>
        <w:t>Labem-Stará</w:t>
      </w:r>
      <w:proofErr w:type="gramEnd"/>
      <w:r w:rsidR="0064795B" w:rsidRPr="00F52ECE">
        <w:rPr>
          <w:rFonts w:eastAsia="MS Mincho"/>
          <w:sz w:val="20"/>
        </w:rPr>
        <w:t xml:space="preserve"> Boleslav </w:t>
      </w:r>
      <w:r w:rsidR="00E97555" w:rsidRPr="00F52ECE">
        <w:rPr>
          <w:rFonts w:eastAsia="MS Mincho"/>
          <w:sz w:val="20"/>
        </w:rPr>
        <w:t>–</w:t>
      </w:r>
      <w:r w:rsidR="003C0AC3" w:rsidRPr="00F52ECE">
        <w:rPr>
          <w:rFonts w:eastAsia="MS Mincho"/>
          <w:sz w:val="20"/>
        </w:rPr>
        <w:t xml:space="preserve"> </w:t>
      </w:r>
      <w:r w:rsidR="002C752C" w:rsidRPr="00F52ECE">
        <w:rPr>
          <w:rFonts w:eastAsia="MS Mincho"/>
          <w:sz w:val="20"/>
        </w:rPr>
        <w:t>20</w:t>
      </w:r>
      <w:r w:rsidR="001A3B29" w:rsidRPr="00F52ECE">
        <w:rPr>
          <w:rFonts w:eastAsia="MS Mincho"/>
          <w:sz w:val="20"/>
        </w:rPr>
        <w:t>,</w:t>
      </w:r>
      <w:r w:rsidR="00F52ECE" w:rsidRPr="00F52ECE">
        <w:rPr>
          <w:rFonts w:eastAsia="MS Mincho"/>
          <w:sz w:val="20"/>
        </w:rPr>
        <w:t>3</w:t>
      </w:r>
      <w:r w:rsidRPr="00F52ECE">
        <w:rPr>
          <w:rFonts w:eastAsia="MS Mincho"/>
          <w:sz w:val="20"/>
        </w:rPr>
        <w:t xml:space="preserve"> tis. obyvatel, Říčany, Čelákovice, Úvaly, Odolena Voda, Kostelec nad Černými lesy, Mnichovice, Klecany) a 4 byly stanoveny městysem</w:t>
      </w:r>
      <w:bookmarkStart w:id="0" w:name="_GoBack"/>
      <w:bookmarkEnd w:id="0"/>
      <w:r w:rsidR="0064795B" w:rsidRPr="008E598A">
        <w:rPr>
          <w:rFonts w:eastAsia="MS Mincho"/>
          <w:sz w:val="20"/>
        </w:rPr>
        <w:t xml:space="preserve"> (Nehvizdy, Škvorec, Lázně Toušeň, Zápy)</w:t>
      </w:r>
      <w:r w:rsidRPr="008E598A">
        <w:rPr>
          <w:rFonts w:eastAsia="MS Mincho"/>
          <w:sz w:val="20"/>
        </w:rPr>
        <w:t xml:space="preserve">. </w:t>
      </w:r>
    </w:p>
    <w:p w14:paraId="0B49D787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Charakteristická podoba okresu, tvořící svým excentrickým tvarem část kruhu okolo Prahy, má výrazně protáhlý tvar ve směru sever-jih. Jeho netradiční vzhled, nejzřetelnější v grafické podobě na mapě, dokládají údaje o</w:t>
      </w:r>
      <w:r w:rsidR="00E973D0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vzdálenostech. Zatímco z jižního cípu okresu na jeho severní protějšek je přibližně 80 km, na nejužším místě okresu v katastru obce Úvaly činí jeho šířka pouhé 3 km.</w:t>
      </w:r>
    </w:p>
    <w:p w14:paraId="2ADE1A01" w14:textId="77777777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Severní část okresu, jako součást Brandýské plošiny, je nížinného charakteru s nejnižší nadmořskou výškou 166 m v oblasti Labe. Do jižní části okresu již svými výběžky zasahuje Středočeská pahorkatina, která je součástí Českého masivu. Zde je terén již značně členitý a v blízkosti Ondřejova se nachází nejvyšší vrch </w:t>
      </w:r>
      <w:proofErr w:type="spellStart"/>
      <w:r w:rsidRPr="008E598A">
        <w:rPr>
          <w:rFonts w:eastAsia="MS Mincho"/>
          <w:sz w:val="20"/>
        </w:rPr>
        <w:t>Pecný</w:t>
      </w:r>
      <w:proofErr w:type="spellEnd"/>
      <w:r w:rsidRPr="008E598A">
        <w:rPr>
          <w:rFonts w:eastAsia="MS Mincho"/>
          <w:sz w:val="20"/>
        </w:rPr>
        <w:t xml:space="preserve"> s</w:t>
      </w:r>
      <w:r w:rsidR="00E973D0" w:rsidRPr="008E598A">
        <w:rPr>
          <w:rFonts w:eastAsia="MS Mincho"/>
          <w:sz w:val="20"/>
        </w:rPr>
        <w:t> </w:t>
      </w:r>
      <w:r w:rsidR="002D30A0" w:rsidRPr="008E598A">
        <w:rPr>
          <w:rFonts w:eastAsia="MS Mincho"/>
          <w:sz w:val="20"/>
        </w:rPr>
        <w:t>nadmořskou výškou 545</w:t>
      </w:r>
      <w:r w:rsidRPr="008E598A">
        <w:rPr>
          <w:rFonts w:eastAsia="MS Mincho"/>
          <w:sz w:val="20"/>
        </w:rPr>
        <w:t xml:space="preserve"> m.</w:t>
      </w:r>
    </w:p>
    <w:p w14:paraId="2598688A" w14:textId="220CD904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Dějiny průmyslu na území dnešního okresu začínají vybudováním </w:t>
      </w:r>
      <w:proofErr w:type="spellStart"/>
      <w:r w:rsidRPr="008E598A">
        <w:rPr>
          <w:rFonts w:eastAsia="MS Mincho"/>
          <w:sz w:val="20"/>
        </w:rPr>
        <w:t>Ringhoferova</w:t>
      </w:r>
      <w:proofErr w:type="spellEnd"/>
      <w:r w:rsidRPr="008E598A">
        <w:rPr>
          <w:rFonts w:eastAsia="MS Mincho"/>
          <w:sz w:val="20"/>
        </w:rPr>
        <w:t xml:space="preserve"> hamru na tavení mědi v obci Kamenice v roce 1825. Byl to začátek tradice zpracování barevných kovů v této oblasti. Vedle hutnictví barevných kovů má na okrese tradici průmysl strojírenský, potravinářský a dřevozpracující. Díky poloze okresu v těsné blízkosti Prahy došlo </w:t>
      </w:r>
      <w:r w:rsidR="00250B96" w:rsidRPr="008E598A">
        <w:rPr>
          <w:rFonts w:eastAsia="MS Mincho"/>
          <w:sz w:val="20"/>
        </w:rPr>
        <w:t>v</w:t>
      </w:r>
      <w:r w:rsidRPr="008E598A">
        <w:rPr>
          <w:rFonts w:eastAsia="MS Mincho"/>
          <w:sz w:val="20"/>
        </w:rPr>
        <w:t xml:space="preserve"> okrese k soustředění několika vědecko-výzkumných pracovišť. </w:t>
      </w:r>
    </w:p>
    <w:p w14:paraId="62EF373E" w14:textId="77B6B80A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Spolu s okresem Praha-západ má okres v republice naprosto výjimečné postavení, které dokládá většina sociálně-ekonomických charakteristik. Tyto dva okre</w:t>
      </w:r>
      <w:r w:rsidR="00675B70" w:rsidRPr="008E598A">
        <w:rPr>
          <w:rFonts w:eastAsia="MS Mincho"/>
          <w:sz w:val="20"/>
        </w:rPr>
        <w:t>sy, uzavírající ve svém středu h</w:t>
      </w:r>
      <w:r w:rsidRPr="008E598A">
        <w:rPr>
          <w:rFonts w:eastAsia="MS Mincho"/>
          <w:sz w:val="20"/>
        </w:rPr>
        <w:t xml:space="preserve">lavní město Prahu – mezinárodní metropoli – tvoří spolu pražskou středočeskou aglomeraci a slouží Praze jako její zázemí. Jsou pro Prahu zdrojem pracovních sil, doplňují pražský průmysl, stavebnictví a služby, zásobují Prahu potravinami, poskytují Praze svůj rekreační potenciál. Naopak na území obou okresů probíhá </w:t>
      </w:r>
      <w:bookmarkStart w:id="1" w:name="_Hlk68856720"/>
      <w:r w:rsidR="00515C4D" w:rsidRPr="008E598A">
        <w:rPr>
          <w:rFonts w:eastAsia="MS Mincho"/>
          <w:sz w:val="20"/>
        </w:rPr>
        <w:t>od poloviny 90. let minulého století</w:t>
      </w:r>
      <w:r w:rsidRPr="008E598A">
        <w:rPr>
          <w:rFonts w:eastAsia="MS Mincho"/>
          <w:sz w:val="20"/>
        </w:rPr>
        <w:t xml:space="preserve"> masivn</w:t>
      </w:r>
      <w:r w:rsidR="00515C4D" w:rsidRPr="008E598A">
        <w:rPr>
          <w:rFonts w:eastAsia="MS Mincho"/>
          <w:sz w:val="20"/>
        </w:rPr>
        <w:t>ější</w:t>
      </w:r>
      <w:r w:rsidRPr="008E598A">
        <w:rPr>
          <w:rFonts w:eastAsia="MS Mincho"/>
          <w:sz w:val="20"/>
        </w:rPr>
        <w:t xml:space="preserve"> </w:t>
      </w:r>
      <w:bookmarkEnd w:id="1"/>
      <w:r w:rsidRPr="008E598A">
        <w:rPr>
          <w:rFonts w:eastAsia="MS Mincho"/>
          <w:sz w:val="20"/>
        </w:rPr>
        <w:t>výstavba především rodinných domků. Probíhá zde proces tzv. suburbanizace</w:t>
      </w:r>
      <w:r w:rsidR="008022CA" w:rsidRPr="008E598A">
        <w:rPr>
          <w:rFonts w:eastAsia="MS Mincho"/>
          <w:sz w:val="20"/>
        </w:rPr>
        <w:t>.</w:t>
      </w:r>
      <w:r w:rsidRPr="008E598A">
        <w:rPr>
          <w:rFonts w:eastAsia="MS Mincho"/>
          <w:sz w:val="20"/>
        </w:rPr>
        <w:t xml:space="preserve"> </w:t>
      </w:r>
      <w:r w:rsidR="008022CA" w:rsidRPr="008E598A">
        <w:rPr>
          <w:rFonts w:eastAsia="MS Mincho"/>
          <w:sz w:val="20"/>
        </w:rPr>
        <w:t>P</w:t>
      </w:r>
      <w:r w:rsidRPr="008E598A">
        <w:rPr>
          <w:rFonts w:eastAsia="MS Mincho"/>
          <w:sz w:val="20"/>
        </w:rPr>
        <w:t xml:space="preserve">ražské ekonomicky silné obyvatelstvo se stěhuje do zázemí metropole s cílem zlepšení kvality bydlení. V důsledku tohoto </w:t>
      </w:r>
      <w:proofErr w:type="spellStart"/>
      <w:r w:rsidRPr="008E598A">
        <w:rPr>
          <w:rFonts w:eastAsia="MS Mincho"/>
          <w:sz w:val="20"/>
        </w:rPr>
        <w:t>suburbanizačního</w:t>
      </w:r>
      <w:proofErr w:type="spellEnd"/>
      <w:r w:rsidRPr="008E598A">
        <w:rPr>
          <w:rFonts w:eastAsia="MS Mincho"/>
          <w:sz w:val="20"/>
        </w:rPr>
        <w:t xml:space="preserve"> procesu dochází v obou okresech k významnému nárůstu počtu obyvatel migrací.</w:t>
      </w:r>
    </w:p>
    <w:p w14:paraId="0E273FCF" w14:textId="18B6EED1" w:rsidR="00A23A2F" w:rsidRPr="00073B5D" w:rsidRDefault="00A23A2F" w:rsidP="00A23A2F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>V okrese bylo k 31. 12. 20</w:t>
      </w:r>
      <w:r w:rsidR="00E37D81" w:rsidRPr="00073B5D">
        <w:rPr>
          <w:rFonts w:eastAsia="MS Mincho"/>
          <w:sz w:val="20"/>
        </w:rPr>
        <w:t>2</w:t>
      </w:r>
      <w:r w:rsidR="000C100C" w:rsidRPr="00073B5D">
        <w:rPr>
          <w:rFonts w:eastAsia="MS Mincho"/>
          <w:sz w:val="20"/>
        </w:rPr>
        <w:t>4</w:t>
      </w:r>
      <w:r w:rsidRPr="00073B5D">
        <w:rPr>
          <w:rFonts w:eastAsia="MS Mincho"/>
          <w:sz w:val="20"/>
        </w:rPr>
        <w:t xml:space="preserve"> v registru ekonomi</w:t>
      </w:r>
      <w:r w:rsidR="00586F12" w:rsidRPr="00073B5D">
        <w:rPr>
          <w:rFonts w:eastAsia="MS Mincho"/>
          <w:sz w:val="20"/>
        </w:rPr>
        <w:t>ckých subjektů zapsáno celkem 5</w:t>
      </w:r>
      <w:r w:rsidR="000C100C" w:rsidRPr="00073B5D">
        <w:rPr>
          <w:rFonts w:eastAsia="MS Mincho"/>
          <w:sz w:val="20"/>
        </w:rPr>
        <w:t>7</w:t>
      </w:r>
      <w:r w:rsidR="00586F12" w:rsidRPr="00073B5D">
        <w:rPr>
          <w:rFonts w:eastAsia="MS Mincho"/>
          <w:sz w:val="20"/>
        </w:rPr>
        <w:t> </w:t>
      </w:r>
      <w:r w:rsidR="000C100C" w:rsidRPr="00073B5D">
        <w:rPr>
          <w:rFonts w:eastAsia="MS Mincho"/>
          <w:sz w:val="20"/>
        </w:rPr>
        <w:t>093</w:t>
      </w:r>
      <w:r w:rsidR="00586F12" w:rsidRPr="00073B5D">
        <w:rPr>
          <w:rFonts w:eastAsia="MS Mincho"/>
          <w:sz w:val="20"/>
        </w:rPr>
        <w:t xml:space="preserve"> subjektů (1</w:t>
      </w:r>
      <w:r w:rsidR="000123CF" w:rsidRPr="00073B5D">
        <w:rPr>
          <w:rFonts w:eastAsia="MS Mincho"/>
          <w:sz w:val="20"/>
        </w:rPr>
        <w:t>6</w:t>
      </w:r>
      <w:r w:rsidR="00586F12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5</w:t>
      </w:r>
      <w:r w:rsidRPr="00073B5D">
        <w:rPr>
          <w:rFonts w:eastAsia="MS Mincho"/>
          <w:sz w:val="20"/>
        </w:rPr>
        <w:t xml:space="preserve"> % subjektů kraje). Z tohoto počtu tvoří </w:t>
      </w:r>
      <w:r w:rsidR="00B70560" w:rsidRPr="00073B5D">
        <w:rPr>
          <w:rFonts w:eastAsia="MS Mincho"/>
          <w:sz w:val="20"/>
        </w:rPr>
        <w:t>3,</w:t>
      </w:r>
      <w:r w:rsidR="000123CF" w:rsidRPr="00073B5D">
        <w:rPr>
          <w:rFonts w:eastAsia="MS Mincho"/>
          <w:sz w:val="20"/>
        </w:rPr>
        <w:t>3</w:t>
      </w:r>
      <w:r w:rsidRPr="00073B5D">
        <w:rPr>
          <w:rFonts w:eastAsia="MS Mincho"/>
          <w:sz w:val="20"/>
        </w:rPr>
        <w:t xml:space="preserve"> % odvětví zemědělství a lesnictví, </w:t>
      </w:r>
      <w:r w:rsidR="0097614E" w:rsidRPr="00073B5D">
        <w:rPr>
          <w:rFonts w:eastAsia="MS Mincho"/>
          <w:sz w:val="20"/>
        </w:rPr>
        <w:t>10</w:t>
      </w:r>
      <w:r w:rsidR="003E0D5B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5</w:t>
      </w:r>
      <w:r w:rsidRPr="00073B5D">
        <w:rPr>
          <w:rFonts w:eastAsia="MS Mincho"/>
          <w:sz w:val="20"/>
        </w:rPr>
        <w:t xml:space="preserve"> % činnosti z odvětví průmyslu, </w:t>
      </w:r>
      <w:r w:rsidR="00082667" w:rsidRPr="00073B5D">
        <w:rPr>
          <w:rFonts w:eastAsia="MS Mincho"/>
          <w:sz w:val="20"/>
        </w:rPr>
        <w:t>11</w:t>
      </w:r>
      <w:r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8</w:t>
      </w:r>
      <w:r w:rsidRPr="00073B5D">
        <w:rPr>
          <w:rFonts w:eastAsia="MS Mincho"/>
          <w:sz w:val="20"/>
        </w:rPr>
        <w:t xml:space="preserve"> % ze stavebnictví, </w:t>
      </w:r>
      <w:r w:rsidR="000C100C" w:rsidRPr="00073B5D">
        <w:rPr>
          <w:rFonts w:eastAsia="MS Mincho"/>
          <w:sz w:val="20"/>
        </w:rPr>
        <w:t>15</w:t>
      </w:r>
      <w:r w:rsidR="003E0D5B" w:rsidRPr="00073B5D">
        <w:rPr>
          <w:rFonts w:eastAsia="MS Mincho"/>
          <w:sz w:val="20"/>
        </w:rPr>
        <w:t>,</w:t>
      </w:r>
      <w:r w:rsidR="000C100C" w:rsidRPr="00073B5D">
        <w:rPr>
          <w:rFonts w:eastAsia="MS Mincho"/>
          <w:sz w:val="20"/>
        </w:rPr>
        <w:t>3</w:t>
      </w:r>
      <w:r w:rsidRPr="00073B5D">
        <w:rPr>
          <w:rFonts w:eastAsia="MS Mincho"/>
          <w:sz w:val="20"/>
        </w:rPr>
        <w:t xml:space="preserve"> % velkoobchod a maloobchod (vč. oprav a údržby motorových vozidel). </w:t>
      </w:r>
      <w:r w:rsidR="003E0D5B" w:rsidRPr="00073B5D">
        <w:rPr>
          <w:rFonts w:eastAsia="MS Mincho"/>
          <w:sz w:val="20"/>
        </w:rPr>
        <w:t>Oproti ostatním okresům vynikají okresy Praha-východ a Praha-západ vysokým podílem odvětví profesní, vědecké a technické činnosti, v případě okresu Praha-východ se jedná o 15,</w:t>
      </w:r>
      <w:r w:rsidR="00D4463D" w:rsidRPr="00073B5D">
        <w:rPr>
          <w:rFonts w:eastAsia="MS Mincho"/>
          <w:sz w:val="20"/>
        </w:rPr>
        <w:t>4</w:t>
      </w:r>
      <w:r w:rsidR="003E0D5B" w:rsidRPr="00073B5D">
        <w:rPr>
          <w:rFonts w:eastAsia="MS Mincho"/>
          <w:sz w:val="20"/>
        </w:rPr>
        <w:t xml:space="preserve"> %.</w:t>
      </w:r>
    </w:p>
    <w:p w14:paraId="12C7AC76" w14:textId="424E0D66" w:rsidR="00B32A70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073B5D">
        <w:rPr>
          <w:rFonts w:eastAsia="MS Mincho"/>
          <w:sz w:val="20"/>
        </w:rPr>
        <w:t>K 31. 12. 20</w:t>
      </w:r>
      <w:r w:rsidR="001E7E83" w:rsidRPr="00073B5D">
        <w:rPr>
          <w:rFonts w:eastAsia="MS Mincho"/>
          <w:sz w:val="20"/>
        </w:rPr>
        <w:t>2</w:t>
      </w:r>
      <w:r w:rsidR="00361F47" w:rsidRPr="00073B5D">
        <w:rPr>
          <w:rFonts w:eastAsia="MS Mincho"/>
          <w:sz w:val="20"/>
        </w:rPr>
        <w:t>4</w:t>
      </w:r>
      <w:r w:rsidRPr="00073B5D">
        <w:rPr>
          <w:rFonts w:eastAsia="MS Mincho"/>
          <w:sz w:val="20"/>
        </w:rPr>
        <w:t xml:space="preserve"> bylo v rámci o</w:t>
      </w:r>
      <w:r w:rsidR="00FF2364" w:rsidRPr="00073B5D">
        <w:rPr>
          <w:rFonts w:eastAsia="MS Mincho"/>
          <w:sz w:val="20"/>
        </w:rPr>
        <w:t xml:space="preserve">kresu Praha-východ evidováno </w:t>
      </w:r>
      <w:r w:rsidR="00347367" w:rsidRPr="00073B5D">
        <w:rPr>
          <w:rFonts w:eastAsia="MS Mincho"/>
          <w:sz w:val="20"/>
        </w:rPr>
        <w:t>1</w:t>
      </w:r>
      <w:r w:rsidR="00FF2364" w:rsidRPr="00073B5D">
        <w:rPr>
          <w:rFonts w:eastAsia="MS Mincho"/>
          <w:sz w:val="20"/>
        </w:rPr>
        <w:t> </w:t>
      </w:r>
      <w:r w:rsidR="00361F47" w:rsidRPr="00073B5D">
        <w:rPr>
          <w:rFonts w:eastAsia="MS Mincho"/>
          <w:sz w:val="20"/>
        </w:rPr>
        <w:t>962</w:t>
      </w:r>
      <w:r w:rsidRPr="00073B5D">
        <w:rPr>
          <w:rFonts w:eastAsia="MS Mincho"/>
          <w:sz w:val="20"/>
        </w:rPr>
        <w:t xml:space="preserve"> </w:t>
      </w:r>
      <w:r w:rsidR="00576B50" w:rsidRPr="00073B5D">
        <w:rPr>
          <w:rFonts w:eastAsia="MS Mincho"/>
          <w:sz w:val="20"/>
        </w:rPr>
        <w:t xml:space="preserve">dosažitelných </w:t>
      </w:r>
      <w:r w:rsidRPr="00073B5D">
        <w:rPr>
          <w:rFonts w:eastAsia="MS Mincho"/>
          <w:sz w:val="20"/>
        </w:rPr>
        <w:t xml:space="preserve">uchazečů o </w:t>
      </w:r>
      <w:r w:rsidR="00576B50" w:rsidRPr="00073B5D">
        <w:rPr>
          <w:rFonts w:eastAsia="MS Mincho"/>
          <w:sz w:val="20"/>
        </w:rPr>
        <w:t>zaměstnání</w:t>
      </w:r>
      <w:r w:rsidR="00BD46CB" w:rsidRPr="00073B5D">
        <w:rPr>
          <w:rFonts w:eastAsia="MS Mincho"/>
          <w:sz w:val="20"/>
        </w:rPr>
        <w:t xml:space="preserve"> (</w:t>
      </w:r>
      <w:r w:rsidR="00133908" w:rsidRPr="00073B5D">
        <w:rPr>
          <w:rFonts w:eastAsia="MS Mincho"/>
          <w:sz w:val="20"/>
        </w:rPr>
        <w:t>6</w:t>
      </w:r>
      <w:r w:rsidR="00BD46CB" w:rsidRPr="00073B5D">
        <w:rPr>
          <w:rFonts w:eastAsia="MS Mincho"/>
          <w:sz w:val="20"/>
        </w:rPr>
        <w:t>,</w:t>
      </w:r>
      <w:r w:rsidR="00361F47" w:rsidRPr="00073B5D">
        <w:rPr>
          <w:rFonts w:eastAsia="MS Mincho"/>
          <w:sz w:val="20"/>
        </w:rPr>
        <w:t>3</w:t>
      </w:r>
      <w:r w:rsidR="00B32A70" w:rsidRPr="00073B5D">
        <w:rPr>
          <w:rFonts w:eastAsia="MS Mincho"/>
          <w:sz w:val="20"/>
        </w:rPr>
        <w:t xml:space="preserve"> % dosažitelných uchazečů kraje)</w:t>
      </w:r>
      <w:r w:rsidR="00576B50" w:rsidRPr="00073B5D">
        <w:rPr>
          <w:rFonts w:eastAsia="MS Mincho"/>
          <w:sz w:val="20"/>
        </w:rPr>
        <w:t>. Podíl nezaměstnaných osob (tj. podíl počtu dosažitelných uchazečů o zaměstnání ve věku 15-64 let na obyvatelstvu celk</w:t>
      </w:r>
      <w:r w:rsidR="007D01FB" w:rsidRPr="00073B5D">
        <w:rPr>
          <w:rFonts w:eastAsia="MS Mincho"/>
          <w:sz w:val="20"/>
        </w:rPr>
        <w:t>e</w:t>
      </w:r>
      <w:r w:rsidR="00BD46CB" w:rsidRPr="00073B5D">
        <w:rPr>
          <w:rFonts w:eastAsia="MS Mincho"/>
          <w:sz w:val="20"/>
        </w:rPr>
        <w:t xml:space="preserve">m ve stejném věku) činil </w:t>
      </w:r>
      <w:r w:rsidR="00347367" w:rsidRPr="00073B5D">
        <w:rPr>
          <w:rFonts w:eastAsia="MS Mincho"/>
          <w:sz w:val="20"/>
        </w:rPr>
        <w:t>1</w:t>
      </w:r>
      <w:r w:rsidR="00BD46CB" w:rsidRPr="00073B5D">
        <w:rPr>
          <w:rFonts w:eastAsia="MS Mincho"/>
          <w:sz w:val="20"/>
        </w:rPr>
        <w:t>,</w:t>
      </w:r>
      <w:r w:rsidR="00361F47" w:rsidRPr="00073B5D">
        <w:rPr>
          <w:rFonts w:eastAsia="MS Mincho"/>
          <w:sz w:val="20"/>
        </w:rPr>
        <w:t>51</w:t>
      </w:r>
      <w:r w:rsidR="00E62EFF" w:rsidRPr="00073B5D">
        <w:rPr>
          <w:rFonts w:eastAsia="MS Mincho"/>
          <w:sz w:val="20"/>
        </w:rPr>
        <w:t xml:space="preserve"> % a okres Praha-východ tak byl okresem s nejnižší nezaměstnaností v kraji</w:t>
      </w:r>
      <w:r w:rsidR="00576B50" w:rsidRPr="00073B5D">
        <w:rPr>
          <w:rFonts w:eastAsia="MS Mincho"/>
          <w:sz w:val="20"/>
        </w:rPr>
        <w:t>.</w:t>
      </w:r>
      <w:r w:rsidRPr="00073B5D">
        <w:rPr>
          <w:rFonts w:eastAsia="MS Mincho"/>
          <w:sz w:val="20"/>
        </w:rPr>
        <w:t xml:space="preserve"> </w:t>
      </w:r>
      <w:r w:rsidR="00B32A70" w:rsidRPr="00073B5D">
        <w:rPr>
          <w:rFonts w:eastAsia="MS Mincho"/>
          <w:sz w:val="20"/>
        </w:rPr>
        <w:t>Příznivou s</w:t>
      </w:r>
      <w:r w:rsidRPr="00073B5D">
        <w:rPr>
          <w:rFonts w:eastAsia="MS Mincho"/>
          <w:sz w:val="20"/>
        </w:rPr>
        <w:t xml:space="preserve">ituaci na trhu práce </w:t>
      </w:r>
      <w:r w:rsidR="008022CA" w:rsidRPr="00073B5D">
        <w:rPr>
          <w:rFonts w:eastAsia="MS Mincho"/>
          <w:sz w:val="20"/>
        </w:rPr>
        <w:t xml:space="preserve">zásadně </w:t>
      </w:r>
      <w:r w:rsidR="00FF2364" w:rsidRPr="00073B5D">
        <w:rPr>
          <w:rFonts w:eastAsia="MS Mincho"/>
          <w:sz w:val="20"/>
        </w:rPr>
        <w:t>ovlivňuje blízkost h</w:t>
      </w:r>
      <w:r w:rsidRPr="00073B5D">
        <w:rPr>
          <w:rFonts w:eastAsia="MS Mincho"/>
          <w:sz w:val="20"/>
        </w:rPr>
        <w:t>lavního města Prahy.</w:t>
      </w:r>
      <w:r w:rsidRPr="008E598A">
        <w:rPr>
          <w:rFonts w:eastAsia="MS Mincho"/>
          <w:sz w:val="20"/>
        </w:rPr>
        <w:t xml:space="preserve"> </w:t>
      </w:r>
    </w:p>
    <w:p w14:paraId="112FF08E" w14:textId="77777777" w:rsidR="00797A04" w:rsidRPr="008E598A" w:rsidRDefault="00797A04" w:rsidP="00B32A70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>Okresem procház</w:t>
      </w:r>
      <w:r w:rsidR="00666069" w:rsidRPr="008E598A">
        <w:rPr>
          <w:rFonts w:eastAsia="MS Mincho"/>
          <w:sz w:val="20"/>
        </w:rPr>
        <w:t>í řada významných silničních tahů propojujících Prahu s ostatními částmi republiky - d</w:t>
      </w:r>
      <w:r w:rsidRPr="008E598A">
        <w:rPr>
          <w:rFonts w:eastAsia="MS Mincho"/>
          <w:sz w:val="20"/>
        </w:rPr>
        <w:t>álnice D1, D8</w:t>
      </w:r>
      <w:r w:rsidR="00B440D7" w:rsidRPr="008E598A">
        <w:t>, D10</w:t>
      </w:r>
      <w:r w:rsidRPr="008E598A">
        <w:rPr>
          <w:rFonts w:eastAsia="MS Mincho"/>
          <w:sz w:val="20"/>
        </w:rPr>
        <w:t xml:space="preserve"> a D11</w:t>
      </w:r>
      <w:r w:rsidR="00B440D7" w:rsidRPr="008E598A">
        <w:rPr>
          <w:rFonts w:eastAsia="MS Mincho"/>
          <w:sz w:val="20"/>
        </w:rPr>
        <w:t xml:space="preserve"> </w:t>
      </w:r>
      <w:r w:rsidR="00666069" w:rsidRPr="008E598A">
        <w:rPr>
          <w:rFonts w:eastAsia="MS Mincho"/>
          <w:sz w:val="20"/>
        </w:rPr>
        <w:t>a s</w:t>
      </w:r>
      <w:r w:rsidRPr="008E598A">
        <w:rPr>
          <w:rFonts w:eastAsia="MS Mincho"/>
          <w:sz w:val="20"/>
        </w:rPr>
        <w:t>ilnice I. třídy I/2, I/3, I/9 a I/12.</w:t>
      </w:r>
      <w:r w:rsidR="00F05124" w:rsidRPr="008E598A">
        <w:rPr>
          <w:rFonts w:eastAsia="MS Mincho"/>
          <w:sz w:val="20"/>
        </w:rPr>
        <w:t xml:space="preserve"> Stejně tak procházejí okresem i</w:t>
      </w:r>
      <w:r w:rsidR="00E973D0" w:rsidRPr="008E598A">
        <w:rPr>
          <w:rFonts w:eastAsia="MS Mincho"/>
          <w:sz w:val="20"/>
        </w:rPr>
        <w:t> </w:t>
      </w:r>
      <w:r w:rsidR="00F05124" w:rsidRPr="008E598A">
        <w:rPr>
          <w:rFonts w:eastAsia="MS Mincho"/>
          <w:sz w:val="20"/>
        </w:rPr>
        <w:t xml:space="preserve">hlavní dálkové železniční tahy </w:t>
      </w:r>
      <w:r w:rsidR="003F390A" w:rsidRPr="008E598A">
        <w:rPr>
          <w:rFonts w:eastAsia="MS Mincho"/>
          <w:sz w:val="20"/>
        </w:rPr>
        <w:t xml:space="preserve">vedoucí přes Prahu </w:t>
      </w:r>
      <w:r w:rsidR="00F05124" w:rsidRPr="008E598A">
        <w:rPr>
          <w:rFonts w:eastAsia="MS Mincho"/>
          <w:sz w:val="20"/>
        </w:rPr>
        <w:t xml:space="preserve">– tranzitní železniční koridory (I., III. a IV.) propojující republiku se </w:t>
      </w:r>
      <w:r w:rsidR="003F390A" w:rsidRPr="008E598A">
        <w:rPr>
          <w:rFonts w:eastAsia="MS Mincho"/>
          <w:sz w:val="20"/>
        </w:rPr>
        <w:t>zahraničím</w:t>
      </w:r>
      <w:r w:rsidR="00F05124" w:rsidRPr="008E598A">
        <w:rPr>
          <w:rFonts w:eastAsia="MS Mincho"/>
          <w:sz w:val="20"/>
        </w:rPr>
        <w:t xml:space="preserve">. </w:t>
      </w:r>
    </w:p>
    <w:p w14:paraId="772C2836" w14:textId="10FBA3AC" w:rsidR="00A23A2F" w:rsidRPr="004F3195" w:rsidRDefault="00A23A2F" w:rsidP="00A23A2F">
      <w:pPr>
        <w:spacing w:before="120"/>
        <w:jc w:val="both"/>
        <w:rPr>
          <w:rFonts w:eastAsia="MS Mincho"/>
          <w:sz w:val="20"/>
        </w:rPr>
      </w:pPr>
      <w:r w:rsidRPr="004F3195">
        <w:rPr>
          <w:rFonts w:eastAsia="MS Mincho"/>
          <w:sz w:val="20"/>
        </w:rPr>
        <w:t>V roc</w:t>
      </w:r>
      <w:r w:rsidR="0064442D" w:rsidRPr="004F3195">
        <w:rPr>
          <w:rFonts w:eastAsia="MS Mincho"/>
          <w:sz w:val="20"/>
        </w:rPr>
        <w:t>e 20</w:t>
      </w:r>
      <w:r w:rsidR="004F3195" w:rsidRPr="004F3195">
        <w:rPr>
          <w:rFonts w:eastAsia="MS Mincho"/>
          <w:sz w:val="20"/>
        </w:rPr>
        <w:t>24</w:t>
      </w:r>
      <w:r w:rsidR="002528B7" w:rsidRPr="004F3195">
        <w:rPr>
          <w:rFonts w:eastAsia="MS Mincho"/>
          <w:sz w:val="20"/>
        </w:rPr>
        <w:t xml:space="preserve"> bylo v</w:t>
      </w:r>
      <w:r w:rsidR="00830349" w:rsidRPr="004F3195">
        <w:rPr>
          <w:rFonts w:eastAsia="MS Mincho"/>
          <w:sz w:val="20"/>
        </w:rPr>
        <w:t> okrese dokon</w:t>
      </w:r>
      <w:r w:rsidR="00F46D78" w:rsidRPr="004F3195">
        <w:rPr>
          <w:rFonts w:eastAsia="MS Mincho"/>
          <w:sz w:val="20"/>
        </w:rPr>
        <w:t xml:space="preserve">čeno </w:t>
      </w:r>
      <w:r w:rsidR="009F4E89" w:rsidRPr="004F3195">
        <w:rPr>
          <w:rFonts w:eastAsia="MS Mincho"/>
          <w:sz w:val="20"/>
        </w:rPr>
        <w:t>1</w:t>
      </w:r>
      <w:r w:rsidR="00F46D78" w:rsidRPr="004F3195">
        <w:rPr>
          <w:rFonts w:eastAsia="MS Mincho"/>
          <w:sz w:val="20"/>
        </w:rPr>
        <w:t> </w:t>
      </w:r>
      <w:r w:rsidR="004F3195" w:rsidRPr="004F3195">
        <w:rPr>
          <w:rFonts w:eastAsia="MS Mincho"/>
          <w:sz w:val="20"/>
        </w:rPr>
        <w:t>080</w:t>
      </w:r>
      <w:r w:rsidR="00830349" w:rsidRPr="004F3195">
        <w:rPr>
          <w:rFonts w:eastAsia="MS Mincho"/>
          <w:sz w:val="20"/>
        </w:rPr>
        <w:t xml:space="preserve"> bytů (</w:t>
      </w:r>
      <w:r w:rsidR="004F3195" w:rsidRPr="004F3195">
        <w:rPr>
          <w:rFonts w:eastAsia="MS Mincho"/>
          <w:sz w:val="20"/>
        </w:rPr>
        <w:t>21</w:t>
      </w:r>
      <w:r w:rsidR="00830349" w:rsidRPr="004F3195">
        <w:rPr>
          <w:rFonts w:eastAsia="MS Mincho"/>
          <w:sz w:val="20"/>
        </w:rPr>
        <w:t>,</w:t>
      </w:r>
      <w:r w:rsidR="004F3195" w:rsidRPr="004F3195">
        <w:rPr>
          <w:rFonts w:eastAsia="MS Mincho"/>
          <w:sz w:val="20"/>
        </w:rPr>
        <w:t>8</w:t>
      </w:r>
      <w:r w:rsidRPr="004F3195">
        <w:rPr>
          <w:rFonts w:eastAsia="MS Mincho"/>
          <w:sz w:val="20"/>
        </w:rPr>
        <w:t xml:space="preserve"> % dokončených bytů </w:t>
      </w:r>
      <w:r w:rsidR="0064442D" w:rsidRPr="004F3195">
        <w:rPr>
          <w:rFonts w:eastAsia="MS Mincho"/>
          <w:sz w:val="20"/>
        </w:rPr>
        <w:t xml:space="preserve">kraje) a zahájeno </w:t>
      </w:r>
      <w:r w:rsidR="004F3195" w:rsidRPr="004F3195">
        <w:rPr>
          <w:rFonts w:eastAsia="MS Mincho"/>
          <w:sz w:val="20"/>
        </w:rPr>
        <w:t>605</w:t>
      </w:r>
      <w:r w:rsidRPr="004F3195">
        <w:rPr>
          <w:rFonts w:eastAsia="MS Mincho"/>
          <w:sz w:val="20"/>
        </w:rPr>
        <w:t xml:space="preserve"> bytů (</w:t>
      </w:r>
      <w:r w:rsidR="004F3195" w:rsidRPr="004F3195">
        <w:rPr>
          <w:rFonts w:eastAsia="MS Mincho"/>
          <w:sz w:val="20"/>
        </w:rPr>
        <w:t>11</w:t>
      </w:r>
      <w:r w:rsidR="0064442D" w:rsidRPr="004F3195">
        <w:rPr>
          <w:rFonts w:eastAsia="MS Mincho"/>
          <w:sz w:val="20"/>
        </w:rPr>
        <w:t>,</w:t>
      </w:r>
      <w:r w:rsidR="004F3195" w:rsidRPr="004F3195">
        <w:rPr>
          <w:rFonts w:eastAsia="MS Mincho"/>
          <w:sz w:val="20"/>
        </w:rPr>
        <w:t>4</w:t>
      </w:r>
      <w:r w:rsidRPr="004F3195">
        <w:rPr>
          <w:rFonts w:eastAsia="MS Mincho"/>
          <w:sz w:val="20"/>
        </w:rPr>
        <w:t xml:space="preserve"> % zahájených bytů kraje). Okres Praha-východ patří spolu s okresem Praha-západ k územím s nejvyšší intenzitou bytové výstavby.</w:t>
      </w:r>
    </w:p>
    <w:p w14:paraId="740F9B65" w14:textId="77777777" w:rsidR="001A4C9D" w:rsidRPr="008E598A" w:rsidRDefault="001A4C9D" w:rsidP="008D49A6">
      <w:pPr>
        <w:spacing w:before="120"/>
        <w:jc w:val="both"/>
        <w:rPr>
          <w:rFonts w:eastAsia="MS Mincho"/>
          <w:sz w:val="20"/>
        </w:rPr>
      </w:pPr>
      <w:r w:rsidRPr="004F3195">
        <w:rPr>
          <w:rFonts w:eastAsia="MS Mincho"/>
          <w:sz w:val="20"/>
        </w:rPr>
        <w:t>Na území okresu se nachází</w:t>
      </w:r>
      <w:r w:rsidRPr="00073B5D">
        <w:rPr>
          <w:rFonts w:eastAsia="MS Mincho"/>
          <w:sz w:val="20"/>
        </w:rPr>
        <w:t xml:space="preserve"> dvě národní přírodní rezervace. V</w:t>
      </w:r>
      <w:r w:rsidR="007003C8" w:rsidRPr="00073B5D">
        <w:rPr>
          <w:rFonts w:eastAsia="MS Mincho"/>
          <w:sz w:val="20"/>
        </w:rPr>
        <w:t>oděradské bučiny</w:t>
      </w:r>
      <w:r w:rsidRPr="00073B5D">
        <w:rPr>
          <w:rFonts w:eastAsia="MS Mincho"/>
          <w:sz w:val="20"/>
        </w:rPr>
        <w:t xml:space="preserve"> jsou rozsáhlým lesním komplexem na pravém břehu Jevanského potoka, kde hlavním předmětem ochrany jsou bukové porosty. </w:t>
      </w:r>
      <w:r w:rsidR="007003C8" w:rsidRPr="00073B5D">
        <w:rPr>
          <w:rFonts w:eastAsia="MS Mincho"/>
          <w:sz w:val="20"/>
        </w:rPr>
        <w:t>Větrušická rokle je známá svými skalnatými srázy na pravém břehu Vltavy.</w:t>
      </w:r>
      <w:r w:rsidR="007003C8" w:rsidRPr="008E598A">
        <w:rPr>
          <w:rFonts w:eastAsia="MS Mincho"/>
          <w:sz w:val="20"/>
        </w:rPr>
        <w:t xml:space="preserve"> </w:t>
      </w:r>
    </w:p>
    <w:p w14:paraId="00F2E088" w14:textId="79FC0379" w:rsidR="00900119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lastRenderedPageBreak/>
        <w:t>I přesto, že</w:t>
      </w:r>
      <w:r w:rsidR="00F9337B" w:rsidRPr="008E598A">
        <w:rPr>
          <w:rFonts w:eastAsia="MS Mincho"/>
          <w:sz w:val="20"/>
        </w:rPr>
        <w:t xml:space="preserve"> na území okresu nejsou památky</w:t>
      </w:r>
      <w:r w:rsidRPr="008E598A">
        <w:rPr>
          <w:rFonts w:eastAsia="MS Mincho"/>
          <w:sz w:val="20"/>
        </w:rPr>
        <w:t xml:space="preserve"> mající celostátní význam, je území na kulturní a hi</w:t>
      </w:r>
      <w:r w:rsidR="00132593" w:rsidRPr="008E598A">
        <w:rPr>
          <w:rFonts w:eastAsia="MS Mincho"/>
          <w:sz w:val="20"/>
        </w:rPr>
        <w:t>storické památky pom</w:t>
      </w:r>
      <w:r w:rsidR="001D7A7A" w:rsidRPr="008E598A">
        <w:rPr>
          <w:rFonts w:eastAsia="MS Mincho"/>
          <w:sz w:val="20"/>
        </w:rPr>
        <w:t>ěrně bohaté.</w:t>
      </w:r>
      <w:r w:rsidR="00132593" w:rsidRPr="008E598A">
        <w:rPr>
          <w:rFonts w:eastAsia="MS Mincho"/>
          <w:sz w:val="20"/>
        </w:rPr>
        <w:t xml:space="preserve"> </w:t>
      </w:r>
      <w:r w:rsidR="001D7A7A" w:rsidRPr="008E598A">
        <w:rPr>
          <w:rFonts w:eastAsia="MS Mincho"/>
          <w:sz w:val="20"/>
        </w:rPr>
        <w:t xml:space="preserve">Největší historický význam má v okrese souměstí Brandýs nad Labem-Stará Boleslav, kde se nacházejí všechny 4 národní kulturní památky okresu. </w:t>
      </w:r>
      <w:r w:rsidRPr="008E598A">
        <w:rPr>
          <w:rFonts w:eastAsia="MS Mincho"/>
          <w:sz w:val="20"/>
        </w:rPr>
        <w:t xml:space="preserve">Ve Staré Boleslavi se </w:t>
      </w:r>
      <w:r w:rsidR="00132593" w:rsidRPr="008E598A">
        <w:rPr>
          <w:rFonts w:eastAsia="MS Mincho"/>
          <w:sz w:val="20"/>
        </w:rPr>
        <w:t>jedná o</w:t>
      </w:r>
      <w:r w:rsidRPr="008E598A">
        <w:rPr>
          <w:rFonts w:eastAsia="MS Mincho"/>
          <w:sz w:val="20"/>
        </w:rPr>
        <w:t xml:space="preserve"> </w:t>
      </w:r>
      <w:r w:rsidR="00900119" w:rsidRPr="008E598A">
        <w:rPr>
          <w:rFonts w:eastAsia="MS Mincho"/>
          <w:sz w:val="20"/>
        </w:rPr>
        <w:t xml:space="preserve">Baziliku svatého Václava (založenou Břetislavem I.) spolu s </w:t>
      </w:r>
      <w:r w:rsidRPr="008E598A">
        <w:rPr>
          <w:rFonts w:eastAsia="MS Mincho"/>
          <w:sz w:val="20"/>
        </w:rPr>
        <w:t>kostel</w:t>
      </w:r>
      <w:r w:rsidR="00900119" w:rsidRPr="008E598A">
        <w:rPr>
          <w:rFonts w:eastAsia="MS Mincho"/>
          <w:sz w:val="20"/>
        </w:rPr>
        <w:t>em</w:t>
      </w:r>
      <w:r w:rsidRPr="008E598A">
        <w:rPr>
          <w:rFonts w:eastAsia="MS Mincho"/>
          <w:sz w:val="20"/>
        </w:rPr>
        <w:t xml:space="preserve"> sv. </w:t>
      </w:r>
      <w:r w:rsidR="00132593" w:rsidRPr="008E598A">
        <w:rPr>
          <w:rFonts w:eastAsia="MS Mincho"/>
          <w:sz w:val="20"/>
        </w:rPr>
        <w:t>Klementa, který je nejstarší stojící budovou ve Staré Boleslavi a</w:t>
      </w:r>
      <w:r w:rsidR="009A33CD" w:rsidRPr="008E598A">
        <w:rPr>
          <w:rFonts w:eastAsia="MS Mincho"/>
          <w:sz w:val="20"/>
        </w:rPr>
        <w:t> </w:t>
      </w:r>
      <w:r w:rsidR="00132593" w:rsidRPr="008E598A">
        <w:rPr>
          <w:rFonts w:eastAsia="MS Mincho"/>
          <w:sz w:val="20"/>
        </w:rPr>
        <w:t>náleží k nejstarším chrámovým stavbám v českých zemích. Další národní kulturní památkou je zámek v</w:t>
      </w:r>
      <w:r w:rsidR="009A33CD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Brandýse nad Labem</w:t>
      </w:r>
      <w:r w:rsidR="00132593" w:rsidRPr="008E598A">
        <w:rPr>
          <w:rFonts w:eastAsia="MS Mincho"/>
          <w:sz w:val="20"/>
        </w:rPr>
        <w:t xml:space="preserve">, </w:t>
      </w:r>
      <w:r w:rsidRPr="008E598A">
        <w:rPr>
          <w:rFonts w:eastAsia="MS Mincho"/>
          <w:sz w:val="20"/>
        </w:rPr>
        <w:t xml:space="preserve">vybudovaný na místě původního gotického hradu. Zámek byl až do roku 1918 císařským majetkem a je znám jako oblíbené sídlo Rudolfa II. </w:t>
      </w:r>
      <w:r w:rsidR="00900119" w:rsidRPr="008E598A">
        <w:rPr>
          <w:rFonts w:eastAsia="MS Mincho"/>
          <w:sz w:val="20"/>
        </w:rPr>
        <w:t xml:space="preserve">Národní kulturní památkou je v Brandýse nad Labem také poutní kostel Nanebevzetí Panny Marie z počátku 17. století. Jedná se o nejstarší české mariánské poutní místo, ve kterém se nachází kovový reliéf Madony s dítětem Palladium země české. Palladium bylo v roce 2015 zařazeno mezi národní kulturní památky. </w:t>
      </w:r>
    </w:p>
    <w:p w14:paraId="15C97498" w14:textId="74480F48" w:rsidR="007003C8" w:rsidRPr="008E598A" w:rsidRDefault="007003C8" w:rsidP="008D49A6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Známým hradním objektem </w:t>
      </w:r>
      <w:r w:rsidR="001D7A7A" w:rsidRPr="008E598A">
        <w:rPr>
          <w:rFonts w:eastAsia="MS Mincho"/>
          <w:sz w:val="20"/>
        </w:rPr>
        <w:t xml:space="preserve">v okrese </w:t>
      </w:r>
      <w:r w:rsidRPr="008E598A">
        <w:rPr>
          <w:rFonts w:eastAsia="MS Mincho"/>
          <w:sz w:val="20"/>
        </w:rPr>
        <w:t xml:space="preserve">je zřícenina </w:t>
      </w:r>
      <w:proofErr w:type="spellStart"/>
      <w:r w:rsidRPr="008E598A">
        <w:rPr>
          <w:rFonts w:eastAsia="MS Mincho"/>
          <w:sz w:val="20"/>
        </w:rPr>
        <w:t>Jenštejna</w:t>
      </w:r>
      <w:proofErr w:type="spellEnd"/>
      <w:r w:rsidRPr="008E598A">
        <w:rPr>
          <w:rFonts w:eastAsia="MS Mincho"/>
          <w:sz w:val="20"/>
        </w:rPr>
        <w:t xml:space="preserve">, který byl ve 14. století vybudován arcibiskupem Janem z </w:t>
      </w:r>
      <w:proofErr w:type="spellStart"/>
      <w:r w:rsidRPr="008E598A">
        <w:rPr>
          <w:rFonts w:eastAsia="MS Mincho"/>
          <w:sz w:val="20"/>
        </w:rPr>
        <w:t>Jenštejna</w:t>
      </w:r>
      <w:proofErr w:type="spellEnd"/>
      <w:r w:rsidRPr="008E598A">
        <w:rPr>
          <w:rFonts w:eastAsia="MS Mincho"/>
          <w:sz w:val="20"/>
        </w:rPr>
        <w:t>. V řadě míst se nacházejí větší i</w:t>
      </w:r>
      <w:r w:rsidR="0099536F" w:rsidRPr="008E598A">
        <w:rPr>
          <w:rFonts w:eastAsia="MS Mincho"/>
          <w:sz w:val="20"/>
        </w:rPr>
        <w:t> </w:t>
      </w:r>
      <w:r w:rsidRPr="008E598A">
        <w:rPr>
          <w:rFonts w:eastAsia="MS Mincho"/>
          <w:sz w:val="20"/>
        </w:rPr>
        <w:t>menší zámecká sídla, jako např. Jirny, O</w:t>
      </w:r>
      <w:r w:rsidR="00CB1791" w:rsidRPr="008E598A">
        <w:rPr>
          <w:rFonts w:eastAsia="MS Mincho"/>
          <w:sz w:val="20"/>
        </w:rPr>
        <w:t xml:space="preserve">tice, Panenské Břežany, </w:t>
      </w:r>
      <w:r w:rsidR="0099536F" w:rsidRPr="008E598A">
        <w:rPr>
          <w:rFonts w:eastAsia="MS Mincho"/>
          <w:sz w:val="20"/>
        </w:rPr>
        <w:t xml:space="preserve">Měšice, </w:t>
      </w:r>
      <w:proofErr w:type="spellStart"/>
      <w:r w:rsidR="0099536F" w:rsidRPr="008E598A">
        <w:rPr>
          <w:rFonts w:eastAsia="MS Mincho"/>
          <w:sz w:val="20"/>
        </w:rPr>
        <w:t>Štiřín</w:t>
      </w:r>
      <w:proofErr w:type="spellEnd"/>
      <w:r w:rsidRPr="008E598A">
        <w:rPr>
          <w:rFonts w:eastAsia="MS Mincho"/>
          <w:sz w:val="20"/>
        </w:rPr>
        <w:t>.</w:t>
      </w:r>
    </w:p>
    <w:p w14:paraId="6C8AAB48" w14:textId="77777777" w:rsidR="007003C8" w:rsidRDefault="001A4C9D" w:rsidP="001A3B29">
      <w:pPr>
        <w:spacing w:before="120"/>
        <w:jc w:val="both"/>
        <w:rPr>
          <w:rFonts w:eastAsia="MS Mincho"/>
          <w:sz w:val="20"/>
        </w:rPr>
      </w:pPr>
      <w:r w:rsidRPr="008E598A">
        <w:rPr>
          <w:rFonts w:eastAsia="MS Mincho"/>
          <w:sz w:val="20"/>
        </w:rPr>
        <w:t xml:space="preserve">Nacházejí se zde některé z nejvýznamnějších archeologických nalezišť celých Čech, jako je třeba sídliště Homo </w:t>
      </w:r>
      <w:proofErr w:type="spellStart"/>
      <w:r w:rsidRPr="008E598A">
        <w:rPr>
          <w:rFonts w:eastAsia="MS Mincho"/>
          <w:sz w:val="20"/>
        </w:rPr>
        <w:t>erectus</w:t>
      </w:r>
      <w:proofErr w:type="spellEnd"/>
      <w:r w:rsidRPr="008E598A">
        <w:rPr>
          <w:rFonts w:eastAsia="MS Mincho"/>
          <w:sz w:val="20"/>
        </w:rPr>
        <w:t>, člověka vzpřímeného, staré cca 700 000 let na Zlatém kopci u Přezletic.</w:t>
      </w:r>
      <w:r w:rsidRPr="002B1BD9">
        <w:rPr>
          <w:rFonts w:eastAsia="MS Mincho"/>
          <w:sz w:val="20"/>
        </w:rPr>
        <w:t xml:space="preserve"> </w:t>
      </w:r>
    </w:p>
    <w:sectPr w:rsidR="007003C8" w:rsidSect="003E0D5B">
      <w:pgSz w:w="11906" w:h="16838"/>
      <w:pgMar w:top="567" w:right="849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B85"/>
    <w:rsid w:val="000123CF"/>
    <w:rsid w:val="000149FD"/>
    <w:rsid w:val="000179A7"/>
    <w:rsid w:val="000530D8"/>
    <w:rsid w:val="00073B5D"/>
    <w:rsid w:val="00082667"/>
    <w:rsid w:val="00083337"/>
    <w:rsid w:val="00094206"/>
    <w:rsid w:val="000C100C"/>
    <w:rsid w:val="000E1C08"/>
    <w:rsid w:val="000E58EA"/>
    <w:rsid w:val="000F332C"/>
    <w:rsid w:val="00102325"/>
    <w:rsid w:val="0012481A"/>
    <w:rsid w:val="00132593"/>
    <w:rsid w:val="00133908"/>
    <w:rsid w:val="001423F4"/>
    <w:rsid w:val="001461B7"/>
    <w:rsid w:val="001502A2"/>
    <w:rsid w:val="001A3B29"/>
    <w:rsid w:val="001A4C9D"/>
    <w:rsid w:val="001B6454"/>
    <w:rsid w:val="001B7790"/>
    <w:rsid w:val="001D7A7A"/>
    <w:rsid w:val="001E7E83"/>
    <w:rsid w:val="001F7CA2"/>
    <w:rsid w:val="00226EB3"/>
    <w:rsid w:val="00250B96"/>
    <w:rsid w:val="002528B7"/>
    <w:rsid w:val="0028741E"/>
    <w:rsid w:val="002A6090"/>
    <w:rsid w:val="002B1BD9"/>
    <w:rsid w:val="002C752C"/>
    <w:rsid w:val="002D2FD6"/>
    <w:rsid w:val="002D30A0"/>
    <w:rsid w:val="00327BDB"/>
    <w:rsid w:val="00334E10"/>
    <w:rsid w:val="00347367"/>
    <w:rsid w:val="00361F47"/>
    <w:rsid w:val="00367703"/>
    <w:rsid w:val="003737AE"/>
    <w:rsid w:val="00373FAE"/>
    <w:rsid w:val="00390BA3"/>
    <w:rsid w:val="0039666F"/>
    <w:rsid w:val="003B4BF4"/>
    <w:rsid w:val="003C0AC3"/>
    <w:rsid w:val="003E0D5B"/>
    <w:rsid w:val="003F2104"/>
    <w:rsid w:val="003F25AC"/>
    <w:rsid w:val="003F390A"/>
    <w:rsid w:val="00445461"/>
    <w:rsid w:val="00464724"/>
    <w:rsid w:val="00470DCA"/>
    <w:rsid w:val="004952E1"/>
    <w:rsid w:val="004A73C8"/>
    <w:rsid w:val="004B35A2"/>
    <w:rsid w:val="004F3195"/>
    <w:rsid w:val="0050761E"/>
    <w:rsid w:val="00515C4D"/>
    <w:rsid w:val="005719B6"/>
    <w:rsid w:val="005736AB"/>
    <w:rsid w:val="00576B50"/>
    <w:rsid w:val="00586F12"/>
    <w:rsid w:val="005F7ECE"/>
    <w:rsid w:val="006428DD"/>
    <w:rsid w:val="0064442D"/>
    <w:rsid w:val="0064795B"/>
    <w:rsid w:val="00647CBD"/>
    <w:rsid w:val="00666069"/>
    <w:rsid w:val="00666D84"/>
    <w:rsid w:val="00675B70"/>
    <w:rsid w:val="006A275F"/>
    <w:rsid w:val="006B5E88"/>
    <w:rsid w:val="006D79DE"/>
    <w:rsid w:val="006E554B"/>
    <w:rsid w:val="007003C8"/>
    <w:rsid w:val="00722CB6"/>
    <w:rsid w:val="00797A04"/>
    <w:rsid w:val="007C434B"/>
    <w:rsid w:val="007D01FB"/>
    <w:rsid w:val="007D4959"/>
    <w:rsid w:val="007D79A5"/>
    <w:rsid w:val="007F4CFA"/>
    <w:rsid w:val="008022CA"/>
    <w:rsid w:val="008269EF"/>
    <w:rsid w:val="00830349"/>
    <w:rsid w:val="00872FD4"/>
    <w:rsid w:val="00877FFB"/>
    <w:rsid w:val="008A4F2D"/>
    <w:rsid w:val="008D49A6"/>
    <w:rsid w:val="008E598A"/>
    <w:rsid w:val="00900119"/>
    <w:rsid w:val="009101B1"/>
    <w:rsid w:val="0096725C"/>
    <w:rsid w:val="0097614E"/>
    <w:rsid w:val="0099536F"/>
    <w:rsid w:val="00997F51"/>
    <w:rsid w:val="009A1F42"/>
    <w:rsid w:val="009A33CD"/>
    <w:rsid w:val="009A4BFA"/>
    <w:rsid w:val="009F4E89"/>
    <w:rsid w:val="00A23A2F"/>
    <w:rsid w:val="00A361DD"/>
    <w:rsid w:val="00A73ACA"/>
    <w:rsid w:val="00A77CC0"/>
    <w:rsid w:val="00AC309F"/>
    <w:rsid w:val="00AC7B00"/>
    <w:rsid w:val="00B22E67"/>
    <w:rsid w:val="00B32412"/>
    <w:rsid w:val="00B32A70"/>
    <w:rsid w:val="00B440D7"/>
    <w:rsid w:val="00B61DBB"/>
    <w:rsid w:val="00B70560"/>
    <w:rsid w:val="00B77ED5"/>
    <w:rsid w:val="00B82D13"/>
    <w:rsid w:val="00B87BE9"/>
    <w:rsid w:val="00B918EF"/>
    <w:rsid w:val="00BC6960"/>
    <w:rsid w:val="00BD46CB"/>
    <w:rsid w:val="00BE5A03"/>
    <w:rsid w:val="00BF7689"/>
    <w:rsid w:val="00C36B85"/>
    <w:rsid w:val="00C517D0"/>
    <w:rsid w:val="00C55196"/>
    <w:rsid w:val="00CB1791"/>
    <w:rsid w:val="00CC3F55"/>
    <w:rsid w:val="00CC42DC"/>
    <w:rsid w:val="00CC4880"/>
    <w:rsid w:val="00CE444D"/>
    <w:rsid w:val="00D07EAF"/>
    <w:rsid w:val="00D11D47"/>
    <w:rsid w:val="00D4463D"/>
    <w:rsid w:val="00D46BA1"/>
    <w:rsid w:val="00E21258"/>
    <w:rsid w:val="00E330BE"/>
    <w:rsid w:val="00E37D81"/>
    <w:rsid w:val="00E40E18"/>
    <w:rsid w:val="00E57792"/>
    <w:rsid w:val="00E62EFF"/>
    <w:rsid w:val="00E75101"/>
    <w:rsid w:val="00E92630"/>
    <w:rsid w:val="00E973D0"/>
    <w:rsid w:val="00E97555"/>
    <w:rsid w:val="00EB6807"/>
    <w:rsid w:val="00ED543B"/>
    <w:rsid w:val="00F05124"/>
    <w:rsid w:val="00F3461E"/>
    <w:rsid w:val="00F36576"/>
    <w:rsid w:val="00F46D78"/>
    <w:rsid w:val="00F51460"/>
    <w:rsid w:val="00F52ECE"/>
    <w:rsid w:val="00F82B5C"/>
    <w:rsid w:val="00F87D75"/>
    <w:rsid w:val="00F9337B"/>
    <w:rsid w:val="00FA3604"/>
    <w:rsid w:val="00FA5D38"/>
    <w:rsid w:val="00FB3AF0"/>
    <w:rsid w:val="00FC1D11"/>
    <w:rsid w:val="00FD05E1"/>
    <w:rsid w:val="00F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80E6A"/>
  <w15:docId w15:val="{9F62C6E5-5571-43BF-9229-5B26F1A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0BE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E330BE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E330BE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E330BE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uiPriority w:val="99"/>
    <w:semiHidden/>
    <w:unhideWhenUsed/>
    <w:rsid w:val="001A4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6378</CharactersWithSpaces>
  <SharedDoc>false</SharedDoc>
  <HLinks>
    <vt:vector size="60" baseType="variant">
      <vt:variant>
        <vt:i4>5046388</vt:i4>
      </vt:variant>
      <vt:variant>
        <vt:i4>27</vt:i4>
      </vt:variant>
      <vt:variant>
        <vt:i4>0</vt:i4>
      </vt:variant>
      <vt:variant>
        <vt:i4>5</vt:i4>
      </vt:variant>
      <vt:variant>
        <vt:lpwstr>http://cs.wikipedia.org/wiki/Jevansk%C3%BD_potok</vt:lpwstr>
      </vt:variant>
      <vt:variant>
        <vt:lpwstr/>
      </vt:variant>
      <vt:variant>
        <vt:i4>4259847</vt:i4>
      </vt:variant>
      <vt:variant>
        <vt:i4>24</vt:i4>
      </vt:variant>
      <vt:variant>
        <vt:i4>0</vt:i4>
      </vt:variant>
      <vt:variant>
        <vt:i4>5</vt:i4>
      </vt:variant>
      <vt:variant>
        <vt:lpwstr>http://cs.wikipedia.org/wiki/I/12</vt:lpwstr>
      </vt:variant>
      <vt:variant>
        <vt:lpwstr/>
      </vt:variant>
      <vt:variant>
        <vt:i4>4784135</vt:i4>
      </vt:variant>
      <vt:variant>
        <vt:i4>21</vt:i4>
      </vt:variant>
      <vt:variant>
        <vt:i4>0</vt:i4>
      </vt:variant>
      <vt:variant>
        <vt:i4>5</vt:i4>
      </vt:variant>
      <vt:variant>
        <vt:lpwstr>http://cs.wikipedia.org/wiki/I/9</vt:lpwstr>
      </vt:variant>
      <vt:variant>
        <vt:lpwstr/>
      </vt:variant>
      <vt:variant>
        <vt:i4>4390919</vt:i4>
      </vt:variant>
      <vt:variant>
        <vt:i4>18</vt:i4>
      </vt:variant>
      <vt:variant>
        <vt:i4>0</vt:i4>
      </vt:variant>
      <vt:variant>
        <vt:i4>5</vt:i4>
      </vt:variant>
      <vt:variant>
        <vt:lpwstr>http://cs.wikipedia.org/wiki/I/3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http://cs.wikipedia.org/wiki/I/2</vt:lpwstr>
      </vt:variant>
      <vt:variant>
        <vt:lpwstr/>
      </vt:variant>
      <vt:variant>
        <vt:i4>5963801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http://cs.wikipedia.org/wiki/R10</vt:lpwstr>
      </vt:variant>
      <vt:variant>
        <vt:lpwstr/>
      </vt:variant>
      <vt:variant>
        <vt:i4>7012392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http://cs.wikipedia.org/wiki/R1</vt:lpwstr>
      </vt:variant>
      <vt:variant>
        <vt:lpwstr/>
      </vt:variant>
      <vt:variant>
        <vt:i4>4980761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http://cs.wikipedia.org/wiki/D11</vt:lpwstr>
      </vt:variant>
      <vt:variant>
        <vt:lpwstr/>
      </vt:variant>
      <vt:variant>
        <vt:i4>8192040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http://cs.wikipedia.org/wiki/D8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83</cp:revision>
  <cp:lastPrinted>2009-03-16T14:25:00Z</cp:lastPrinted>
  <dcterms:created xsi:type="dcterms:W3CDTF">2016-04-08T11:47:00Z</dcterms:created>
  <dcterms:modified xsi:type="dcterms:W3CDTF">2025-06-19T08:51:00Z</dcterms:modified>
</cp:coreProperties>
</file>