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D5" w:rsidRPr="00ED5E8D" w:rsidRDefault="00C5435B" w:rsidP="009B4DD5">
      <w:pPr>
        <w:pStyle w:val="Datum"/>
      </w:pPr>
      <w:r>
        <w:t>12</w:t>
      </w:r>
      <w:r w:rsidR="00A73CC6">
        <w:t>. 5. 2025</w:t>
      </w:r>
      <w:bookmarkStart w:id="0" w:name="_GoBack"/>
      <w:bookmarkEnd w:id="0"/>
    </w:p>
    <w:p w:rsidR="009B4DD5" w:rsidRPr="00ED5E8D" w:rsidRDefault="009B4DD5" w:rsidP="009B4DD5">
      <w:pPr>
        <w:pStyle w:val="Nzev"/>
      </w:pPr>
      <w:r w:rsidRPr="00ED5E8D">
        <w:t>Cestovní ruch v Moravskoslezském kraji v 1. čtvrtletí 2025</w:t>
      </w:r>
    </w:p>
    <w:p w:rsidR="009B4DD5" w:rsidRPr="00ED5E8D" w:rsidRDefault="009B4DD5" w:rsidP="009B4DD5">
      <w:pPr>
        <w:pStyle w:val="Perex"/>
        <w:rPr>
          <w:szCs w:val="20"/>
        </w:rPr>
      </w:pPr>
      <w:r w:rsidRPr="00ED5E8D">
        <w:rPr>
          <w:spacing w:val="-1"/>
          <w:szCs w:val="20"/>
        </w:rPr>
        <w:t xml:space="preserve">V prvním čtvrtletí 2025 se zvýšil celkový počet hostů v hromadných ubytovacích zařízeních v Moravskoslezském kraji meziročně o 6,1 % na 206,7 tisíce. Počet přenocování dosáhl 578 tisíc nocí a meziročně vzrostl o 6,3 %. </w:t>
      </w:r>
      <w:r w:rsidRPr="00ED5E8D">
        <w:rPr>
          <w:szCs w:val="20"/>
        </w:rPr>
        <w:t>Vyšší počet hostů i strávených nocí ve srovnání se stejným obdobím předchozího roku byl vykázán jak v případě domácí, tak i zahraniční klientely.</w:t>
      </w:r>
    </w:p>
    <w:p w:rsidR="009B4DD5" w:rsidRPr="00ED5E8D" w:rsidRDefault="009B4DD5" w:rsidP="009B4DD5">
      <w:pPr>
        <w:rPr>
          <w:rFonts w:cs="Arial"/>
          <w:color w:val="000000"/>
          <w:szCs w:val="20"/>
        </w:rPr>
      </w:pPr>
      <w:r w:rsidRPr="00ED5E8D">
        <w:rPr>
          <w:rFonts w:cs="Arial"/>
          <w:color w:val="000000"/>
          <w:szCs w:val="20"/>
        </w:rPr>
        <w:t xml:space="preserve">V 1. čtvrtletí 2025 přijelo do hromadných ubytovacích zařízení </w:t>
      </w:r>
      <w:r w:rsidR="000128D9">
        <w:rPr>
          <w:rFonts w:cs="Arial"/>
          <w:color w:val="000000"/>
          <w:szCs w:val="20"/>
        </w:rPr>
        <w:t>v Moravskoslezském kraji 206 678</w:t>
      </w:r>
      <w:r w:rsidRPr="00ED5E8D">
        <w:rPr>
          <w:rFonts w:cs="Arial"/>
          <w:color w:val="000000"/>
          <w:szCs w:val="20"/>
        </w:rPr>
        <w:t> </w:t>
      </w:r>
      <w:r w:rsidRPr="00ED5E8D">
        <w:rPr>
          <w:rFonts w:cs="Arial"/>
          <w:bCs/>
          <w:color w:val="000000"/>
          <w:szCs w:val="20"/>
        </w:rPr>
        <w:t>hostů</w:t>
      </w:r>
      <w:r w:rsidRPr="00ED5E8D">
        <w:rPr>
          <w:rFonts w:cs="Arial"/>
          <w:color w:val="000000"/>
          <w:szCs w:val="20"/>
        </w:rPr>
        <w:t>, z nichž 19,6 % (40 452 hostů) bylo ze zahraničí. Celkový počet hostů tak byl o 11 825 </w:t>
      </w:r>
      <w:r w:rsidRPr="00ED5E8D">
        <w:rPr>
          <w:rFonts w:cs="Arial"/>
          <w:szCs w:val="20"/>
        </w:rPr>
        <w:t xml:space="preserve">osob (o 6,1 %) větší </w:t>
      </w:r>
      <w:r w:rsidRPr="00ED5E8D">
        <w:rPr>
          <w:rFonts w:cs="Arial"/>
          <w:color w:val="000000"/>
          <w:szCs w:val="20"/>
        </w:rPr>
        <w:t>než ve stejném období předchozího roku. Počet domácích klientů se meziročně zvýšil o 3,9 %, zahraničních se ubytovalo o 16,1 % více. Podíl Moravskoslezského kraje na počtu hostů v ubytovacích zařízeních celého Česka činil 5,0 %, přičemž podíl kraje na domácí klientele byl 7,6 % a na zahraničních hostech 2,1 %.</w:t>
      </w:r>
    </w:p>
    <w:p w:rsidR="009B4DD5" w:rsidRPr="00ED5E8D" w:rsidRDefault="009B4DD5" w:rsidP="009B4DD5">
      <w:pPr>
        <w:rPr>
          <w:rFonts w:cs="Arial"/>
          <w:color w:val="000000"/>
          <w:szCs w:val="20"/>
        </w:rPr>
      </w:pPr>
    </w:p>
    <w:p w:rsidR="009B4DD5" w:rsidRPr="00ED5E8D" w:rsidRDefault="009B4DD5" w:rsidP="009B4DD5">
      <w:pPr>
        <w:rPr>
          <w:rFonts w:cs="Arial"/>
          <w:color w:val="000000"/>
          <w:szCs w:val="20"/>
        </w:rPr>
      </w:pPr>
      <w:r w:rsidRPr="00ED5E8D">
        <w:rPr>
          <w:rFonts w:cs="Arial"/>
          <w:color w:val="000000"/>
          <w:szCs w:val="20"/>
        </w:rPr>
        <w:t>Návštěvnost hromadných ubytovacích zařízení v 1. čtvrtletí letošního roku ve srovnání se stejným obdobím předchozího roku vzros</w:t>
      </w:r>
      <w:r w:rsidR="005D0F27">
        <w:rPr>
          <w:rFonts w:cs="Arial"/>
          <w:color w:val="000000"/>
          <w:szCs w:val="20"/>
        </w:rPr>
        <w:t>tl v</w:t>
      </w:r>
      <w:r w:rsidR="00BB1C7A">
        <w:rPr>
          <w:rFonts w:cs="Arial"/>
          <w:color w:val="000000"/>
          <w:szCs w:val="20"/>
        </w:rPr>
        <w:t> </w:t>
      </w:r>
      <w:r w:rsidR="005D0F27">
        <w:rPr>
          <w:rFonts w:cs="Arial"/>
          <w:color w:val="000000"/>
          <w:szCs w:val="20"/>
        </w:rPr>
        <w:t xml:space="preserve">deseti krajích Česka, </w:t>
      </w:r>
      <w:r w:rsidR="00BB1C7A">
        <w:rPr>
          <w:rFonts w:cs="Arial"/>
          <w:color w:val="000000"/>
          <w:szCs w:val="20"/>
        </w:rPr>
        <w:t>naopak pokles evidovaly</w:t>
      </w:r>
      <w:r w:rsidRPr="00ED5E8D">
        <w:rPr>
          <w:rFonts w:cs="Arial"/>
          <w:szCs w:val="20"/>
        </w:rPr>
        <w:t xml:space="preserve"> kraje Středočeský</w:t>
      </w:r>
      <w:r w:rsidR="005D0F27">
        <w:rPr>
          <w:rFonts w:cs="Arial"/>
          <w:szCs w:val="20"/>
        </w:rPr>
        <w:t xml:space="preserve"> (</w:t>
      </w:r>
      <w:r w:rsidR="005D0F27" w:rsidRPr="005D0F27">
        <w:rPr>
          <w:rFonts w:cs="Arial"/>
          <w:szCs w:val="20"/>
        </w:rPr>
        <w:t>o</w:t>
      </w:r>
      <w:r w:rsidR="00BB1C7A">
        <w:rPr>
          <w:rFonts w:cs="Arial"/>
          <w:szCs w:val="20"/>
        </w:rPr>
        <w:t> 3,9 </w:t>
      </w:r>
      <w:r w:rsidR="005D0F27" w:rsidRPr="005D0F27">
        <w:rPr>
          <w:rFonts w:cs="Arial"/>
          <w:szCs w:val="20"/>
        </w:rPr>
        <w:t>%)</w:t>
      </w:r>
      <w:r w:rsidRPr="00ED5E8D">
        <w:rPr>
          <w:rFonts w:cs="Arial"/>
          <w:szCs w:val="20"/>
        </w:rPr>
        <w:t>, Jihomoravský</w:t>
      </w:r>
      <w:r w:rsidR="00BB1C7A">
        <w:rPr>
          <w:rFonts w:cs="Arial"/>
          <w:szCs w:val="20"/>
        </w:rPr>
        <w:t xml:space="preserve"> (o 2,5 %)</w:t>
      </w:r>
      <w:r w:rsidRPr="00ED5E8D">
        <w:rPr>
          <w:rFonts w:cs="Arial"/>
          <w:szCs w:val="20"/>
        </w:rPr>
        <w:t xml:space="preserve">, Plzeňský </w:t>
      </w:r>
      <w:r w:rsidR="00BB1C7A">
        <w:rPr>
          <w:rFonts w:cs="Arial"/>
          <w:szCs w:val="20"/>
        </w:rPr>
        <w:t xml:space="preserve">(o 2,4 %) </w:t>
      </w:r>
      <w:r w:rsidRPr="00ED5E8D">
        <w:rPr>
          <w:rFonts w:cs="Arial"/>
          <w:szCs w:val="20"/>
        </w:rPr>
        <w:t>a</w:t>
      </w:r>
      <w:r w:rsidR="00BB1C7A">
        <w:rPr>
          <w:rFonts w:cs="Arial"/>
          <w:szCs w:val="20"/>
        </w:rPr>
        <w:t> </w:t>
      </w:r>
      <w:r w:rsidRPr="00ED5E8D">
        <w:rPr>
          <w:rFonts w:cs="Arial"/>
          <w:szCs w:val="20"/>
        </w:rPr>
        <w:t>Jihočeský</w:t>
      </w:r>
      <w:r w:rsidR="00BB1C7A">
        <w:rPr>
          <w:rFonts w:cs="Arial"/>
          <w:szCs w:val="20"/>
        </w:rPr>
        <w:t xml:space="preserve"> (o 2,0 %).</w:t>
      </w:r>
      <w:r w:rsidRPr="00ED5E8D">
        <w:rPr>
          <w:rFonts w:cs="Arial"/>
          <w:szCs w:val="20"/>
        </w:rPr>
        <w:t xml:space="preserve"> Nejnavštěvovanějším regionem byla s po</w:t>
      </w:r>
      <w:r w:rsidR="00BB1C7A">
        <w:rPr>
          <w:rFonts w:cs="Arial"/>
          <w:szCs w:val="20"/>
        </w:rPr>
        <w:t>čtem 1,58 milionu hostů Praha. N</w:t>
      </w:r>
      <w:r w:rsidRPr="00ED5E8D">
        <w:rPr>
          <w:rFonts w:cs="Arial"/>
          <w:bCs/>
          <w:szCs w:val="20"/>
        </w:rPr>
        <w:t>ejvyšší meziroční nárůst ubytovaných turistů</w:t>
      </w:r>
      <w:r w:rsidRPr="00ED5E8D">
        <w:rPr>
          <w:rFonts w:cs="Arial"/>
          <w:szCs w:val="20"/>
        </w:rPr>
        <w:t xml:space="preserve"> vykázal Pardubický </w:t>
      </w:r>
      <w:r w:rsidR="00BB1C7A" w:rsidRPr="00ED5E8D">
        <w:rPr>
          <w:rFonts w:cs="Arial"/>
          <w:szCs w:val="20"/>
        </w:rPr>
        <w:t xml:space="preserve">kraj </w:t>
      </w:r>
      <w:r w:rsidR="00BB1C7A">
        <w:rPr>
          <w:rFonts w:cs="Arial"/>
          <w:bCs/>
          <w:szCs w:val="20"/>
        </w:rPr>
        <w:t>(o 11,1 %), dále n</w:t>
      </w:r>
      <w:r w:rsidRPr="00ED5E8D">
        <w:rPr>
          <w:rFonts w:cs="Arial"/>
          <w:szCs w:val="20"/>
        </w:rPr>
        <w:t>ásledovaly kraje Královéhradecký (o</w:t>
      </w:r>
      <w:r w:rsidR="00BB1C7A">
        <w:rPr>
          <w:rFonts w:cs="Arial"/>
          <w:szCs w:val="20"/>
        </w:rPr>
        <w:t> </w:t>
      </w:r>
      <w:r w:rsidRPr="00ED5E8D">
        <w:rPr>
          <w:rFonts w:cs="Arial"/>
          <w:szCs w:val="20"/>
        </w:rPr>
        <w:t>7,2</w:t>
      </w:r>
      <w:r w:rsidR="00BB1C7A">
        <w:rPr>
          <w:rFonts w:cs="Arial"/>
          <w:szCs w:val="20"/>
        </w:rPr>
        <w:t> </w:t>
      </w:r>
      <w:r w:rsidRPr="00ED5E8D">
        <w:rPr>
          <w:rFonts w:cs="Arial"/>
          <w:szCs w:val="20"/>
        </w:rPr>
        <w:t>%) a</w:t>
      </w:r>
      <w:r w:rsidR="00BB1C7A">
        <w:rPr>
          <w:rFonts w:cs="Arial"/>
          <w:szCs w:val="20"/>
        </w:rPr>
        <w:t> Moravskoslezský</w:t>
      </w:r>
      <w:r w:rsidRPr="00ED5E8D">
        <w:rPr>
          <w:rFonts w:cs="Arial"/>
          <w:szCs w:val="20"/>
        </w:rPr>
        <w:t xml:space="preserve"> (o </w:t>
      </w:r>
      <w:r w:rsidR="00A93C2A">
        <w:rPr>
          <w:rFonts w:cs="Arial"/>
          <w:szCs w:val="20"/>
        </w:rPr>
        <w:t>6,1</w:t>
      </w:r>
      <w:r w:rsidRPr="00ED5E8D">
        <w:rPr>
          <w:rFonts w:cs="Arial"/>
          <w:szCs w:val="20"/>
        </w:rPr>
        <w:t> %).</w:t>
      </w:r>
    </w:p>
    <w:p w:rsidR="009B4DD5" w:rsidRPr="00ED5E8D" w:rsidRDefault="009B4DD5" w:rsidP="009B4DD5">
      <w:pPr>
        <w:rPr>
          <w:rFonts w:cs="Arial"/>
          <w:color w:val="000000"/>
          <w:szCs w:val="20"/>
        </w:rPr>
      </w:pPr>
    </w:p>
    <w:p w:rsidR="009B4DD5" w:rsidRPr="00ED5E8D" w:rsidRDefault="00C5435B" w:rsidP="009B4DD5">
      <w:pPr>
        <w:rPr>
          <w:rFonts w:cs="Arial"/>
          <w:color w:val="000000"/>
          <w:szCs w:val="20"/>
        </w:rPr>
      </w:pPr>
      <w:r w:rsidRPr="00C5435B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3009546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DD5" w:rsidRPr="00ED5E8D" w:rsidRDefault="009B4DD5" w:rsidP="009B4DD5">
      <w:pPr>
        <w:rPr>
          <w:rFonts w:cs="Arial"/>
          <w:color w:val="000000"/>
          <w:szCs w:val="20"/>
        </w:rPr>
      </w:pPr>
    </w:p>
    <w:p w:rsidR="00CF6332" w:rsidRDefault="00CF6332" w:rsidP="009B4DD5">
      <w:pPr>
        <w:pStyle w:val="Zkladntext2"/>
        <w:spacing w:before="0" w:line="276" w:lineRule="auto"/>
        <w:jc w:val="left"/>
        <w:rPr>
          <w:spacing w:val="-1"/>
          <w:szCs w:val="20"/>
        </w:rPr>
      </w:pPr>
      <w:r w:rsidRPr="00C5435B">
        <w:rPr>
          <w:noProof/>
          <w:szCs w:val="20"/>
        </w:rPr>
        <w:lastRenderedPageBreak/>
        <w:drawing>
          <wp:inline distT="0" distB="0" distL="0" distR="0" wp14:anchorId="11C55554" wp14:editId="5A6728E4">
            <wp:extent cx="5399631" cy="3133725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19"/>
                    <a:stretch/>
                  </pic:blipFill>
                  <pic:spPr bwMode="auto">
                    <a:xfrm>
                      <a:off x="0" y="0"/>
                      <a:ext cx="5400040" cy="313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332" w:rsidRDefault="00CF6332" w:rsidP="009B4DD5">
      <w:pPr>
        <w:pStyle w:val="Zkladntext2"/>
        <w:spacing w:before="0" w:line="276" w:lineRule="auto"/>
        <w:jc w:val="left"/>
        <w:rPr>
          <w:spacing w:val="-1"/>
          <w:szCs w:val="20"/>
        </w:rPr>
      </w:pPr>
    </w:p>
    <w:p w:rsidR="009B4DD5" w:rsidRPr="00884C16" w:rsidRDefault="009B4DD5" w:rsidP="009B4DD5">
      <w:pPr>
        <w:pStyle w:val="Zkladntext2"/>
        <w:spacing w:before="0" w:line="276" w:lineRule="auto"/>
        <w:jc w:val="left"/>
        <w:rPr>
          <w:szCs w:val="20"/>
        </w:rPr>
      </w:pPr>
      <w:r w:rsidRPr="00C5435B">
        <w:rPr>
          <w:spacing w:val="-1"/>
          <w:szCs w:val="20"/>
        </w:rPr>
        <w:t xml:space="preserve">Návštěvnost z řad </w:t>
      </w:r>
      <w:r w:rsidRPr="00884C16">
        <w:rPr>
          <w:szCs w:val="20"/>
        </w:rPr>
        <w:t xml:space="preserve">cizinců </w:t>
      </w:r>
      <w:r w:rsidR="00CF6332" w:rsidRPr="00884C16">
        <w:rPr>
          <w:szCs w:val="20"/>
        </w:rPr>
        <w:t xml:space="preserve">v 1. čtvrtletí 2025 </w:t>
      </w:r>
      <w:r w:rsidRPr="00884C16">
        <w:rPr>
          <w:szCs w:val="20"/>
        </w:rPr>
        <w:t xml:space="preserve">byla </w:t>
      </w:r>
      <w:r w:rsidR="00884C16" w:rsidRPr="00884C16">
        <w:rPr>
          <w:szCs w:val="20"/>
        </w:rPr>
        <w:t>ve srovnání s prvními třemi měsíci</w:t>
      </w:r>
      <w:r w:rsidR="00CF6332" w:rsidRPr="00884C16">
        <w:rPr>
          <w:szCs w:val="20"/>
        </w:rPr>
        <w:t xml:space="preserve"> roku 2024</w:t>
      </w:r>
      <w:r w:rsidR="00884C16" w:rsidRPr="00884C16">
        <w:rPr>
          <w:szCs w:val="20"/>
        </w:rPr>
        <w:t xml:space="preserve"> </w:t>
      </w:r>
      <w:r w:rsidRPr="00884C16">
        <w:rPr>
          <w:szCs w:val="20"/>
        </w:rPr>
        <w:t>výrazně vyšší (o 16,1 %)</w:t>
      </w:r>
      <w:r w:rsidR="00884C16" w:rsidRPr="00884C16">
        <w:rPr>
          <w:szCs w:val="20"/>
        </w:rPr>
        <w:t>.</w:t>
      </w:r>
      <w:r w:rsidRPr="00884C16">
        <w:rPr>
          <w:szCs w:val="20"/>
        </w:rPr>
        <w:t xml:space="preserve"> Nejvíce zahraničních hostů přijelo do Moravskoslezského kraje ze Slovenska</w:t>
      </w:r>
      <w:r w:rsidR="00AB076C">
        <w:rPr>
          <w:szCs w:val="20"/>
        </w:rPr>
        <w:t xml:space="preserve"> </w:t>
      </w:r>
      <w:r w:rsidR="00AB076C" w:rsidRPr="00884C16">
        <w:rPr>
          <w:szCs w:val="20"/>
        </w:rPr>
        <w:t>(24,0 %)</w:t>
      </w:r>
      <w:r w:rsidRPr="00884C16">
        <w:rPr>
          <w:szCs w:val="20"/>
        </w:rPr>
        <w:t>. Ve sledovaných zařízeních se jich ubytovalo 9 692, což bylo o 6,0 % více než loni. Druhou nejpočetnější skupinu tvořilo 9 669 návštěvníků z Polska (meziroční nárůst o 26,9 %). Třetí se umístili návštěvníci z Německa (3 439 hostů), jejichž počet klesl o 2,6 %.</w:t>
      </w:r>
      <w:r w:rsidRPr="00884C16">
        <w:t xml:space="preserve"> Podíl hostů z uvedených zemí na všech zahraničních klientech v kraji činil </w:t>
      </w:r>
      <w:r w:rsidR="004405AD">
        <w:t>56,4 %.</w:t>
      </w:r>
    </w:p>
    <w:p w:rsidR="009B4DD5" w:rsidRPr="00884C16" w:rsidRDefault="009B4DD5" w:rsidP="009B4DD5">
      <w:pPr>
        <w:pStyle w:val="Zkladntext2"/>
        <w:spacing w:before="0" w:line="276" w:lineRule="auto"/>
        <w:jc w:val="left"/>
        <w:rPr>
          <w:szCs w:val="20"/>
        </w:rPr>
      </w:pPr>
    </w:p>
    <w:p w:rsidR="009B4DD5" w:rsidRPr="00ED5E8D" w:rsidRDefault="00C5435B" w:rsidP="009B4DD5">
      <w:pPr>
        <w:pStyle w:val="Zkladntext2"/>
        <w:spacing w:before="0" w:line="276" w:lineRule="auto"/>
        <w:jc w:val="left"/>
        <w:rPr>
          <w:szCs w:val="20"/>
        </w:rPr>
      </w:pPr>
      <w:r w:rsidRPr="00C5435B">
        <w:rPr>
          <w:noProof/>
          <w:szCs w:val="20"/>
        </w:rPr>
        <w:drawing>
          <wp:inline distT="0" distB="0" distL="0" distR="0">
            <wp:extent cx="5400040" cy="2857164"/>
            <wp:effectExtent l="0" t="0" r="0" b="63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DD5" w:rsidRPr="00ED5E8D" w:rsidRDefault="009B4DD5" w:rsidP="009B4DD5">
      <w:pPr>
        <w:pStyle w:val="Zkladntext2"/>
        <w:spacing w:before="0" w:line="276" w:lineRule="auto"/>
        <w:jc w:val="left"/>
        <w:rPr>
          <w:szCs w:val="20"/>
        </w:rPr>
      </w:pPr>
    </w:p>
    <w:p w:rsidR="009B4DD5" w:rsidRPr="00ED5E8D" w:rsidRDefault="009B4DD5" w:rsidP="009B4DD5">
      <w:pPr>
        <w:pStyle w:val="Zkladntext2"/>
        <w:spacing w:before="0" w:line="276" w:lineRule="auto"/>
        <w:jc w:val="left"/>
      </w:pPr>
      <w:r w:rsidRPr="00ED5E8D">
        <w:rPr>
          <w:szCs w:val="20"/>
        </w:rPr>
        <w:lastRenderedPageBreak/>
        <w:t xml:space="preserve">Počet </w:t>
      </w:r>
      <w:r w:rsidRPr="00ED5E8D">
        <w:rPr>
          <w:bCs/>
          <w:szCs w:val="20"/>
        </w:rPr>
        <w:t>přenocování</w:t>
      </w:r>
      <w:r w:rsidRPr="00ED5E8D">
        <w:rPr>
          <w:szCs w:val="20"/>
        </w:rPr>
        <w:t xml:space="preserve"> hostů v hromadných ubytovacích zařízeních v Moravskoslezském kraji v 1. čtvrtletí 2025 dosáhl </w:t>
      </w:r>
      <w:r w:rsidR="004405AD">
        <w:rPr>
          <w:szCs w:val="20"/>
        </w:rPr>
        <w:t>zhruba</w:t>
      </w:r>
      <w:r w:rsidRPr="00ED5E8D">
        <w:rPr>
          <w:szCs w:val="20"/>
        </w:rPr>
        <w:t xml:space="preserve"> 578 tisíc nocí a byl o 6,3 % vyšší než ve stejném období minulého roku. Na tomto meziročním nárůstu celkového počtu přenocování se podíleli jak hosté z tuzemska (nárůst o 4,5 %), tak i zahraniční klienti (nárůst o 17,0 %).</w:t>
      </w:r>
    </w:p>
    <w:p w:rsidR="009B4DD5" w:rsidRPr="00ED5E8D" w:rsidRDefault="009B4DD5" w:rsidP="009B4DD5">
      <w:pPr>
        <w:pStyle w:val="Zkladntext2"/>
        <w:spacing w:before="0" w:line="276" w:lineRule="auto"/>
        <w:jc w:val="left"/>
      </w:pPr>
    </w:p>
    <w:p w:rsidR="009B4DD5" w:rsidRPr="00ED5E8D" w:rsidRDefault="00C5435B" w:rsidP="009B4DD5">
      <w:pPr>
        <w:pStyle w:val="Zkladntext2"/>
        <w:spacing w:before="0" w:line="276" w:lineRule="auto"/>
        <w:jc w:val="left"/>
        <w:rPr>
          <w:szCs w:val="20"/>
        </w:rPr>
      </w:pPr>
      <w:r w:rsidRPr="00C5435B">
        <w:rPr>
          <w:noProof/>
          <w:szCs w:val="20"/>
        </w:rPr>
        <w:drawing>
          <wp:inline distT="0" distB="0" distL="0" distR="0">
            <wp:extent cx="5400040" cy="3161928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6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DD5" w:rsidRPr="00ED5E8D" w:rsidRDefault="009B4DD5" w:rsidP="009B4DD5">
      <w:pPr>
        <w:pStyle w:val="Zkladntext2"/>
        <w:spacing w:before="0" w:line="276" w:lineRule="auto"/>
        <w:jc w:val="left"/>
        <w:rPr>
          <w:szCs w:val="20"/>
        </w:rPr>
      </w:pPr>
    </w:p>
    <w:p w:rsidR="009B4DD5" w:rsidRPr="00ED5E8D" w:rsidRDefault="009B4DD5" w:rsidP="009B4DD5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ED5E8D">
        <w:rPr>
          <w:color w:val="000000"/>
          <w:szCs w:val="20"/>
        </w:rPr>
        <w:t xml:space="preserve">Přenocování </w:t>
      </w:r>
      <w:r w:rsidR="004405AD">
        <w:rPr>
          <w:color w:val="000000"/>
          <w:szCs w:val="20"/>
        </w:rPr>
        <w:t>se zvýšilo</w:t>
      </w:r>
      <w:r w:rsidRPr="00ED5E8D">
        <w:rPr>
          <w:color w:val="000000"/>
          <w:szCs w:val="20"/>
        </w:rPr>
        <w:t xml:space="preserve"> v 8 krajích, nejvíce v Pardubickém (o 8,8 %) a Ústeckém (o 8,7 %). Naopak ve zbylých krajích Česka – Středočeském, Jihočeském, </w:t>
      </w:r>
      <w:r w:rsidR="004405AD" w:rsidRPr="00ED5E8D">
        <w:rPr>
          <w:color w:val="000000"/>
          <w:szCs w:val="20"/>
        </w:rPr>
        <w:t>Jihomoravském</w:t>
      </w:r>
      <w:r w:rsidR="004405AD">
        <w:rPr>
          <w:color w:val="000000"/>
          <w:szCs w:val="20"/>
        </w:rPr>
        <w:t>,</w:t>
      </w:r>
      <w:r w:rsidR="004405AD" w:rsidRPr="00ED5E8D">
        <w:rPr>
          <w:color w:val="000000"/>
          <w:szCs w:val="20"/>
        </w:rPr>
        <w:t xml:space="preserve"> </w:t>
      </w:r>
      <w:r w:rsidRPr="00ED5E8D">
        <w:rPr>
          <w:color w:val="000000"/>
          <w:szCs w:val="20"/>
        </w:rPr>
        <w:t>Plzeňském, Olomouckém a</w:t>
      </w:r>
      <w:r w:rsidR="004405AD">
        <w:rPr>
          <w:color w:val="000000"/>
          <w:szCs w:val="20"/>
        </w:rPr>
        <w:t> </w:t>
      </w:r>
      <w:r w:rsidRPr="00ED5E8D">
        <w:rPr>
          <w:color w:val="000000"/>
          <w:szCs w:val="20"/>
        </w:rPr>
        <w:t>na</w:t>
      </w:r>
      <w:r w:rsidR="004405AD">
        <w:rPr>
          <w:color w:val="000000"/>
          <w:szCs w:val="20"/>
        </w:rPr>
        <w:t> </w:t>
      </w:r>
      <w:r w:rsidRPr="00ED5E8D">
        <w:rPr>
          <w:color w:val="000000"/>
          <w:szCs w:val="20"/>
        </w:rPr>
        <w:t>Vysočině – došlo k meziročnímu poklesu počtu přenocování hostů v hromadných ubytovacích zař</w:t>
      </w:r>
      <w:r w:rsidR="005745F6">
        <w:rPr>
          <w:color w:val="000000"/>
          <w:szCs w:val="20"/>
        </w:rPr>
        <w:t>ízeních. D</w:t>
      </w:r>
      <w:r w:rsidRPr="00ED5E8D">
        <w:rPr>
          <w:color w:val="000000"/>
          <w:szCs w:val="20"/>
        </w:rPr>
        <w:t xml:space="preserve">ůvodem </w:t>
      </w:r>
      <w:r w:rsidR="005745F6">
        <w:rPr>
          <w:color w:val="000000"/>
          <w:szCs w:val="20"/>
        </w:rPr>
        <w:t xml:space="preserve">byl </w:t>
      </w:r>
      <w:r w:rsidRPr="00ED5E8D">
        <w:rPr>
          <w:color w:val="000000"/>
          <w:szCs w:val="20"/>
        </w:rPr>
        <w:t xml:space="preserve">nižší zájem jak domácí, tak </w:t>
      </w:r>
      <w:r w:rsidR="009F4AB7" w:rsidRPr="00ED5E8D">
        <w:rPr>
          <w:color w:val="000000"/>
          <w:szCs w:val="20"/>
        </w:rPr>
        <w:t>i</w:t>
      </w:r>
      <w:r w:rsidR="009F4AB7">
        <w:rPr>
          <w:color w:val="000000"/>
          <w:szCs w:val="20"/>
        </w:rPr>
        <w:t> </w:t>
      </w:r>
      <w:r w:rsidRPr="00ED5E8D">
        <w:rPr>
          <w:color w:val="000000"/>
          <w:szCs w:val="20"/>
        </w:rPr>
        <w:t xml:space="preserve">zahraniční klientely. Podobně jako v případě počtu hostů byla největší </w:t>
      </w:r>
      <w:r w:rsidRPr="00ED5E8D">
        <w:t>poptávka po ubytování v 1. čtvrtletí</w:t>
      </w:r>
      <w:r w:rsidR="005745F6">
        <w:t> </w:t>
      </w:r>
      <w:r w:rsidRPr="00ED5E8D">
        <w:t>2025 v hlavním městě Praze (</w:t>
      </w:r>
      <w:r w:rsidR="005745F6">
        <w:t>cca</w:t>
      </w:r>
      <w:r w:rsidRPr="00ED5E8D">
        <w:t xml:space="preserve"> 3,5 milionu přenocování), přes milion nocí strávili turisté v Královéhradeckém a Karlovarském kraji. Rezidenti strávili nejvíce nocí v Královehradeckém kraji (902 tisíc), nerezidenti již tradičně v Praze (2,93 milionu).</w:t>
      </w:r>
    </w:p>
    <w:p w:rsidR="009B4DD5" w:rsidRPr="00ED5E8D" w:rsidRDefault="009B4DD5" w:rsidP="009B4DD5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:rsidR="009B4DD5" w:rsidRPr="00ED5E8D" w:rsidRDefault="009B4DD5" w:rsidP="009B4DD5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ED5E8D">
        <w:rPr>
          <w:bCs/>
          <w:szCs w:val="20"/>
        </w:rPr>
        <w:t>Průměrný počet přenocování</w:t>
      </w:r>
      <w:r w:rsidRPr="00ED5E8D">
        <w:rPr>
          <w:szCs w:val="20"/>
        </w:rPr>
        <w:t xml:space="preserve"> (2,8 noci na jednoho hosta) řadí Moravskoslezský kraj na 5. místo pomyslného krajského žebříčku. První místo zaujímá lázeňský Karlovarský kraj s počtem 3,7 noci, následovaný Královéhradeckým krajem s průměrem 3,4 noci. </w:t>
      </w:r>
      <w:r w:rsidR="00551395">
        <w:rPr>
          <w:szCs w:val="20"/>
        </w:rPr>
        <w:t>V</w:t>
      </w:r>
      <w:r w:rsidR="00551395" w:rsidRPr="00ED5E8D">
        <w:rPr>
          <w:szCs w:val="20"/>
        </w:rPr>
        <w:t xml:space="preserve"> Moravskoslezském kraji byl </w:t>
      </w:r>
      <w:r w:rsidR="00551395">
        <w:rPr>
          <w:szCs w:val="20"/>
        </w:rPr>
        <w:t>p</w:t>
      </w:r>
      <w:r w:rsidRPr="00ED5E8D">
        <w:rPr>
          <w:szCs w:val="20"/>
        </w:rPr>
        <w:t xml:space="preserve">růměrný počet přenocování domácích návštěvníků </w:t>
      </w:r>
      <w:r w:rsidR="00551395" w:rsidRPr="00ED5E8D">
        <w:rPr>
          <w:szCs w:val="20"/>
        </w:rPr>
        <w:t xml:space="preserve">(2,9 noci) </w:t>
      </w:r>
      <w:r w:rsidRPr="00ED5E8D">
        <w:rPr>
          <w:szCs w:val="20"/>
        </w:rPr>
        <w:t>vyšší než v případě zahraničních hostů (2,3 noci).</w:t>
      </w:r>
    </w:p>
    <w:p w:rsidR="009B4DD5" w:rsidRPr="00ED5E8D" w:rsidRDefault="009B4DD5" w:rsidP="009B4DD5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:rsidR="009B4DD5" w:rsidRPr="00ED5E8D" w:rsidRDefault="009B4DD5" w:rsidP="009B4DD5">
      <w:pPr>
        <w:rPr>
          <w:rFonts w:cs="Arial"/>
          <w:color w:val="000000"/>
          <w:szCs w:val="20"/>
        </w:rPr>
      </w:pPr>
      <w:r w:rsidRPr="00ED5E8D">
        <w:rPr>
          <w:rFonts w:cs="Arial"/>
          <w:szCs w:val="20"/>
        </w:rPr>
        <w:t>Lázeňská ubytovací zařízení v Moravskoslezském kraji zaznamenala srovnatelné výsledky jako před rokem. V </w:t>
      </w:r>
      <w:r w:rsidRPr="00ED5E8D">
        <w:rPr>
          <w:bCs/>
        </w:rPr>
        <w:t>lázních</w:t>
      </w:r>
      <w:r w:rsidRPr="00ED5E8D">
        <w:t xml:space="preserve"> se v 1. čtvrtletí 2025 ubytovalo celkem 6,7 tisíce hostů, z toho 2,8 % ze zahraničí. Proti stejnému období roku 2024 se tak nepatrně snížil celkový počet lázeňských hostů o 0,9 %, přičemž domácích klientů dorazilo o 1,5 % méně a zahraničních návštěvníků meziročně přibylo 24,2 %. Celkově dosáhl počet přenocování v lázeňských zařízeních v kraji </w:t>
      </w:r>
      <w:r w:rsidRPr="00ED5E8D">
        <w:lastRenderedPageBreak/>
        <w:t>106,2 tisíce nocí, což bylo o 4,4 % méně než v předchozím roce. Meziročně strávili rezidenti v lázních o </w:t>
      </w:r>
      <w:r w:rsidR="000B56D8">
        <w:t>5,4</w:t>
      </w:r>
      <w:r w:rsidRPr="00ED5E8D">
        <w:t> % nocí méně, v případě nerezidentů to bylo o </w:t>
      </w:r>
      <w:r w:rsidR="000B56D8">
        <w:t>38,0</w:t>
      </w:r>
      <w:r w:rsidRPr="00ED5E8D">
        <w:t> % nocí více. Průměrná délka pobytu v moravskoslezských lázních činila 15,8 noci.</w:t>
      </w:r>
    </w:p>
    <w:p w:rsidR="009B4DD5" w:rsidRPr="00ED5E8D" w:rsidRDefault="009B4DD5" w:rsidP="009B4DD5">
      <w:pPr>
        <w:rPr>
          <w:rFonts w:cs="Arial"/>
          <w:szCs w:val="20"/>
        </w:rPr>
      </w:pPr>
    </w:p>
    <w:p w:rsidR="009B4DD5" w:rsidRPr="00ED5E8D" w:rsidRDefault="009B4DD5" w:rsidP="009B4DD5">
      <w:pPr>
        <w:rPr>
          <w:rFonts w:cs="Arial"/>
          <w:szCs w:val="20"/>
        </w:rPr>
      </w:pPr>
    </w:p>
    <w:p w:rsidR="009B4DD5" w:rsidRPr="00ED5E8D" w:rsidRDefault="009B4DD5" w:rsidP="009B4DD5">
      <w:pPr>
        <w:rPr>
          <w:rFonts w:cs="Arial"/>
          <w:b/>
          <w:szCs w:val="20"/>
        </w:rPr>
      </w:pPr>
      <w:r w:rsidRPr="00ED5E8D">
        <w:rPr>
          <w:rFonts w:cs="Arial"/>
          <w:b/>
          <w:szCs w:val="20"/>
        </w:rPr>
        <w:t>Kontakt:</w:t>
      </w:r>
    </w:p>
    <w:p w:rsidR="009B4DD5" w:rsidRPr="00ED5E8D" w:rsidRDefault="009B4DD5" w:rsidP="009B4DD5">
      <w:pPr>
        <w:rPr>
          <w:rFonts w:cs="Arial"/>
          <w:szCs w:val="20"/>
        </w:rPr>
      </w:pPr>
      <w:r w:rsidRPr="00ED5E8D">
        <w:rPr>
          <w:rFonts w:cs="Arial"/>
          <w:szCs w:val="20"/>
        </w:rPr>
        <w:t>Patrik Szabo</w:t>
      </w:r>
    </w:p>
    <w:p w:rsidR="009B4DD5" w:rsidRPr="00ED5E8D" w:rsidRDefault="009B4DD5" w:rsidP="009B4DD5">
      <w:pPr>
        <w:rPr>
          <w:rFonts w:cs="Arial"/>
          <w:szCs w:val="20"/>
        </w:rPr>
      </w:pPr>
      <w:r w:rsidRPr="00ED5E8D">
        <w:rPr>
          <w:rFonts w:cs="Arial"/>
          <w:szCs w:val="20"/>
        </w:rPr>
        <w:t>Krajská správa ČSÚ v Ostravě</w:t>
      </w:r>
    </w:p>
    <w:p w:rsidR="009B4DD5" w:rsidRPr="00ED5E8D" w:rsidRDefault="009B4DD5" w:rsidP="009B4DD5">
      <w:pPr>
        <w:rPr>
          <w:rFonts w:cs="Arial"/>
          <w:szCs w:val="20"/>
        </w:rPr>
      </w:pPr>
      <w:r w:rsidRPr="00ED5E8D">
        <w:rPr>
          <w:rFonts w:cs="Arial"/>
          <w:szCs w:val="20"/>
        </w:rPr>
        <w:t>Tel.: 595 131 220</w:t>
      </w:r>
    </w:p>
    <w:p w:rsidR="009B4DD5" w:rsidRPr="00A06113" w:rsidRDefault="009B4DD5" w:rsidP="009B4DD5">
      <w:pPr>
        <w:rPr>
          <w:rFonts w:cs="Arial"/>
          <w:szCs w:val="20"/>
        </w:rPr>
      </w:pPr>
      <w:r w:rsidRPr="00ED5E8D">
        <w:rPr>
          <w:rFonts w:cs="Arial"/>
          <w:szCs w:val="20"/>
        </w:rPr>
        <w:t>E-mail: patrik.szabo@</w:t>
      </w:r>
      <w:r w:rsidR="00C5435B">
        <w:rPr>
          <w:rFonts w:cs="Arial"/>
          <w:szCs w:val="20"/>
        </w:rPr>
        <w:t>csu.gov</w:t>
      </w:r>
      <w:r w:rsidRPr="00ED5E8D">
        <w:rPr>
          <w:rFonts w:cs="Arial"/>
          <w:szCs w:val="20"/>
        </w:rPr>
        <w:t>.cz</w:t>
      </w:r>
    </w:p>
    <w:sectPr w:rsidR="009B4DD5" w:rsidRPr="00A06113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0B" w:rsidRDefault="00AB7B0B" w:rsidP="00BA6370">
      <w:r>
        <w:separator/>
      </w:r>
    </w:p>
  </w:endnote>
  <w:endnote w:type="continuationSeparator" w:id="0">
    <w:p w:rsidR="00AB7B0B" w:rsidRDefault="00AB7B0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B09" w:rsidRPr="004B0E07" w:rsidRDefault="00D41B09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1B09" w:rsidRPr="001404AB" w:rsidRDefault="00D41B09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D41B09" w:rsidRPr="00FC7194" w:rsidRDefault="00D41B09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73CC6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D41B09" w:rsidRPr="001404AB" w:rsidRDefault="00D41B09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D41B09" w:rsidRPr="00FC7194" w:rsidRDefault="00D41B09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73CC6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0B" w:rsidRDefault="00AB7B0B" w:rsidP="00BA6370">
      <w:r>
        <w:separator/>
      </w:r>
    </w:p>
  </w:footnote>
  <w:footnote w:type="continuationSeparator" w:id="0">
    <w:p w:rsidR="00AB7B0B" w:rsidRDefault="00AB7B0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B09" w:rsidRDefault="00D41B0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1B09" w:rsidRPr="00136EE6" w:rsidRDefault="00D41B09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D41B09" w:rsidRPr="007E622A" w:rsidRDefault="00D41B09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D41B09" w:rsidRPr="00136EE6" w:rsidRDefault="00D41B09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D41B09" w:rsidRPr="007E622A" w:rsidRDefault="00D41B09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B09" w:rsidRPr="004B0E07" w:rsidRDefault="00D41B09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D41B09" w:rsidRPr="004B0E07" w:rsidRDefault="00D41B09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024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5CC6"/>
    <w:rsid w:val="00006BA5"/>
    <w:rsid w:val="000128D9"/>
    <w:rsid w:val="00013BE1"/>
    <w:rsid w:val="00014145"/>
    <w:rsid w:val="000210EE"/>
    <w:rsid w:val="0002393A"/>
    <w:rsid w:val="00036496"/>
    <w:rsid w:val="00037836"/>
    <w:rsid w:val="00043BF4"/>
    <w:rsid w:val="00054861"/>
    <w:rsid w:val="00064B92"/>
    <w:rsid w:val="00075EF9"/>
    <w:rsid w:val="00075FCA"/>
    <w:rsid w:val="00077CA9"/>
    <w:rsid w:val="000820A5"/>
    <w:rsid w:val="000842D2"/>
    <w:rsid w:val="000843A5"/>
    <w:rsid w:val="00090479"/>
    <w:rsid w:val="00096F62"/>
    <w:rsid w:val="000B56D8"/>
    <w:rsid w:val="000B6F63"/>
    <w:rsid w:val="000B721D"/>
    <w:rsid w:val="000C0540"/>
    <w:rsid w:val="000C435D"/>
    <w:rsid w:val="000C55E7"/>
    <w:rsid w:val="000D010E"/>
    <w:rsid w:val="000E16E5"/>
    <w:rsid w:val="000F77DD"/>
    <w:rsid w:val="00101EC0"/>
    <w:rsid w:val="00106574"/>
    <w:rsid w:val="0011135A"/>
    <w:rsid w:val="001165D7"/>
    <w:rsid w:val="00121E8E"/>
    <w:rsid w:val="001262F8"/>
    <w:rsid w:val="00132462"/>
    <w:rsid w:val="00135F5D"/>
    <w:rsid w:val="001373E2"/>
    <w:rsid w:val="00137FE4"/>
    <w:rsid w:val="001404AB"/>
    <w:rsid w:val="00146745"/>
    <w:rsid w:val="00146827"/>
    <w:rsid w:val="001471D6"/>
    <w:rsid w:val="00154950"/>
    <w:rsid w:val="001658A9"/>
    <w:rsid w:val="0017231D"/>
    <w:rsid w:val="00175E35"/>
    <w:rsid w:val="001776E2"/>
    <w:rsid w:val="00180F1A"/>
    <w:rsid w:val="001810DC"/>
    <w:rsid w:val="00183C7E"/>
    <w:rsid w:val="001A214A"/>
    <w:rsid w:val="001A59BF"/>
    <w:rsid w:val="001B0467"/>
    <w:rsid w:val="001B363E"/>
    <w:rsid w:val="001B607F"/>
    <w:rsid w:val="001C3790"/>
    <w:rsid w:val="001C397C"/>
    <w:rsid w:val="001C6574"/>
    <w:rsid w:val="001D369A"/>
    <w:rsid w:val="001D4FB5"/>
    <w:rsid w:val="001D592D"/>
    <w:rsid w:val="001D7448"/>
    <w:rsid w:val="001E35D2"/>
    <w:rsid w:val="001F0655"/>
    <w:rsid w:val="001F4113"/>
    <w:rsid w:val="001F6D9D"/>
    <w:rsid w:val="00201154"/>
    <w:rsid w:val="0020316D"/>
    <w:rsid w:val="0020338A"/>
    <w:rsid w:val="002070FB"/>
    <w:rsid w:val="002072F1"/>
    <w:rsid w:val="00213729"/>
    <w:rsid w:val="002272A6"/>
    <w:rsid w:val="002406FA"/>
    <w:rsid w:val="002414A8"/>
    <w:rsid w:val="002460EA"/>
    <w:rsid w:val="00247FF0"/>
    <w:rsid w:val="0026346B"/>
    <w:rsid w:val="00267C91"/>
    <w:rsid w:val="0027601F"/>
    <w:rsid w:val="002846CC"/>
    <w:rsid w:val="002848DA"/>
    <w:rsid w:val="0028634A"/>
    <w:rsid w:val="00290ABE"/>
    <w:rsid w:val="002924E5"/>
    <w:rsid w:val="002A09A4"/>
    <w:rsid w:val="002A2CC6"/>
    <w:rsid w:val="002A7705"/>
    <w:rsid w:val="002B2E47"/>
    <w:rsid w:val="002C0360"/>
    <w:rsid w:val="002D6A6C"/>
    <w:rsid w:val="002E1AC6"/>
    <w:rsid w:val="002E3F63"/>
    <w:rsid w:val="002F0983"/>
    <w:rsid w:val="002F4E0F"/>
    <w:rsid w:val="002F6515"/>
    <w:rsid w:val="00305607"/>
    <w:rsid w:val="00305775"/>
    <w:rsid w:val="00310A20"/>
    <w:rsid w:val="00322412"/>
    <w:rsid w:val="00322EB4"/>
    <w:rsid w:val="003301A3"/>
    <w:rsid w:val="003339DC"/>
    <w:rsid w:val="0034111B"/>
    <w:rsid w:val="003446C0"/>
    <w:rsid w:val="00350D5E"/>
    <w:rsid w:val="00354117"/>
    <w:rsid w:val="0035578A"/>
    <w:rsid w:val="003576E1"/>
    <w:rsid w:val="0036777B"/>
    <w:rsid w:val="003723F1"/>
    <w:rsid w:val="00377213"/>
    <w:rsid w:val="0038282A"/>
    <w:rsid w:val="0039014E"/>
    <w:rsid w:val="00397580"/>
    <w:rsid w:val="003A1794"/>
    <w:rsid w:val="003A45C8"/>
    <w:rsid w:val="003A48D6"/>
    <w:rsid w:val="003B1096"/>
    <w:rsid w:val="003C1F46"/>
    <w:rsid w:val="003C2DCF"/>
    <w:rsid w:val="003C7FE7"/>
    <w:rsid w:val="003D02AA"/>
    <w:rsid w:val="003D0499"/>
    <w:rsid w:val="003E40B7"/>
    <w:rsid w:val="003F1247"/>
    <w:rsid w:val="003F526A"/>
    <w:rsid w:val="003F673F"/>
    <w:rsid w:val="00404BB4"/>
    <w:rsid w:val="00405244"/>
    <w:rsid w:val="00413A9D"/>
    <w:rsid w:val="0044003D"/>
    <w:rsid w:val="004405AD"/>
    <w:rsid w:val="004436EE"/>
    <w:rsid w:val="00453FED"/>
    <w:rsid w:val="00454C33"/>
    <w:rsid w:val="0045547F"/>
    <w:rsid w:val="00455C8D"/>
    <w:rsid w:val="00456565"/>
    <w:rsid w:val="00460236"/>
    <w:rsid w:val="0047181C"/>
    <w:rsid w:val="00483248"/>
    <w:rsid w:val="00485B6D"/>
    <w:rsid w:val="004920AD"/>
    <w:rsid w:val="00493244"/>
    <w:rsid w:val="00493F79"/>
    <w:rsid w:val="00496597"/>
    <w:rsid w:val="004A118C"/>
    <w:rsid w:val="004A1955"/>
    <w:rsid w:val="004A27A6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D4ABB"/>
    <w:rsid w:val="004D7F69"/>
    <w:rsid w:val="004E23C2"/>
    <w:rsid w:val="004E3BD3"/>
    <w:rsid w:val="004E479E"/>
    <w:rsid w:val="004E583B"/>
    <w:rsid w:val="004E60BD"/>
    <w:rsid w:val="004E708E"/>
    <w:rsid w:val="004E7B93"/>
    <w:rsid w:val="004F0065"/>
    <w:rsid w:val="004F33E0"/>
    <w:rsid w:val="004F3EC1"/>
    <w:rsid w:val="004F78E6"/>
    <w:rsid w:val="00512D99"/>
    <w:rsid w:val="00513719"/>
    <w:rsid w:val="00522A43"/>
    <w:rsid w:val="00523D28"/>
    <w:rsid w:val="00524D45"/>
    <w:rsid w:val="00531DBB"/>
    <w:rsid w:val="00531E36"/>
    <w:rsid w:val="00551395"/>
    <w:rsid w:val="0055189C"/>
    <w:rsid w:val="00563CBF"/>
    <w:rsid w:val="005745F6"/>
    <w:rsid w:val="00584F51"/>
    <w:rsid w:val="0058515B"/>
    <w:rsid w:val="005A4CF0"/>
    <w:rsid w:val="005A716F"/>
    <w:rsid w:val="005B3040"/>
    <w:rsid w:val="005B39FA"/>
    <w:rsid w:val="005B425A"/>
    <w:rsid w:val="005B786C"/>
    <w:rsid w:val="005C2E78"/>
    <w:rsid w:val="005D0F27"/>
    <w:rsid w:val="005E3421"/>
    <w:rsid w:val="005E4453"/>
    <w:rsid w:val="005F0648"/>
    <w:rsid w:val="005F3F67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53F7"/>
    <w:rsid w:val="0064139A"/>
    <w:rsid w:val="00642389"/>
    <w:rsid w:val="0064339A"/>
    <w:rsid w:val="00655FF9"/>
    <w:rsid w:val="0066017B"/>
    <w:rsid w:val="006653D7"/>
    <w:rsid w:val="00671136"/>
    <w:rsid w:val="00675D16"/>
    <w:rsid w:val="006849D2"/>
    <w:rsid w:val="006B3841"/>
    <w:rsid w:val="006C25ED"/>
    <w:rsid w:val="006C4853"/>
    <w:rsid w:val="006D0131"/>
    <w:rsid w:val="006D0967"/>
    <w:rsid w:val="006D3623"/>
    <w:rsid w:val="006E024F"/>
    <w:rsid w:val="006E4E81"/>
    <w:rsid w:val="00707F7D"/>
    <w:rsid w:val="00717EC5"/>
    <w:rsid w:val="007241DC"/>
    <w:rsid w:val="00727525"/>
    <w:rsid w:val="00732998"/>
    <w:rsid w:val="00737B80"/>
    <w:rsid w:val="00745928"/>
    <w:rsid w:val="00765041"/>
    <w:rsid w:val="007955B0"/>
    <w:rsid w:val="00796380"/>
    <w:rsid w:val="007A540A"/>
    <w:rsid w:val="007A57F2"/>
    <w:rsid w:val="007B1333"/>
    <w:rsid w:val="007C4721"/>
    <w:rsid w:val="007C5FB6"/>
    <w:rsid w:val="007D7E4F"/>
    <w:rsid w:val="007E2A8E"/>
    <w:rsid w:val="007E622A"/>
    <w:rsid w:val="007F4AEB"/>
    <w:rsid w:val="007F75B2"/>
    <w:rsid w:val="00803CFE"/>
    <w:rsid w:val="008043C4"/>
    <w:rsid w:val="008044ED"/>
    <w:rsid w:val="00805A9A"/>
    <w:rsid w:val="008108D7"/>
    <w:rsid w:val="00810A2C"/>
    <w:rsid w:val="00813DCD"/>
    <w:rsid w:val="00831B1B"/>
    <w:rsid w:val="0084741C"/>
    <w:rsid w:val="00853350"/>
    <w:rsid w:val="00861D0E"/>
    <w:rsid w:val="00864341"/>
    <w:rsid w:val="00867569"/>
    <w:rsid w:val="00874373"/>
    <w:rsid w:val="008805CB"/>
    <w:rsid w:val="00882382"/>
    <w:rsid w:val="00884C16"/>
    <w:rsid w:val="00885416"/>
    <w:rsid w:val="0089635D"/>
    <w:rsid w:val="00896FE6"/>
    <w:rsid w:val="008A14AA"/>
    <w:rsid w:val="008A4BA5"/>
    <w:rsid w:val="008A5F4F"/>
    <w:rsid w:val="008A750A"/>
    <w:rsid w:val="008B66EF"/>
    <w:rsid w:val="008C384C"/>
    <w:rsid w:val="008D0F11"/>
    <w:rsid w:val="008D64ED"/>
    <w:rsid w:val="008E1823"/>
    <w:rsid w:val="008F176D"/>
    <w:rsid w:val="008F2493"/>
    <w:rsid w:val="008F35B4"/>
    <w:rsid w:val="008F63FB"/>
    <w:rsid w:val="008F73B4"/>
    <w:rsid w:val="0090346A"/>
    <w:rsid w:val="009273EC"/>
    <w:rsid w:val="00930692"/>
    <w:rsid w:val="0094402F"/>
    <w:rsid w:val="009620FD"/>
    <w:rsid w:val="009668FF"/>
    <w:rsid w:val="0097323F"/>
    <w:rsid w:val="00981088"/>
    <w:rsid w:val="00984C08"/>
    <w:rsid w:val="009969B4"/>
    <w:rsid w:val="009A42A7"/>
    <w:rsid w:val="009B0A41"/>
    <w:rsid w:val="009B2D20"/>
    <w:rsid w:val="009B4DD5"/>
    <w:rsid w:val="009B55B1"/>
    <w:rsid w:val="009C2234"/>
    <w:rsid w:val="009C2C7E"/>
    <w:rsid w:val="009D45E8"/>
    <w:rsid w:val="009D564B"/>
    <w:rsid w:val="009D6888"/>
    <w:rsid w:val="009F1238"/>
    <w:rsid w:val="009F4AB7"/>
    <w:rsid w:val="00A00672"/>
    <w:rsid w:val="00A0325E"/>
    <w:rsid w:val="00A20B3A"/>
    <w:rsid w:val="00A33FC1"/>
    <w:rsid w:val="00A3593C"/>
    <w:rsid w:val="00A3702F"/>
    <w:rsid w:val="00A41930"/>
    <w:rsid w:val="00A4343D"/>
    <w:rsid w:val="00A4717D"/>
    <w:rsid w:val="00A502F1"/>
    <w:rsid w:val="00A54974"/>
    <w:rsid w:val="00A61C41"/>
    <w:rsid w:val="00A675B1"/>
    <w:rsid w:val="00A70A83"/>
    <w:rsid w:val="00A70BCA"/>
    <w:rsid w:val="00A73CC6"/>
    <w:rsid w:val="00A81EB3"/>
    <w:rsid w:val="00A842CF"/>
    <w:rsid w:val="00A9386F"/>
    <w:rsid w:val="00A93C2A"/>
    <w:rsid w:val="00AA5A18"/>
    <w:rsid w:val="00AB076C"/>
    <w:rsid w:val="00AB7B0B"/>
    <w:rsid w:val="00AE3567"/>
    <w:rsid w:val="00AE3FCA"/>
    <w:rsid w:val="00AE6D5B"/>
    <w:rsid w:val="00AF241E"/>
    <w:rsid w:val="00B00875"/>
    <w:rsid w:val="00B00C1D"/>
    <w:rsid w:val="00B00C39"/>
    <w:rsid w:val="00B03E21"/>
    <w:rsid w:val="00B1128D"/>
    <w:rsid w:val="00B129C9"/>
    <w:rsid w:val="00B25E8F"/>
    <w:rsid w:val="00B40799"/>
    <w:rsid w:val="00B433A7"/>
    <w:rsid w:val="00B43A86"/>
    <w:rsid w:val="00B640C0"/>
    <w:rsid w:val="00B66EA7"/>
    <w:rsid w:val="00B7003D"/>
    <w:rsid w:val="00B8090D"/>
    <w:rsid w:val="00B80AE4"/>
    <w:rsid w:val="00BA439F"/>
    <w:rsid w:val="00BA6370"/>
    <w:rsid w:val="00BB1C7A"/>
    <w:rsid w:val="00BB311F"/>
    <w:rsid w:val="00BB5FB4"/>
    <w:rsid w:val="00BB612E"/>
    <w:rsid w:val="00BE218E"/>
    <w:rsid w:val="00BE75B5"/>
    <w:rsid w:val="00BF07E1"/>
    <w:rsid w:val="00BF1401"/>
    <w:rsid w:val="00C02A6B"/>
    <w:rsid w:val="00C12C27"/>
    <w:rsid w:val="00C1513D"/>
    <w:rsid w:val="00C269D4"/>
    <w:rsid w:val="00C4160D"/>
    <w:rsid w:val="00C44BCC"/>
    <w:rsid w:val="00C52466"/>
    <w:rsid w:val="00C5435B"/>
    <w:rsid w:val="00C5514B"/>
    <w:rsid w:val="00C568C0"/>
    <w:rsid w:val="00C6259C"/>
    <w:rsid w:val="00C62F5D"/>
    <w:rsid w:val="00C71991"/>
    <w:rsid w:val="00C8406E"/>
    <w:rsid w:val="00C877F2"/>
    <w:rsid w:val="00C918E6"/>
    <w:rsid w:val="00C91F3D"/>
    <w:rsid w:val="00CA4EE0"/>
    <w:rsid w:val="00CA7E45"/>
    <w:rsid w:val="00CB0A87"/>
    <w:rsid w:val="00CB2709"/>
    <w:rsid w:val="00CB6121"/>
    <w:rsid w:val="00CB6F89"/>
    <w:rsid w:val="00CB7797"/>
    <w:rsid w:val="00CC2E91"/>
    <w:rsid w:val="00CE0609"/>
    <w:rsid w:val="00CE228C"/>
    <w:rsid w:val="00CF545B"/>
    <w:rsid w:val="00CF6332"/>
    <w:rsid w:val="00D00AF4"/>
    <w:rsid w:val="00D018F0"/>
    <w:rsid w:val="00D24195"/>
    <w:rsid w:val="00D24759"/>
    <w:rsid w:val="00D27074"/>
    <w:rsid w:val="00D27D69"/>
    <w:rsid w:val="00D27DEC"/>
    <w:rsid w:val="00D3296C"/>
    <w:rsid w:val="00D41B09"/>
    <w:rsid w:val="00D448C2"/>
    <w:rsid w:val="00D605BD"/>
    <w:rsid w:val="00D666C3"/>
    <w:rsid w:val="00D70127"/>
    <w:rsid w:val="00D71A18"/>
    <w:rsid w:val="00DA411E"/>
    <w:rsid w:val="00DB3587"/>
    <w:rsid w:val="00DB517B"/>
    <w:rsid w:val="00DC4E8A"/>
    <w:rsid w:val="00DD044F"/>
    <w:rsid w:val="00DD39E3"/>
    <w:rsid w:val="00DF47FE"/>
    <w:rsid w:val="00DF7CDB"/>
    <w:rsid w:val="00E0551C"/>
    <w:rsid w:val="00E12FDC"/>
    <w:rsid w:val="00E2374E"/>
    <w:rsid w:val="00E26006"/>
    <w:rsid w:val="00E26704"/>
    <w:rsid w:val="00E27C40"/>
    <w:rsid w:val="00E31980"/>
    <w:rsid w:val="00E34B8A"/>
    <w:rsid w:val="00E35327"/>
    <w:rsid w:val="00E465AF"/>
    <w:rsid w:val="00E47F43"/>
    <w:rsid w:val="00E506CD"/>
    <w:rsid w:val="00E50FC6"/>
    <w:rsid w:val="00E6090D"/>
    <w:rsid w:val="00E60D10"/>
    <w:rsid w:val="00E6291C"/>
    <w:rsid w:val="00E6423C"/>
    <w:rsid w:val="00E676DA"/>
    <w:rsid w:val="00E70A10"/>
    <w:rsid w:val="00E80E75"/>
    <w:rsid w:val="00E863AD"/>
    <w:rsid w:val="00E93830"/>
    <w:rsid w:val="00E93E0E"/>
    <w:rsid w:val="00EA00F2"/>
    <w:rsid w:val="00EA25EF"/>
    <w:rsid w:val="00EA47CF"/>
    <w:rsid w:val="00EB0E3E"/>
    <w:rsid w:val="00EB1034"/>
    <w:rsid w:val="00EB1ED3"/>
    <w:rsid w:val="00EB323E"/>
    <w:rsid w:val="00EC153E"/>
    <w:rsid w:val="00EC2D51"/>
    <w:rsid w:val="00EC2EFB"/>
    <w:rsid w:val="00EC5916"/>
    <w:rsid w:val="00EF299C"/>
    <w:rsid w:val="00F12DFF"/>
    <w:rsid w:val="00F163D8"/>
    <w:rsid w:val="00F26395"/>
    <w:rsid w:val="00F310A4"/>
    <w:rsid w:val="00F3121A"/>
    <w:rsid w:val="00F425D3"/>
    <w:rsid w:val="00F43A6D"/>
    <w:rsid w:val="00F4529F"/>
    <w:rsid w:val="00F46F18"/>
    <w:rsid w:val="00F636A3"/>
    <w:rsid w:val="00F71716"/>
    <w:rsid w:val="00F82157"/>
    <w:rsid w:val="00FB000A"/>
    <w:rsid w:val="00FB005B"/>
    <w:rsid w:val="00FB687C"/>
    <w:rsid w:val="00FC3345"/>
    <w:rsid w:val="00FC7194"/>
    <w:rsid w:val="00FD2C7F"/>
    <w:rsid w:val="00FD3900"/>
    <w:rsid w:val="00FD6688"/>
    <w:rsid w:val="00FE0FE3"/>
    <w:rsid w:val="00FF129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71bc"/>
    </o:shapedefaults>
    <o:shapelayout v:ext="edit">
      <o:idmap v:ext="edit" data="1"/>
    </o:shapelayout>
  </w:shapeDefaults>
  <w:decimalSymbol w:val=","/>
  <w:listSeparator w:val=";"/>
  <w14:docId w14:val="45CF8BCA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FE0FE3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E0FE3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BFCD-7914-4FB7-9334-925B4BF2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1099</TotalTime>
  <Pages>4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4242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154</cp:revision>
  <cp:lastPrinted>2023-06-09T06:43:00Z</cp:lastPrinted>
  <dcterms:created xsi:type="dcterms:W3CDTF">2022-03-03T07:33:00Z</dcterms:created>
  <dcterms:modified xsi:type="dcterms:W3CDTF">2025-05-12T07:45:00Z</dcterms:modified>
</cp:coreProperties>
</file>