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43" w:rsidRPr="00F9392E" w:rsidRDefault="000746FE" w:rsidP="00DC4343">
      <w:pPr>
        <w:pStyle w:val="Datum"/>
      </w:pPr>
      <w:r>
        <w:t>18</w:t>
      </w:r>
      <w:r w:rsidR="00DC4343" w:rsidRPr="00F9392E">
        <w:t>. </w:t>
      </w:r>
      <w:r w:rsidR="0030499E" w:rsidRPr="00F9392E">
        <w:t>1</w:t>
      </w:r>
      <w:r w:rsidR="00DC4343" w:rsidRPr="00F9392E">
        <w:t>. 202</w:t>
      </w:r>
      <w:r w:rsidR="0030499E" w:rsidRPr="00F9392E">
        <w:t>4</w:t>
      </w:r>
    </w:p>
    <w:p w:rsidR="00DC4343" w:rsidRPr="00F9392E" w:rsidRDefault="00DC4343" w:rsidP="00DC4343">
      <w:pPr>
        <w:pStyle w:val="Nzev"/>
      </w:pPr>
      <w:r w:rsidRPr="00F9392E">
        <w:t>Regionální účty 202</w:t>
      </w:r>
      <w:r w:rsidR="0030499E" w:rsidRPr="00F9392E">
        <w:t>2</w:t>
      </w:r>
      <w:r w:rsidRPr="00F9392E">
        <w:t xml:space="preserve"> – Moravskoslezský kraj</w:t>
      </w:r>
    </w:p>
    <w:p w:rsidR="00DC4343" w:rsidRPr="00F9392E" w:rsidRDefault="00DC4343" w:rsidP="00DC4343">
      <w:pPr>
        <w:pStyle w:val="Perex"/>
        <w:rPr>
          <w:bCs/>
          <w:szCs w:val="20"/>
        </w:rPr>
      </w:pPr>
      <w:r w:rsidRPr="00F9392E">
        <w:rPr>
          <w:bCs/>
          <w:szCs w:val="24"/>
          <w:lang w:eastAsia="cs-CZ"/>
        </w:rPr>
        <w:t>Hrubý domácí produkt dosáhl v roce 202</w:t>
      </w:r>
      <w:r w:rsidR="000B7B80" w:rsidRPr="00F9392E">
        <w:rPr>
          <w:bCs/>
          <w:szCs w:val="24"/>
          <w:lang w:eastAsia="cs-CZ"/>
        </w:rPr>
        <w:t>2</w:t>
      </w:r>
      <w:r w:rsidRPr="00F9392E">
        <w:rPr>
          <w:bCs/>
          <w:szCs w:val="24"/>
          <w:lang w:eastAsia="cs-CZ"/>
        </w:rPr>
        <w:t xml:space="preserve"> v Moravskoslezském kraji 5</w:t>
      </w:r>
      <w:r w:rsidR="000B7B80" w:rsidRPr="00F9392E">
        <w:rPr>
          <w:bCs/>
          <w:szCs w:val="24"/>
          <w:lang w:eastAsia="cs-CZ"/>
        </w:rPr>
        <w:t>97</w:t>
      </w:r>
      <w:r w:rsidRPr="00F9392E">
        <w:rPr>
          <w:bCs/>
          <w:szCs w:val="24"/>
          <w:lang w:eastAsia="cs-CZ"/>
        </w:rPr>
        <w:t>,</w:t>
      </w:r>
      <w:r w:rsidR="000B7B80" w:rsidRPr="00F9392E">
        <w:rPr>
          <w:bCs/>
          <w:szCs w:val="24"/>
          <w:lang w:eastAsia="cs-CZ"/>
        </w:rPr>
        <w:t>7</w:t>
      </w:r>
      <w:r w:rsidR="007923C7" w:rsidRPr="00F9392E">
        <w:rPr>
          <w:bCs/>
          <w:szCs w:val="24"/>
          <w:lang w:eastAsia="cs-CZ"/>
        </w:rPr>
        <w:t> miliardy</w:t>
      </w:r>
      <w:r w:rsidRPr="00F9392E">
        <w:rPr>
          <w:bCs/>
          <w:szCs w:val="24"/>
          <w:lang w:eastAsia="cs-CZ"/>
        </w:rPr>
        <w:t> Kč a ve srovnatelných cenách se meziročně zvýšil o </w:t>
      </w:r>
      <w:r w:rsidR="000131AB" w:rsidRPr="00F9392E">
        <w:rPr>
          <w:bCs/>
          <w:szCs w:val="24"/>
          <w:lang w:eastAsia="cs-CZ"/>
        </w:rPr>
        <w:t>3</w:t>
      </w:r>
      <w:r w:rsidRPr="00F9392E">
        <w:rPr>
          <w:bCs/>
          <w:szCs w:val="24"/>
          <w:lang w:eastAsia="cs-CZ"/>
        </w:rPr>
        <w:t>,</w:t>
      </w:r>
      <w:r w:rsidR="000131AB" w:rsidRPr="00F9392E">
        <w:rPr>
          <w:bCs/>
          <w:szCs w:val="24"/>
          <w:lang w:eastAsia="cs-CZ"/>
        </w:rPr>
        <w:t>5</w:t>
      </w:r>
      <w:r w:rsidRPr="00F9392E">
        <w:rPr>
          <w:bCs/>
          <w:szCs w:val="24"/>
          <w:lang w:eastAsia="cs-CZ"/>
        </w:rPr>
        <w:t xml:space="preserve"> procentního bodu. Odvětvová struktura hrubé přidané hodnoty se </w:t>
      </w:r>
      <w:r w:rsidR="003D0C8B">
        <w:rPr>
          <w:bCs/>
          <w:szCs w:val="24"/>
          <w:lang w:eastAsia="cs-CZ"/>
        </w:rPr>
        <w:t>ve srovnání s republikovým průměrem vyznačovala vyšším</w:t>
      </w:r>
      <w:r w:rsidRPr="00F9392E">
        <w:rPr>
          <w:bCs/>
          <w:szCs w:val="24"/>
          <w:lang w:eastAsia="cs-CZ"/>
        </w:rPr>
        <w:t xml:space="preserve"> podílem sekundárního sektoru (</w:t>
      </w:r>
      <w:r w:rsidR="008F05D7" w:rsidRPr="00F9392E">
        <w:rPr>
          <w:bCs/>
          <w:szCs w:val="24"/>
          <w:lang w:eastAsia="cs-CZ"/>
        </w:rPr>
        <w:t>39</w:t>
      </w:r>
      <w:r w:rsidRPr="00F9392E">
        <w:rPr>
          <w:bCs/>
          <w:szCs w:val="24"/>
          <w:lang w:eastAsia="cs-CZ"/>
        </w:rPr>
        <w:t>,</w:t>
      </w:r>
      <w:r w:rsidR="008F05D7" w:rsidRPr="00F9392E">
        <w:rPr>
          <w:bCs/>
          <w:szCs w:val="24"/>
          <w:lang w:eastAsia="cs-CZ"/>
        </w:rPr>
        <w:t>9</w:t>
      </w:r>
      <w:r w:rsidRPr="00F9392E">
        <w:rPr>
          <w:bCs/>
          <w:szCs w:val="24"/>
          <w:lang w:eastAsia="cs-CZ"/>
        </w:rPr>
        <w:t> %). Naopak hodnoty v primárním (1,</w:t>
      </w:r>
      <w:r w:rsidR="008F05D7" w:rsidRPr="00F9392E">
        <w:rPr>
          <w:bCs/>
          <w:szCs w:val="24"/>
          <w:lang w:eastAsia="cs-CZ"/>
        </w:rPr>
        <w:t>5</w:t>
      </w:r>
      <w:r w:rsidRPr="00F9392E">
        <w:rPr>
          <w:bCs/>
          <w:szCs w:val="24"/>
          <w:lang w:eastAsia="cs-CZ"/>
        </w:rPr>
        <w:t> %) a zejména v terciárním sektoru (5</w:t>
      </w:r>
      <w:r w:rsidR="008F05D7" w:rsidRPr="00F9392E">
        <w:rPr>
          <w:bCs/>
          <w:szCs w:val="24"/>
          <w:lang w:eastAsia="cs-CZ"/>
        </w:rPr>
        <w:t>8</w:t>
      </w:r>
      <w:r w:rsidRPr="00F9392E">
        <w:rPr>
          <w:bCs/>
          <w:szCs w:val="24"/>
          <w:lang w:eastAsia="cs-CZ"/>
        </w:rPr>
        <w:t>,</w:t>
      </w:r>
      <w:r w:rsidR="008F05D7" w:rsidRPr="00F9392E">
        <w:rPr>
          <w:bCs/>
          <w:szCs w:val="24"/>
          <w:lang w:eastAsia="cs-CZ"/>
        </w:rPr>
        <w:t>5</w:t>
      </w:r>
      <w:r w:rsidRPr="00F9392E">
        <w:rPr>
          <w:bCs/>
          <w:szCs w:val="24"/>
          <w:lang w:eastAsia="cs-CZ"/>
        </w:rPr>
        <w:t xml:space="preserve"> %) zaostávaly za průměrem Česka. Tvorba hrubého fixního kapitálu na obyvatele dosáhla v Moravskoslezském kraji </w:t>
      </w:r>
      <w:r w:rsidR="003E2FF3">
        <w:rPr>
          <w:bCs/>
          <w:szCs w:val="24"/>
          <w:lang w:eastAsia="cs-CZ"/>
        </w:rPr>
        <w:t>119,8</w:t>
      </w:r>
      <w:r w:rsidR="007923C7" w:rsidRPr="00F9392E">
        <w:rPr>
          <w:bCs/>
          <w:szCs w:val="24"/>
          <w:lang w:eastAsia="cs-CZ"/>
        </w:rPr>
        <w:t> tisíce</w:t>
      </w:r>
      <w:r w:rsidRPr="00F9392E">
        <w:rPr>
          <w:bCs/>
          <w:szCs w:val="24"/>
          <w:lang w:eastAsia="cs-CZ"/>
        </w:rPr>
        <w:t> Kč a ve srovnání s hodnotou republikového průměru byla o</w:t>
      </w:r>
      <w:r w:rsidR="008F05D7" w:rsidRPr="00F9392E">
        <w:rPr>
          <w:bCs/>
          <w:szCs w:val="24"/>
          <w:lang w:eastAsia="cs-CZ"/>
        </w:rPr>
        <w:t> 50</w:t>
      </w:r>
      <w:r w:rsidRPr="00F9392E">
        <w:rPr>
          <w:bCs/>
          <w:szCs w:val="24"/>
          <w:lang w:eastAsia="cs-CZ"/>
        </w:rPr>
        <w:t>,</w:t>
      </w:r>
      <w:r w:rsidR="003E2FF3">
        <w:rPr>
          <w:bCs/>
          <w:szCs w:val="24"/>
          <w:lang w:eastAsia="cs-CZ"/>
        </w:rPr>
        <w:t>4</w:t>
      </w:r>
      <w:r w:rsidR="007923C7" w:rsidRPr="00F9392E">
        <w:rPr>
          <w:bCs/>
          <w:szCs w:val="24"/>
          <w:lang w:eastAsia="cs-CZ"/>
        </w:rPr>
        <w:t> tisíce</w:t>
      </w:r>
      <w:r w:rsidRPr="00F9392E">
        <w:rPr>
          <w:bCs/>
          <w:szCs w:val="24"/>
          <w:lang w:eastAsia="cs-CZ"/>
        </w:rPr>
        <w:t> Kč nižší. Čistý disponibilní důchod domácností dosáhl v roce 202</w:t>
      </w:r>
      <w:r w:rsidR="000131AB" w:rsidRPr="00F9392E">
        <w:rPr>
          <w:bCs/>
          <w:szCs w:val="24"/>
          <w:lang w:eastAsia="cs-CZ"/>
        </w:rPr>
        <w:t>2</w:t>
      </w:r>
      <w:r w:rsidRPr="00F9392E">
        <w:rPr>
          <w:bCs/>
          <w:szCs w:val="24"/>
          <w:lang w:eastAsia="cs-CZ"/>
        </w:rPr>
        <w:t xml:space="preserve"> své dosavadní nejvyšší hodnoty 3</w:t>
      </w:r>
      <w:r w:rsidR="000131AB" w:rsidRPr="00F9392E">
        <w:rPr>
          <w:bCs/>
          <w:szCs w:val="24"/>
          <w:lang w:eastAsia="cs-CZ"/>
        </w:rPr>
        <w:t>5</w:t>
      </w:r>
      <w:r w:rsidRPr="00F9392E">
        <w:rPr>
          <w:bCs/>
          <w:szCs w:val="24"/>
          <w:lang w:eastAsia="cs-CZ"/>
        </w:rPr>
        <w:t>9,</w:t>
      </w:r>
      <w:r w:rsidR="000131AB" w:rsidRPr="00F9392E">
        <w:rPr>
          <w:bCs/>
          <w:szCs w:val="24"/>
          <w:lang w:eastAsia="cs-CZ"/>
        </w:rPr>
        <w:t>4</w:t>
      </w:r>
      <w:r w:rsidR="007923C7" w:rsidRPr="00F9392E">
        <w:rPr>
          <w:bCs/>
          <w:szCs w:val="24"/>
          <w:lang w:eastAsia="cs-CZ"/>
        </w:rPr>
        <w:t> miliardy</w:t>
      </w:r>
      <w:r w:rsidRPr="00F9392E">
        <w:rPr>
          <w:bCs/>
          <w:szCs w:val="24"/>
          <w:lang w:eastAsia="cs-CZ"/>
        </w:rPr>
        <w:t xml:space="preserve"> Kč. Při přepočtu na 1 obyvatele činil </w:t>
      </w:r>
      <w:r w:rsidR="000131AB" w:rsidRPr="00F9392E">
        <w:rPr>
          <w:bCs/>
          <w:szCs w:val="24"/>
          <w:lang w:eastAsia="cs-CZ"/>
        </w:rPr>
        <w:t>300</w:t>
      </w:r>
      <w:r w:rsidRPr="00F9392E">
        <w:rPr>
          <w:bCs/>
          <w:szCs w:val="24"/>
          <w:lang w:eastAsia="cs-CZ"/>
        </w:rPr>
        <w:t>,</w:t>
      </w:r>
      <w:r w:rsidR="000131AB" w:rsidRPr="00F9392E">
        <w:rPr>
          <w:bCs/>
          <w:szCs w:val="24"/>
          <w:lang w:eastAsia="cs-CZ"/>
        </w:rPr>
        <w:t>6</w:t>
      </w:r>
      <w:r w:rsidRPr="00F9392E">
        <w:rPr>
          <w:bCs/>
          <w:szCs w:val="24"/>
          <w:lang w:eastAsia="cs-CZ"/>
        </w:rPr>
        <w:t> tis</w:t>
      </w:r>
      <w:r w:rsidR="007923C7" w:rsidRPr="00F9392E">
        <w:rPr>
          <w:bCs/>
          <w:szCs w:val="24"/>
          <w:lang w:eastAsia="cs-CZ"/>
        </w:rPr>
        <w:t>íce</w:t>
      </w:r>
      <w:r w:rsidRPr="00F9392E">
        <w:rPr>
          <w:bCs/>
          <w:szCs w:val="24"/>
          <w:lang w:eastAsia="cs-CZ"/>
        </w:rPr>
        <w:t> Kč a proti republikovému průměru byl nižší o 2</w:t>
      </w:r>
      <w:r w:rsidR="008F05D7" w:rsidRPr="00F9392E">
        <w:rPr>
          <w:bCs/>
          <w:szCs w:val="24"/>
          <w:lang w:eastAsia="cs-CZ"/>
        </w:rPr>
        <w:t>6</w:t>
      </w:r>
      <w:r w:rsidRPr="00F9392E">
        <w:rPr>
          <w:bCs/>
          <w:szCs w:val="24"/>
          <w:lang w:eastAsia="cs-CZ"/>
        </w:rPr>
        <w:t>,</w:t>
      </w:r>
      <w:r w:rsidR="008F05D7" w:rsidRPr="00F9392E">
        <w:rPr>
          <w:bCs/>
          <w:szCs w:val="24"/>
          <w:lang w:eastAsia="cs-CZ"/>
        </w:rPr>
        <w:t>2</w:t>
      </w:r>
      <w:r w:rsidRPr="00F9392E">
        <w:rPr>
          <w:bCs/>
          <w:szCs w:val="24"/>
          <w:lang w:eastAsia="cs-CZ"/>
        </w:rPr>
        <w:t> </w:t>
      </w:r>
      <w:r w:rsidR="007923C7" w:rsidRPr="00F9392E">
        <w:rPr>
          <w:bCs/>
          <w:szCs w:val="24"/>
          <w:lang w:eastAsia="cs-CZ"/>
        </w:rPr>
        <w:t>tisíce</w:t>
      </w:r>
      <w:r w:rsidRPr="00F9392E">
        <w:rPr>
          <w:bCs/>
          <w:szCs w:val="24"/>
          <w:lang w:eastAsia="cs-CZ"/>
        </w:rPr>
        <w:t> Kč.</w:t>
      </w:r>
    </w:p>
    <w:p w:rsidR="00DC4343" w:rsidRPr="00F9392E" w:rsidRDefault="00B73998" w:rsidP="00DC4343">
      <w:pPr>
        <w:rPr>
          <w:rFonts w:cs="Arial"/>
          <w:b/>
          <w:bCs/>
          <w:spacing w:val="-3"/>
          <w:szCs w:val="24"/>
          <w:lang w:eastAsia="cs-CZ"/>
        </w:rPr>
      </w:pPr>
      <w:r w:rsidRPr="00F9392E">
        <w:rPr>
          <w:rFonts w:cs="Arial"/>
          <w:b/>
          <w:bCs/>
          <w:spacing w:val="-3"/>
          <w:szCs w:val="24"/>
          <w:lang w:eastAsia="cs-CZ"/>
        </w:rPr>
        <w:t>H</w:t>
      </w:r>
      <w:r w:rsidR="00DC4343" w:rsidRPr="00F9392E">
        <w:rPr>
          <w:rFonts w:cs="Arial"/>
          <w:b/>
          <w:bCs/>
          <w:spacing w:val="-3"/>
          <w:szCs w:val="24"/>
          <w:lang w:eastAsia="cs-CZ"/>
        </w:rPr>
        <w:t>rubý domácí produkt</w:t>
      </w:r>
      <w:r w:rsidR="0096314E" w:rsidRPr="00F9392E">
        <w:rPr>
          <w:rFonts w:cs="Arial"/>
          <w:b/>
          <w:bCs/>
          <w:spacing w:val="-3"/>
          <w:szCs w:val="24"/>
          <w:lang w:eastAsia="cs-CZ"/>
        </w:rPr>
        <w:t xml:space="preserve"> (HDP)</w:t>
      </w:r>
    </w:p>
    <w:p w:rsidR="00DE73F9" w:rsidRPr="00F9392E" w:rsidRDefault="00DE73F9" w:rsidP="00DE73F9">
      <w:pPr>
        <w:rPr>
          <w:rFonts w:cs="Arial"/>
          <w:bCs/>
          <w:spacing w:val="-1"/>
          <w:szCs w:val="24"/>
          <w:lang w:eastAsia="cs-CZ"/>
        </w:rPr>
      </w:pPr>
      <w:r w:rsidRPr="00F9392E">
        <w:rPr>
          <w:rFonts w:cs="Arial"/>
          <w:szCs w:val="20"/>
          <w:lang w:eastAsia="cs-CZ"/>
        </w:rPr>
        <w:t xml:space="preserve">Regionální </w:t>
      </w:r>
      <w:r w:rsidRPr="00F9392E">
        <w:rPr>
          <w:rFonts w:cs="Arial"/>
          <w:bCs/>
          <w:szCs w:val="20"/>
          <w:lang w:eastAsia="cs-CZ"/>
        </w:rPr>
        <w:t xml:space="preserve">HDP </w:t>
      </w:r>
      <w:r w:rsidRPr="00F9392E">
        <w:rPr>
          <w:rFonts w:cs="Arial"/>
          <w:szCs w:val="20"/>
          <w:lang w:eastAsia="cs-CZ"/>
        </w:rPr>
        <w:t xml:space="preserve">v běžných cenách </w:t>
      </w:r>
      <w:r w:rsidR="00D60D56" w:rsidRPr="00F9392E">
        <w:rPr>
          <w:rFonts w:cs="Arial"/>
          <w:bCs/>
          <w:szCs w:val="20"/>
          <w:lang w:eastAsia="cs-CZ"/>
        </w:rPr>
        <w:t>v </w:t>
      </w:r>
      <w:r w:rsidRPr="00F9392E">
        <w:rPr>
          <w:rFonts w:cs="Arial"/>
          <w:bCs/>
          <w:szCs w:val="20"/>
          <w:lang w:eastAsia="cs-CZ"/>
        </w:rPr>
        <w:t>Moravskoslezském kraji</w:t>
      </w:r>
      <w:r w:rsidRPr="00F9392E">
        <w:rPr>
          <w:rFonts w:cs="Arial"/>
          <w:szCs w:val="20"/>
          <w:lang w:eastAsia="cs-CZ"/>
        </w:rPr>
        <w:t xml:space="preserve"> v roce 202</w:t>
      </w:r>
      <w:r w:rsidR="0030499E" w:rsidRPr="00F9392E">
        <w:rPr>
          <w:rFonts w:cs="Arial"/>
          <w:szCs w:val="20"/>
          <w:lang w:eastAsia="cs-CZ"/>
        </w:rPr>
        <w:t>2</w:t>
      </w:r>
      <w:r w:rsidRPr="00F9392E">
        <w:rPr>
          <w:rFonts w:cs="Arial"/>
          <w:szCs w:val="20"/>
          <w:lang w:eastAsia="cs-CZ"/>
        </w:rPr>
        <w:t xml:space="preserve"> dosáhl </w:t>
      </w:r>
      <w:r w:rsidRPr="00F9392E">
        <w:rPr>
          <w:rFonts w:cs="Arial"/>
          <w:bCs/>
          <w:szCs w:val="20"/>
          <w:lang w:eastAsia="cs-CZ"/>
        </w:rPr>
        <w:t>5</w:t>
      </w:r>
      <w:r w:rsidR="007D5C0C" w:rsidRPr="00F9392E">
        <w:rPr>
          <w:rFonts w:cs="Arial"/>
          <w:bCs/>
          <w:szCs w:val="20"/>
          <w:lang w:eastAsia="cs-CZ"/>
        </w:rPr>
        <w:t>97</w:t>
      </w:r>
      <w:r w:rsidRPr="00F9392E">
        <w:rPr>
          <w:rFonts w:cs="Arial"/>
          <w:bCs/>
          <w:szCs w:val="20"/>
          <w:lang w:eastAsia="cs-CZ"/>
        </w:rPr>
        <w:t>,</w:t>
      </w:r>
      <w:r w:rsidR="007D5C0C" w:rsidRPr="00F9392E">
        <w:rPr>
          <w:rFonts w:cs="Arial"/>
          <w:bCs/>
          <w:szCs w:val="20"/>
          <w:lang w:eastAsia="cs-CZ"/>
        </w:rPr>
        <w:t>7</w:t>
      </w:r>
      <w:r w:rsidRPr="00F9392E">
        <w:rPr>
          <w:rFonts w:cs="Arial"/>
          <w:bCs/>
          <w:szCs w:val="20"/>
          <w:lang w:eastAsia="cs-CZ"/>
        </w:rPr>
        <w:t> </w:t>
      </w:r>
      <w:r w:rsidRPr="00F9392E">
        <w:rPr>
          <w:rFonts w:cs="Arial"/>
          <w:szCs w:val="20"/>
          <w:lang w:eastAsia="cs-CZ"/>
        </w:rPr>
        <w:t>miliardy </w:t>
      </w:r>
      <w:r w:rsidRPr="00F9392E">
        <w:rPr>
          <w:rFonts w:cs="Arial"/>
          <w:bCs/>
          <w:szCs w:val="20"/>
          <w:lang w:eastAsia="cs-CZ"/>
        </w:rPr>
        <w:t>Kč</w:t>
      </w:r>
      <w:r w:rsidRPr="00F9392E">
        <w:rPr>
          <w:rFonts w:cs="Arial"/>
          <w:szCs w:val="20"/>
          <w:lang w:eastAsia="cs-CZ"/>
        </w:rPr>
        <w:t xml:space="preserve"> </w:t>
      </w:r>
      <w:r w:rsidR="00D60D56" w:rsidRPr="00F9392E">
        <w:rPr>
          <w:rFonts w:cs="Arial"/>
          <w:szCs w:val="20"/>
          <w:lang w:eastAsia="cs-CZ"/>
        </w:rPr>
        <w:t>a </w:t>
      </w:r>
      <w:r w:rsidRPr="00F9392E">
        <w:rPr>
          <w:rFonts w:cs="Arial"/>
          <w:szCs w:val="20"/>
          <w:lang w:eastAsia="cs-CZ"/>
        </w:rPr>
        <w:t>meziročně se zvýšil o </w:t>
      </w:r>
      <w:r w:rsidR="007D5C0C" w:rsidRPr="00F9392E">
        <w:rPr>
          <w:rFonts w:cs="Arial"/>
          <w:szCs w:val="20"/>
          <w:lang w:eastAsia="cs-CZ"/>
        </w:rPr>
        <w:t>64</w:t>
      </w:r>
      <w:r w:rsidRPr="00F9392E">
        <w:rPr>
          <w:rFonts w:cs="Arial"/>
          <w:szCs w:val="20"/>
          <w:lang w:eastAsia="cs-CZ"/>
        </w:rPr>
        <w:t>,</w:t>
      </w:r>
      <w:r w:rsidR="007D5C0C" w:rsidRPr="00F9392E">
        <w:rPr>
          <w:rFonts w:cs="Arial"/>
          <w:szCs w:val="20"/>
          <w:lang w:eastAsia="cs-CZ"/>
        </w:rPr>
        <w:t>9</w:t>
      </w:r>
      <w:r w:rsidRPr="00F9392E">
        <w:rPr>
          <w:rFonts w:cs="Arial"/>
          <w:szCs w:val="20"/>
          <w:lang w:eastAsia="cs-CZ"/>
        </w:rPr>
        <w:t> miliardy</w:t>
      </w:r>
      <w:r w:rsidR="00B73998" w:rsidRPr="00F9392E">
        <w:rPr>
          <w:rFonts w:cs="Arial"/>
          <w:szCs w:val="20"/>
          <w:lang w:eastAsia="cs-CZ"/>
        </w:rPr>
        <w:t> Kč</w:t>
      </w:r>
      <w:r w:rsidRPr="00F9392E">
        <w:rPr>
          <w:rFonts w:cs="Arial"/>
          <w:bCs/>
          <w:szCs w:val="20"/>
          <w:lang w:eastAsia="cs-CZ"/>
        </w:rPr>
        <w:t>.</w:t>
      </w:r>
      <w:r w:rsidRPr="00F9392E">
        <w:rPr>
          <w:rFonts w:cs="Arial"/>
          <w:szCs w:val="20"/>
          <w:lang w:eastAsia="cs-CZ"/>
        </w:rPr>
        <w:t xml:space="preserve"> Úloha kraje na tvorbě republikového HDP má převážně klesající tendenci, v roce 202</w:t>
      </w:r>
      <w:r w:rsidR="003B44F8" w:rsidRPr="00F9392E">
        <w:rPr>
          <w:rFonts w:cs="Arial"/>
          <w:szCs w:val="20"/>
          <w:lang w:eastAsia="cs-CZ"/>
        </w:rPr>
        <w:t>2</w:t>
      </w:r>
      <w:r w:rsidRPr="00F9392E">
        <w:rPr>
          <w:rFonts w:cs="Arial"/>
          <w:szCs w:val="20"/>
          <w:lang w:eastAsia="cs-CZ"/>
        </w:rPr>
        <w:t xml:space="preserve"> činil tento podíl 8,</w:t>
      </w:r>
      <w:r w:rsidR="003B44F8" w:rsidRPr="00F9392E">
        <w:rPr>
          <w:rFonts w:cs="Arial"/>
          <w:szCs w:val="20"/>
          <w:lang w:eastAsia="cs-CZ"/>
        </w:rPr>
        <w:t>8</w:t>
      </w:r>
      <w:r w:rsidRPr="00F9392E">
        <w:rPr>
          <w:rFonts w:cs="Arial"/>
          <w:szCs w:val="20"/>
          <w:lang w:eastAsia="cs-CZ"/>
        </w:rPr>
        <w:t xml:space="preserve"> %, zatímco </w:t>
      </w:r>
      <w:r w:rsidR="00B73998" w:rsidRPr="00F9392E">
        <w:rPr>
          <w:rFonts w:cs="Arial"/>
          <w:szCs w:val="20"/>
          <w:lang w:eastAsia="cs-CZ"/>
        </w:rPr>
        <w:t>na konci 90. </w:t>
      </w:r>
      <w:r w:rsidRPr="00F9392E">
        <w:rPr>
          <w:rFonts w:cs="Arial"/>
          <w:szCs w:val="20"/>
          <w:lang w:eastAsia="cs-CZ"/>
        </w:rPr>
        <w:t>let minulého století přesahoval 10procentní hranici. V mezikrajském srovnání je pořadí podílu Moravskoslezského kraje dlouhodobě čtvrté nejvyšší za Prahou, Středočeským krajem a Jihomoravským krajem.</w:t>
      </w:r>
    </w:p>
    <w:p w:rsidR="00DC4343" w:rsidRDefault="00DC4343" w:rsidP="00DC4343">
      <w:pPr>
        <w:rPr>
          <w:rFonts w:cs="Arial"/>
          <w:szCs w:val="20"/>
          <w:lang w:eastAsia="cs-CZ"/>
        </w:rPr>
      </w:pPr>
    </w:p>
    <w:p w:rsidR="00F36A47" w:rsidRPr="00F9392E" w:rsidRDefault="00F36A47" w:rsidP="00DC4343">
      <w:pPr>
        <w:rPr>
          <w:rFonts w:cs="Arial"/>
          <w:szCs w:val="20"/>
          <w:lang w:eastAsia="cs-CZ"/>
        </w:rPr>
      </w:pPr>
      <w:r w:rsidRPr="00F36A47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29525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F39" w:rsidRPr="00F9392E" w:rsidRDefault="00807F39" w:rsidP="00DC4343">
      <w:pPr>
        <w:rPr>
          <w:rFonts w:cs="Arial"/>
          <w:szCs w:val="20"/>
          <w:lang w:eastAsia="cs-CZ"/>
        </w:rPr>
      </w:pPr>
    </w:p>
    <w:p w:rsidR="00785E7D" w:rsidRPr="00785E7D" w:rsidRDefault="00D60D56" w:rsidP="00DC4343">
      <w:pPr>
        <w:rPr>
          <w:rFonts w:cs="Minion Pro"/>
          <w:color w:val="000000"/>
        </w:rPr>
      </w:pPr>
      <w:r w:rsidRPr="00F9392E">
        <w:rPr>
          <w:rFonts w:cs="Minion Pro"/>
          <w:color w:val="000000"/>
        </w:rPr>
        <w:t>V </w:t>
      </w:r>
      <w:r w:rsidR="00F91F20" w:rsidRPr="00F9392E">
        <w:rPr>
          <w:rFonts w:cs="Minion Pro"/>
          <w:color w:val="000000"/>
        </w:rPr>
        <w:t>roce 2019 moravskoslezský HDP ve srovnatelných cenách (s.</w:t>
      </w:r>
      <w:r w:rsidR="006B4B06" w:rsidRPr="00F9392E">
        <w:rPr>
          <w:rFonts w:cs="Minion Pro"/>
          <w:color w:val="000000"/>
        </w:rPr>
        <w:t> </w:t>
      </w:r>
      <w:r w:rsidR="00F91F20" w:rsidRPr="00F9392E">
        <w:rPr>
          <w:rFonts w:cs="Minion Pro"/>
          <w:color w:val="000000"/>
        </w:rPr>
        <w:t xml:space="preserve">c.) jako </w:t>
      </w:r>
      <w:r w:rsidRPr="00F9392E">
        <w:rPr>
          <w:rFonts w:cs="Minion Pro"/>
          <w:color w:val="000000"/>
        </w:rPr>
        <w:t>v </w:t>
      </w:r>
      <w:r w:rsidR="00F91F20" w:rsidRPr="00F9392E">
        <w:rPr>
          <w:rFonts w:cs="Minion Pro"/>
          <w:color w:val="000000"/>
        </w:rPr>
        <w:t xml:space="preserve">jediném kraji Česka meziročně poklesl o 1,6 % a v roce 2020 restriktivní opatření přijatá proti šíření koronaviru pokles HDP ještě zrychlil na 7,6 %. Ve většině </w:t>
      </w:r>
      <w:r w:rsidR="003652E0" w:rsidRPr="00F9392E">
        <w:rPr>
          <w:rFonts w:cs="Minion Pro"/>
          <w:color w:val="000000"/>
        </w:rPr>
        <w:t>krajů</w:t>
      </w:r>
      <w:r w:rsidR="00F91F20" w:rsidRPr="00F9392E">
        <w:rPr>
          <w:rFonts w:cs="Minion Pro"/>
          <w:color w:val="000000"/>
        </w:rPr>
        <w:t xml:space="preserve"> se jednalo </w:t>
      </w:r>
      <w:r w:rsidRPr="00F9392E">
        <w:rPr>
          <w:rFonts w:cs="Minion Pro"/>
          <w:color w:val="000000"/>
        </w:rPr>
        <w:t>o </w:t>
      </w:r>
      <w:r w:rsidR="00F91F20" w:rsidRPr="00F9392E">
        <w:rPr>
          <w:rFonts w:cs="Minion Pro"/>
          <w:color w:val="000000"/>
        </w:rPr>
        <w:t>propad, který neměl od roku 1995 obdoby. Výsledkem byl propad regionálního HDP v</w:t>
      </w:r>
      <w:r w:rsidR="006B4B06" w:rsidRPr="00F9392E">
        <w:rPr>
          <w:rFonts w:cs="Minion Pro"/>
          <w:color w:val="000000"/>
        </w:rPr>
        <w:t> </w:t>
      </w:r>
      <w:r w:rsidR="00F91F20" w:rsidRPr="00F9392E">
        <w:rPr>
          <w:rFonts w:cs="Minion Pro"/>
          <w:color w:val="000000"/>
        </w:rPr>
        <w:t>s.</w:t>
      </w:r>
      <w:r w:rsidR="006B4B06" w:rsidRPr="00F9392E">
        <w:rPr>
          <w:rFonts w:cs="Minion Pro"/>
          <w:color w:val="000000"/>
        </w:rPr>
        <w:t> </w:t>
      </w:r>
      <w:r w:rsidR="00F91F20" w:rsidRPr="00F9392E">
        <w:rPr>
          <w:rFonts w:cs="Minion Pro"/>
          <w:color w:val="000000"/>
        </w:rPr>
        <w:t xml:space="preserve">c. </w:t>
      </w:r>
      <w:r w:rsidRPr="00F9392E">
        <w:rPr>
          <w:rFonts w:cs="Minion Pro"/>
          <w:color w:val="000000"/>
        </w:rPr>
        <w:t>v </w:t>
      </w:r>
      <w:r w:rsidR="00F91F20" w:rsidRPr="00F9392E">
        <w:rPr>
          <w:rFonts w:cs="Minion Pro"/>
          <w:color w:val="000000"/>
        </w:rPr>
        <w:t>Moravskoslezském kraji na úroveň předkrizového roku 2008.</w:t>
      </w:r>
      <w:r w:rsidR="003652E0" w:rsidRPr="00F9392E">
        <w:rPr>
          <w:rFonts w:cs="Minion Pro"/>
          <w:color w:val="000000"/>
        </w:rPr>
        <w:t xml:space="preserve"> Rok 202</w:t>
      </w:r>
      <w:r w:rsidR="008F05D7" w:rsidRPr="00F9392E">
        <w:rPr>
          <w:rFonts w:cs="Minion Pro"/>
          <w:color w:val="000000"/>
        </w:rPr>
        <w:t>2</w:t>
      </w:r>
      <w:r w:rsidR="003652E0" w:rsidRPr="00F9392E">
        <w:rPr>
          <w:rFonts w:cs="Minion Pro"/>
          <w:color w:val="000000"/>
        </w:rPr>
        <w:t xml:space="preserve"> byl </w:t>
      </w:r>
      <w:r w:rsidR="008F05D7" w:rsidRPr="00F9392E">
        <w:rPr>
          <w:rFonts w:cs="Minion Pro"/>
          <w:color w:val="000000"/>
        </w:rPr>
        <w:t xml:space="preserve">stejně jako rok předchozí </w:t>
      </w:r>
      <w:r w:rsidR="003652E0" w:rsidRPr="00F9392E">
        <w:rPr>
          <w:rFonts w:cs="Minion Pro"/>
          <w:color w:val="000000"/>
        </w:rPr>
        <w:t>ve znamení růstu HDP</w:t>
      </w:r>
      <w:r w:rsidR="002728B9" w:rsidRPr="00F9392E">
        <w:rPr>
          <w:rFonts w:cs="Minion Pro"/>
          <w:color w:val="000000"/>
        </w:rPr>
        <w:t xml:space="preserve">, </w:t>
      </w:r>
      <w:r w:rsidR="008F05D7" w:rsidRPr="00F9392E">
        <w:rPr>
          <w:rFonts w:cs="Minion Pro"/>
          <w:color w:val="000000"/>
        </w:rPr>
        <w:t xml:space="preserve">v Moravskoslezském kraji </w:t>
      </w:r>
      <w:r w:rsidR="002728B9" w:rsidRPr="00F9392E">
        <w:rPr>
          <w:rFonts w:cs="Minion Pro"/>
          <w:color w:val="000000"/>
        </w:rPr>
        <w:t xml:space="preserve">se zvýšil </w:t>
      </w:r>
      <w:r w:rsidRPr="00F9392E">
        <w:rPr>
          <w:rFonts w:cs="Minion Pro"/>
          <w:color w:val="000000"/>
        </w:rPr>
        <w:t>o </w:t>
      </w:r>
      <w:r w:rsidR="008F05D7" w:rsidRPr="00F9392E">
        <w:rPr>
          <w:rFonts w:cs="Minion Pro"/>
          <w:color w:val="000000"/>
        </w:rPr>
        <w:t>3</w:t>
      </w:r>
      <w:r w:rsidR="002728B9" w:rsidRPr="00F9392E">
        <w:rPr>
          <w:rFonts w:cs="Minion Pro"/>
          <w:color w:val="000000"/>
        </w:rPr>
        <w:t>,</w:t>
      </w:r>
      <w:r w:rsidR="008F05D7" w:rsidRPr="00F9392E">
        <w:rPr>
          <w:rFonts w:cs="Minion Pro"/>
          <w:color w:val="000000"/>
        </w:rPr>
        <w:t>5</w:t>
      </w:r>
      <w:r w:rsidRPr="00F9392E">
        <w:rPr>
          <w:rFonts w:cs="Minion Pro"/>
          <w:color w:val="000000"/>
        </w:rPr>
        <w:t> </w:t>
      </w:r>
      <w:r w:rsidR="002728B9" w:rsidRPr="00F9392E">
        <w:rPr>
          <w:rFonts w:cs="Minion Pro"/>
          <w:color w:val="000000"/>
        </w:rPr>
        <w:t xml:space="preserve">%. Pouze ve </w:t>
      </w:r>
      <w:r w:rsidR="0050140E" w:rsidRPr="00F9392E">
        <w:rPr>
          <w:rFonts w:cs="Minion Pro"/>
          <w:color w:val="000000"/>
        </w:rPr>
        <w:t>třech</w:t>
      </w:r>
      <w:r w:rsidR="002728B9" w:rsidRPr="00F9392E">
        <w:rPr>
          <w:rFonts w:cs="Minion Pro"/>
          <w:color w:val="000000"/>
        </w:rPr>
        <w:t xml:space="preserve"> krajích Česka HDP reálně poklesl, a</w:t>
      </w:r>
      <w:r w:rsidR="006B4B06" w:rsidRPr="00F9392E">
        <w:rPr>
          <w:rFonts w:cs="Minion Pro"/>
          <w:color w:val="000000"/>
        </w:rPr>
        <w:t> </w:t>
      </w:r>
      <w:r w:rsidR="002728B9" w:rsidRPr="00F9392E">
        <w:rPr>
          <w:rFonts w:cs="Minion Pro"/>
          <w:color w:val="000000"/>
        </w:rPr>
        <w:t xml:space="preserve">to </w:t>
      </w:r>
      <w:r w:rsidRPr="00F9392E">
        <w:rPr>
          <w:rFonts w:cs="Minion Pro"/>
          <w:color w:val="000000"/>
        </w:rPr>
        <w:t>v </w:t>
      </w:r>
      <w:r w:rsidR="002728B9" w:rsidRPr="00F9392E">
        <w:rPr>
          <w:rFonts w:cs="Minion Pro"/>
          <w:color w:val="000000"/>
        </w:rPr>
        <w:t>kraj</w:t>
      </w:r>
      <w:r w:rsidR="005D735F" w:rsidRPr="00F9392E">
        <w:rPr>
          <w:rFonts w:cs="Minion Pro"/>
          <w:color w:val="000000"/>
        </w:rPr>
        <w:t>ích</w:t>
      </w:r>
      <w:r w:rsidR="002728B9" w:rsidRPr="00F9392E">
        <w:rPr>
          <w:rFonts w:cs="Minion Pro"/>
          <w:color w:val="000000"/>
        </w:rPr>
        <w:t xml:space="preserve"> Vysočina o</w:t>
      </w:r>
      <w:r w:rsidR="006B4B06" w:rsidRPr="00F9392E">
        <w:rPr>
          <w:rFonts w:cs="Minion Pro"/>
          <w:color w:val="000000"/>
        </w:rPr>
        <w:t> </w:t>
      </w:r>
      <w:r w:rsidR="0050140E" w:rsidRPr="00F9392E">
        <w:rPr>
          <w:rFonts w:cs="Minion Pro"/>
          <w:color w:val="000000"/>
        </w:rPr>
        <w:t>3</w:t>
      </w:r>
      <w:r w:rsidR="002728B9" w:rsidRPr="00F9392E">
        <w:rPr>
          <w:rFonts w:cs="Minion Pro"/>
          <w:color w:val="000000"/>
        </w:rPr>
        <w:t>,</w:t>
      </w:r>
      <w:r w:rsidR="0050140E" w:rsidRPr="00F9392E">
        <w:rPr>
          <w:rFonts w:cs="Minion Pro"/>
          <w:color w:val="000000"/>
        </w:rPr>
        <w:t>5</w:t>
      </w:r>
      <w:r w:rsidR="006B4B06" w:rsidRPr="00F9392E">
        <w:rPr>
          <w:rFonts w:cs="Minion Pro"/>
          <w:color w:val="000000"/>
        </w:rPr>
        <w:t> </w:t>
      </w:r>
      <w:r w:rsidR="002728B9" w:rsidRPr="00F9392E">
        <w:rPr>
          <w:rFonts w:cs="Minion Pro"/>
          <w:color w:val="000000"/>
        </w:rPr>
        <w:t>%</w:t>
      </w:r>
      <w:r w:rsidR="0050140E" w:rsidRPr="00F9392E">
        <w:rPr>
          <w:rFonts w:cs="Minion Pro"/>
          <w:color w:val="000000"/>
        </w:rPr>
        <w:t>, Jihočeském</w:t>
      </w:r>
      <w:r w:rsidR="002728B9" w:rsidRPr="00F9392E">
        <w:rPr>
          <w:rFonts w:cs="Minion Pro"/>
          <w:color w:val="000000"/>
        </w:rPr>
        <w:t xml:space="preserve"> </w:t>
      </w:r>
      <w:r w:rsidR="004B1EA7" w:rsidRPr="00F9392E">
        <w:rPr>
          <w:rFonts w:cs="Minion Pro"/>
          <w:color w:val="000000"/>
        </w:rPr>
        <w:t>o</w:t>
      </w:r>
      <w:r w:rsidR="004B1EA7">
        <w:rPr>
          <w:rFonts w:cs="Minion Pro"/>
          <w:color w:val="000000"/>
        </w:rPr>
        <w:t> </w:t>
      </w:r>
      <w:r w:rsidR="0050140E" w:rsidRPr="00F9392E">
        <w:rPr>
          <w:rFonts w:cs="Minion Pro"/>
          <w:color w:val="000000"/>
        </w:rPr>
        <w:t>1,</w:t>
      </w:r>
      <w:r w:rsidR="004B1EA7" w:rsidRPr="00F9392E">
        <w:rPr>
          <w:rFonts w:cs="Minion Pro"/>
          <w:color w:val="000000"/>
        </w:rPr>
        <w:t>2</w:t>
      </w:r>
      <w:r w:rsidR="004B1EA7">
        <w:rPr>
          <w:rFonts w:cs="Minion Pro"/>
          <w:color w:val="000000"/>
        </w:rPr>
        <w:t> </w:t>
      </w:r>
      <w:r w:rsidR="0050140E" w:rsidRPr="00F9392E">
        <w:rPr>
          <w:rFonts w:cs="Minion Pro"/>
          <w:color w:val="000000"/>
        </w:rPr>
        <w:t xml:space="preserve">% </w:t>
      </w:r>
      <w:r w:rsidR="002728B9" w:rsidRPr="00F9392E">
        <w:rPr>
          <w:rFonts w:cs="Minion Pro"/>
          <w:color w:val="000000"/>
        </w:rPr>
        <w:t>a</w:t>
      </w:r>
      <w:r w:rsidR="006B4B06" w:rsidRPr="00F9392E">
        <w:rPr>
          <w:rFonts w:cs="Minion Pro"/>
          <w:color w:val="000000"/>
        </w:rPr>
        <w:t> </w:t>
      </w:r>
      <w:r w:rsidR="002728B9" w:rsidRPr="00F9392E">
        <w:rPr>
          <w:rFonts w:cs="Minion Pro"/>
          <w:color w:val="000000"/>
        </w:rPr>
        <w:t xml:space="preserve">Karlovarském </w:t>
      </w:r>
      <w:r w:rsidRPr="00F9392E">
        <w:rPr>
          <w:rFonts w:cs="Minion Pro"/>
          <w:color w:val="000000"/>
        </w:rPr>
        <w:t>o </w:t>
      </w:r>
      <w:r w:rsidR="0050140E" w:rsidRPr="00F9392E">
        <w:rPr>
          <w:rFonts w:cs="Minion Pro"/>
          <w:color w:val="000000"/>
        </w:rPr>
        <w:t>0</w:t>
      </w:r>
      <w:r w:rsidR="002728B9" w:rsidRPr="00F9392E">
        <w:rPr>
          <w:rFonts w:cs="Minion Pro"/>
          <w:color w:val="000000"/>
        </w:rPr>
        <w:t>,</w:t>
      </w:r>
      <w:r w:rsidR="0050140E" w:rsidRPr="00F9392E">
        <w:rPr>
          <w:rFonts w:cs="Minion Pro"/>
          <w:color w:val="000000"/>
        </w:rPr>
        <w:t>1</w:t>
      </w:r>
      <w:r w:rsidR="002728B9" w:rsidRPr="00F9392E">
        <w:rPr>
          <w:rFonts w:cs="Minion Pro"/>
          <w:color w:val="000000"/>
        </w:rPr>
        <w:t> %.</w:t>
      </w:r>
    </w:p>
    <w:p w:rsidR="00DC4343" w:rsidRPr="00F9392E" w:rsidRDefault="004F1A1E" w:rsidP="00DC4343">
      <w:pPr>
        <w:rPr>
          <w:rFonts w:cs="Arial"/>
          <w:szCs w:val="20"/>
          <w:lang w:eastAsia="cs-CZ"/>
        </w:rPr>
      </w:pPr>
      <w:r w:rsidRPr="004F1A1E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229525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612670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noProof/>
          <w:szCs w:val="20"/>
          <w:lang w:eastAsia="cs-CZ"/>
        </w:rPr>
        <w:drawing>
          <wp:inline distT="0" distB="0" distL="0" distR="0">
            <wp:extent cx="5400000" cy="3819600"/>
            <wp:effectExtent l="0" t="0" r="0" b="0"/>
            <wp:docPr id="24" name="Obrázek 24" descr="I:\_aktuality_povinne\2024\02a_makroekonomikaPS24\csu_reg_ucty22_k1_moravskoslezsky_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_aktuality_povinne\2024\02a_makroekonomikaPS24\csu_reg_ucty22_k1_moravskoslezsky_kra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Default="00314F9E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bCs/>
          <w:szCs w:val="20"/>
          <w:lang w:eastAsia="cs-CZ"/>
        </w:rPr>
        <w:t>V</w:t>
      </w:r>
      <w:r w:rsidR="00DC4343" w:rsidRPr="00F9392E">
        <w:rPr>
          <w:rFonts w:cs="Arial"/>
          <w:szCs w:val="20"/>
          <w:lang w:eastAsia="cs-CZ"/>
        </w:rPr>
        <w:t xml:space="preserve"> přepočtu </w:t>
      </w:r>
      <w:r w:rsidR="00DC4343" w:rsidRPr="00F9392E">
        <w:rPr>
          <w:rFonts w:cs="Arial"/>
          <w:bCs/>
          <w:szCs w:val="20"/>
          <w:lang w:eastAsia="cs-CZ"/>
        </w:rPr>
        <w:t>na 1 obyvatele</w:t>
      </w:r>
      <w:r w:rsidR="00DC4343" w:rsidRPr="00F9392E">
        <w:rPr>
          <w:rFonts w:cs="Arial"/>
          <w:szCs w:val="20"/>
          <w:lang w:eastAsia="cs-CZ"/>
        </w:rPr>
        <w:t xml:space="preserve"> </w:t>
      </w:r>
      <w:r w:rsidRPr="00F9392E">
        <w:rPr>
          <w:rFonts w:cs="Arial"/>
          <w:szCs w:val="20"/>
          <w:lang w:eastAsia="cs-CZ"/>
        </w:rPr>
        <w:t xml:space="preserve">dosáhlo HDP </w:t>
      </w:r>
      <w:r w:rsidR="00D60D56" w:rsidRPr="00F9392E">
        <w:rPr>
          <w:rFonts w:cs="Arial"/>
          <w:szCs w:val="20"/>
          <w:lang w:eastAsia="cs-CZ"/>
        </w:rPr>
        <w:t>v </w:t>
      </w:r>
      <w:r w:rsidRPr="00F9392E">
        <w:rPr>
          <w:rFonts w:cs="Arial"/>
          <w:szCs w:val="20"/>
          <w:lang w:eastAsia="cs-CZ"/>
        </w:rPr>
        <w:t>Moravskoslezském kraji</w:t>
      </w:r>
      <w:r w:rsidR="00DC4343" w:rsidRPr="00F9392E">
        <w:rPr>
          <w:rFonts w:cs="Arial"/>
          <w:szCs w:val="20"/>
          <w:lang w:eastAsia="cs-CZ"/>
        </w:rPr>
        <w:t xml:space="preserve"> </w:t>
      </w:r>
      <w:r w:rsidR="00FB738C" w:rsidRPr="00F9392E">
        <w:rPr>
          <w:rFonts w:cs="Arial"/>
          <w:szCs w:val="20"/>
          <w:lang w:eastAsia="cs-CZ"/>
        </w:rPr>
        <w:t>v</w:t>
      </w:r>
      <w:r w:rsidR="006B4B06" w:rsidRPr="00F9392E">
        <w:rPr>
          <w:rFonts w:cs="Arial"/>
          <w:szCs w:val="20"/>
          <w:lang w:eastAsia="cs-CZ"/>
        </w:rPr>
        <w:t> </w:t>
      </w:r>
      <w:r w:rsidR="00FB738C" w:rsidRPr="00F9392E">
        <w:rPr>
          <w:rFonts w:cs="Arial"/>
          <w:szCs w:val="20"/>
          <w:lang w:eastAsia="cs-CZ"/>
        </w:rPr>
        <w:t>roce</w:t>
      </w:r>
      <w:r w:rsidR="006B4B06" w:rsidRPr="00F9392E">
        <w:rPr>
          <w:rFonts w:cs="Arial"/>
          <w:szCs w:val="20"/>
          <w:lang w:eastAsia="cs-CZ"/>
        </w:rPr>
        <w:t> </w:t>
      </w:r>
      <w:r w:rsidR="00FB738C" w:rsidRPr="00F9392E">
        <w:rPr>
          <w:rFonts w:cs="Arial"/>
          <w:szCs w:val="20"/>
          <w:lang w:eastAsia="cs-CZ"/>
        </w:rPr>
        <w:t>202</w:t>
      </w:r>
      <w:r w:rsidR="003B44F8" w:rsidRPr="00F9392E">
        <w:rPr>
          <w:rFonts w:cs="Arial"/>
          <w:szCs w:val="20"/>
          <w:lang w:eastAsia="cs-CZ"/>
        </w:rPr>
        <w:t>2</w:t>
      </w:r>
      <w:r w:rsidR="00FB738C" w:rsidRPr="00F9392E">
        <w:rPr>
          <w:rFonts w:cs="Arial"/>
          <w:szCs w:val="20"/>
          <w:lang w:eastAsia="cs-CZ"/>
        </w:rPr>
        <w:t xml:space="preserve"> </w:t>
      </w:r>
      <w:r w:rsidR="00DC4343" w:rsidRPr="00F9392E">
        <w:rPr>
          <w:rFonts w:cs="Arial"/>
          <w:szCs w:val="20"/>
          <w:lang w:eastAsia="cs-CZ"/>
        </w:rPr>
        <w:t>hodnoty 4</w:t>
      </w:r>
      <w:r w:rsidR="003B44F8" w:rsidRPr="00F9392E">
        <w:rPr>
          <w:rFonts w:cs="Arial"/>
          <w:szCs w:val="20"/>
          <w:lang w:eastAsia="cs-CZ"/>
        </w:rPr>
        <w:t>99</w:t>
      </w:r>
      <w:r w:rsidR="00DC4343" w:rsidRPr="00F9392E">
        <w:rPr>
          <w:rFonts w:cs="Arial"/>
          <w:szCs w:val="20"/>
          <w:lang w:eastAsia="cs-CZ"/>
        </w:rPr>
        <w:t>,8 tis</w:t>
      </w:r>
      <w:r w:rsidR="007923C7" w:rsidRPr="00F9392E">
        <w:rPr>
          <w:rFonts w:cs="Arial"/>
          <w:szCs w:val="20"/>
          <w:lang w:eastAsia="cs-CZ"/>
        </w:rPr>
        <w:t>íce</w:t>
      </w:r>
      <w:r w:rsidR="00DC4343" w:rsidRPr="00F9392E">
        <w:rPr>
          <w:rFonts w:cs="Arial"/>
          <w:szCs w:val="20"/>
          <w:lang w:eastAsia="cs-CZ"/>
        </w:rPr>
        <w:t> Kč</w:t>
      </w:r>
      <w:r w:rsidR="00FB738C" w:rsidRPr="00F9392E">
        <w:rPr>
          <w:rFonts w:cs="Arial"/>
          <w:szCs w:val="20"/>
          <w:lang w:eastAsia="cs-CZ"/>
        </w:rPr>
        <w:t xml:space="preserve"> (</w:t>
      </w:r>
      <w:r w:rsidR="00DC4343" w:rsidRPr="00F9392E">
        <w:rPr>
          <w:rFonts w:cs="Arial"/>
          <w:szCs w:val="20"/>
          <w:lang w:eastAsia="cs-CZ"/>
        </w:rPr>
        <w:t xml:space="preserve">meziroční nárůst </w:t>
      </w:r>
      <w:r w:rsidR="00D60D56" w:rsidRPr="00F9392E">
        <w:rPr>
          <w:rFonts w:cs="Arial"/>
          <w:szCs w:val="20"/>
          <w:lang w:eastAsia="cs-CZ"/>
        </w:rPr>
        <w:t>o </w:t>
      </w:r>
      <w:r w:rsidR="003B44F8" w:rsidRPr="00F9392E">
        <w:rPr>
          <w:rFonts w:cs="Arial"/>
          <w:szCs w:val="20"/>
          <w:lang w:eastAsia="cs-CZ"/>
        </w:rPr>
        <w:t>5</w:t>
      </w:r>
      <w:r w:rsidR="00DC4343" w:rsidRPr="00F9392E">
        <w:rPr>
          <w:rFonts w:cs="Arial"/>
          <w:szCs w:val="20"/>
          <w:lang w:eastAsia="cs-CZ"/>
        </w:rPr>
        <w:t>4,6</w:t>
      </w:r>
      <w:r w:rsidR="007923C7" w:rsidRPr="00F9392E">
        <w:rPr>
          <w:rFonts w:cs="Arial"/>
          <w:szCs w:val="20"/>
          <w:lang w:eastAsia="cs-CZ"/>
        </w:rPr>
        <w:t> tisíce</w:t>
      </w:r>
      <w:r w:rsidR="00DC4343" w:rsidRPr="00F9392E">
        <w:rPr>
          <w:rFonts w:cs="Arial"/>
          <w:szCs w:val="20"/>
          <w:lang w:eastAsia="cs-CZ"/>
        </w:rPr>
        <w:t> Kč</w:t>
      </w:r>
      <w:r w:rsidR="00FB738C" w:rsidRPr="00F9392E">
        <w:rPr>
          <w:rFonts w:cs="Arial"/>
          <w:szCs w:val="20"/>
          <w:lang w:eastAsia="cs-CZ"/>
        </w:rPr>
        <w:t xml:space="preserve">), což bylo </w:t>
      </w:r>
      <w:r w:rsidR="00FB738C" w:rsidRPr="00F9392E">
        <w:t>7</w:t>
      </w:r>
      <w:r w:rsidR="003B44F8" w:rsidRPr="00F9392E">
        <w:t>8</w:t>
      </w:r>
      <w:r w:rsidR="00FB738C" w:rsidRPr="00F9392E">
        <w:t>,</w:t>
      </w:r>
      <w:r w:rsidR="003B44F8" w:rsidRPr="00F9392E">
        <w:t>7</w:t>
      </w:r>
      <w:r w:rsidR="006B4B06" w:rsidRPr="00F9392E">
        <w:t> </w:t>
      </w:r>
      <w:r w:rsidR="00FB738C" w:rsidRPr="00F9392E">
        <w:t>% vůči průměru ČR (</w:t>
      </w:r>
      <w:r w:rsidR="004A7441" w:rsidRPr="00F9392E">
        <w:t>635</w:t>
      </w:r>
      <w:r w:rsidR="00FB738C" w:rsidRPr="00F9392E">
        <w:t>,</w:t>
      </w:r>
      <w:r w:rsidR="004A7441" w:rsidRPr="00F9392E">
        <w:t>0 tisíc</w:t>
      </w:r>
      <w:r w:rsidR="006B4B06" w:rsidRPr="00F9392E">
        <w:t> </w:t>
      </w:r>
      <w:r w:rsidR="00FB738C" w:rsidRPr="00F9392E">
        <w:t>Kč/obyvatele)</w:t>
      </w:r>
      <w:r w:rsidR="00DC4343" w:rsidRPr="00F9392E">
        <w:rPr>
          <w:rFonts w:cs="Arial"/>
          <w:szCs w:val="20"/>
          <w:lang w:eastAsia="cs-CZ"/>
        </w:rPr>
        <w:t xml:space="preserve">. </w:t>
      </w:r>
      <w:r w:rsidR="0010330D" w:rsidRPr="00F9392E">
        <w:rPr>
          <w:rFonts w:cs="Arial"/>
          <w:szCs w:val="20"/>
          <w:lang w:eastAsia="cs-CZ"/>
        </w:rPr>
        <w:t xml:space="preserve">Tato hodnota řadila kraj </w:t>
      </w:r>
      <w:r w:rsidR="00D60D56" w:rsidRPr="00F9392E">
        <w:rPr>
          <w:rFonts w:cs="Arial"/>
          <w:szCs w:val="20"/>
          <w:lang w:eastAsia="cs-CZ"/>
        </w:rPr>
        <w:t>v </w:t>
      </w:r>
      <w:r w:rsidR="0010330D" w:rsidRPr="00F9392E">
        <w:rPr>
          <w:rFonts w:cs="Arial"/>
          <w:szCs w:val="20"/>
          <w:lang w:eastAsia="cs-CZ"/>
        </w:rPr>
        <w:t xml:space="preserve">regionálním srovnání na </w:t>
      </w:r>
      <w:r w:rsidR="004A7441" w:rsidRPr="00F9392E">
        <w:rPr>
          <w:rFonts w:cs="Arial"/>
          <w:szCs w:val="20"/>
          <w:lang w:eastAsia="cs-CZ"/>
        </w:rPr>
        <w:t>deváté</w:t>
      </w:r>
      <w:r w:rsidR="0010330D" w:rsidRPr="00F9392E">
        <w:rPr>
          <w:rFonts w:cs="Arial"/>
          <w:szCs w:val="20"/>
          <w:lang w:eastAsia="cs-CZ"/>
        </w:rPr>
        <w:t xml:space="preserve"> místo, </w:t>
      </w:r>
      <w:r w:rsidR="00DC4343" w:rsidRPr="00F9392E">
        <w:rPr>
          <w:rFonts w:cs="Arial"/>
          <w:szCs w:val="20"/>
          <w:lang w:eastAsia="cs-CZ"/>
        </w:rPr>
        <w:t>proti roku</w:t>
      </w:r>
      <w:r w:rsidR="006B4B06" w:rsidRPr="00F9392E">
        <w:rPr>
          <w:rFonts w:cs="Arial"/>
          <w:szCs w:val="20"/>
          <w:lang w:eastAsia="cs-CZ"/>
        </w:rPr>
        <w:t> </w:t>
      </w:r>
      <w:r w:rsidR="00DC4343" w:rsidRPr="00F9392E">
        <w:rPr>
          <w:rFonts w:cs="Arial"/>
          <w:szCs w:val="20"/>
          <w:lang w:eastAsia="cs-CZ"/>
        </w:rPr>
        <w:t>202</w:t>
      </w:r>
      <w:r w:rsidR="004A7441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 xml:space="preserve"> si kraj o </w:t>
      </w:r>
      <w:r w:rsidR="004A7441" w:rsidRPr="00F9392E">
        <w:rPr>
          <w:rFonts w:cs="Arial"/>
          <w:szCs w:val="20"/>
          <w:lang w:eastAsia="cs-CZ"/>
        </w:rPr>
        <w:t xml:space="preserve">dvě </w:t>
      </w:r>
      <w:r w:rsidR="00DC4343" w:rsidRPr="00F9392E">
        <w:rPr>
          <w:rFonts w:cs="Arial"/>
          <w:szCs w:val="20"/>
          <w:lang w:eastAsia="cs-CZ"/>
        </w:rPr>
        <w:t xml:space="preserve">příčky polepšil. </w:t>
      </w:r>
      <w:r w:rsidR="0010330D" w:rsidRPr="00F9392E">
        <w:rPr>
          <w:rFonts w:cs="Arial"/>
          <w:szCs w:val="20"/>
          <w:lang w:eastAsia="cs-CZ"/>
        </w:rPr>
        <w:t>Krajský</w:t>
      </w:r>
      <w:r w:rsidR="00DC4343" w:rsidRPr="00F9392E">
        <w:rPr>
          <w:rFonts w:cs="Arial"/>
          <w:szCs w:val="20"/>
          <w:lang w:eastAsia="cs-CZ"/>
        </w:rPr>
        <w:t xml:space="preserve"> HDP na 1 obyvatele v absolutní hodnotě </w:t>
      </w:r>
      <w:r w:rsidR="0010330D" w:rsidRPr="00F9392E">
        <w:rPr>
          <w:rFonts w:cs="Arial"/>
          <w:szCs w:val="20"/>
          <w:lang w:eastAsia="cs-CZ"/>
        </w:rPr>
        <w:t xml:space="preserve">vykazoval </w:t>
      </w:r>
      <w:r w:rsidR="00DC4343" w:rsidRPr="00F9392E">
        <w:rPr>
          <w:rFonts w:cs="Arial"/>
          <w:szCs w:val="20"/>
          <w:lang w:eastAsia="cs-CZ"/>
        </w:rPr>
        <w:t>převážně rostoucí trend (s výjimkou let</w:t>
      </w:r>
      <w:r w:rsidR="006B4B06" w:rsidRPr="00F9392E">
        <w:rPr>
          <w:rFonts w:cs="Arial"/>
          <w:szCs w:val="20"/>
          <w:lang w:eastAsia="cs-CZ"/>
        </w:rPr>
        <w:t> </w:t>
      </w:r>
      <w:r w:rsidR="00DC4343" w:rsidRPr="00F9392E">
        <w:rPr>
          <w:rFonts w:cs="Arial"/>
          <w:szCs w:val="20"/>
          <w:lang w:eastAsia="cs-CZ"/>
        </w:rPr>
        <w:t>2009,</w:t>
      </w:r>
      <w:r w:rsidR="006B4B06" w:rsidRPr="00F9392E">
        <w:rPr>
          <w:rFonts w:cs="Arial"/>
          <w:szCs w:val="20"/>
          <w:lang w:eastAsia="cs-CZ"/>
        </w:rPr>
        <w:t> </w:t>
      </w:r>
      <w:r w:rsidR="00DC4343" w:rsidRPr="00F9392E">
        <w:rPr>
          <w:rFonts w:cs="Arial"/>
          <w:szCs w:val="20"/>
          <w:lang w:eastAsia="cs-CZ"/>
        </w:rPr>
        <w:t xml:space="preserve">2013 a 2020), nicméně tempo jeho </w:t>
      </w:r>
      <w:r w:rsidR="00DC4343" w:rsidRPr="00F9392E">
        <w:rPr>
          <w:rFonts w:cs="Arial"/>
          <w:szCs w:val="20"/>
          <w:lang w:eastAsia="cs-CZ"/>
        </w:rPr>
        <w:lastRenderedPageBreak/>
        <w:t>růstu bylo pomalejší než republikový průměr. Zatímco v roce 1995 bylo HDP na obyvatele proti republikovému průměru nižší o 12,9 %, v roce 202</w:t>
      </w:r>
      <w:r w:rsidR="004A7441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se již jednalo o 2</w:t>
      </w:r>
      <w:r w:rsidR="004A7441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>,</w:t>
      </w:r>
      <w:r w:rsidR="004A7441" w:rsidRPr="00F9392E">
        <w:rPr>
          <w:rFonts w:cs="Arial"/>
          <w:szCs w:val="20"/>
          <w:lang w:eastAsia="cs-CZ"/>
        </w:rPr>
        <w:t>3</w:t>
      </w:r>
      <w:r w:rsidR="00DC4343" w:rsidRPr="00F9392E">
        <w:rPr>
          <w:rFonts w:cs="Arial"/>
          <w:szCs w:val="20"/>
          <w:lang w:eastAsia="cs-CZ"/>
        </w:rPr>
        <w:t> %.</w:t>
      </w:r>
    </w:p>
    <w:p w:rsidR="00983DAE" w:rsidRDefault="00983DAE" w:rsidP="00DC4343">
      <w:pPr>
        <w:rPr>
          <w:rFonts w:cs="Arial"/>
          <w:szCs w:val="20"/>
          <w:lang w:eastAsia="cs-CZ"/>
        </w:rPr>
      </w:pPr>
    </w:p>
    <w:p w:rsidR="00DC4343" w:rsidRPr="00F9392E" w:rsidRDefault="00DC4343" w:rsidP="00DC4343">
      <w:pPr>
        <w:rPr>
          <w:rFonts w:cs="Arial"/>
          <w:bCs/>
          <w:szCs w:val="24"/>
          <w:lang w:eastAsia="cs-CZ"/>
        </w:rPr>
      </w:pPr>
      <w:r w:rsidRPr="00F9392E">
        <w:rPr>
          <w:rFonts w:cs="Arial"/>
          <w:szCs w:val="20"/>
          <w:lang w:eastAsia="cs-CZ"/>
        </w:rPr>
        <w:t xml:space="preserve">Výkonnost (produktivita) regionu, počítaná jako podíl </w:t>
      </w:r>
      <w:r w:rsidRPr="00F9392E">
        <w:rPr>
          <w:rFonts w:cs="Arial"/>
          <w:bCs/>
          <w:szCs w:val="20"/>
          <w:lang w:eastAsia="cs-CZ"/>
        </w:rPr>
        <w:t>HDP na 1 zaměstnaného</w:t>
      </w:r>
      <w:r w:rsidRPr="00F9392E">
        <w:rPr>
          <w:rFonts w:cs="Arial"/>
          <w:szCs w:val="20"/>
          <w:lang w:eastAsia="cs-CZ"/>
        </w:rPr>
        <w:t xml:space="preserve"> (podle místa pracoviště vč. </w:t>
      </w:r>
      <w:proofErr w:type="spellStart"/>
      <w:r w:rsidRPr="00F9392E">
        <w:rPr>
          <w:rFonts w:cs="Arial"/>
          <w:szCs w:val="20"/>
          <w:lang w:eastAsia="cs-CZ"/>
        </w:rPr>
        <w:t>sebezaměstnaných</w:t>
      </w:r>
      <w:proofErr w:type="spellEnd"/>
      <w:r w:rsidRPr="00F9392E">
        <w:rPr>
          <w:rFonts w:cs="Arial"/>
          <w:szCs w:val="20"/>
          <w:lang w:eastAsia="cs-CZ"/>
        </w:rPr>
        <w:t>), činila v roce 202</w:t>
      </w:r>
      <w:r w:rsidR="003B44F8" w:rsidRPr="00F9392E">
        <w:rPr>
          <w:rFonts w:cs="Arial"/>
          <w:szCs w:val="20"/>
          <w:lang w:eastAsia="cs-CZ"/>
        </w:rPr>
        <w:t>2</w:t>
      </w:r>
      <w:r w:rsidRPr="00F9392E">
        <w:rPr>
          <w:rFonts w:cs="Arial"/>
          <w:szCs w:val="20"/>
          <w:lang w:eastAsia="cs-CZ"/>
        </w:rPr>
        <w:t xml:space="preserve"> </w:t>
      </w:r>
      <w:r w:rsidR="001E6FEB">
        <w:rPr>
          <w:rFonts w:cs="Arial"/>
          <w:szCs w:val="20"/>
          <w:lang w:eastAsia="cs-CZ"/>
        </w:rPr>
        <w:t>zhruba</w:t>
      </w:r>
      <w:r w:rsidRPr="00F9392E">
        <w:rPr>
          <w:rFonts w:cs="Arial"/>
          <w:szCs w:val="20"/>
          <w:lang w:eastAsia="cs-CZ"/>
        </w:rPr>
        <w:t xml:space="preserve"> </w:t>
      </w:r>
      <w:r w:rsidR="004B1EA7" w:rsidRPr="00F9392E">
        <w:rPr>
          <w:rFonts w:cs="Arial"/>
          <w:szCs w:val="20"/>
          <w:lang w:eastAsia="cs-CZ"/>
        </w:rPr>
        <w:t>1</w:t>
      </w:r>
      <w:r w:rsidR="004B1EA7">
        <w:rPr>
          <w:rFonts w:cs="Arial"/>
          <w:szCs w:val="20"/>
          <w:lang w:eastAsia="cs-CZ"/>
        </w:rPr>
        <w:t> </w:t>
      </w:r>
      <w:r w:rsidR="003B44F8" w:rsidRPr="00F9392E">
        <w:rPr>
          <w:rFonts w:cs="Arial"/>
          <w:szCs w:val="20"/>
          <w:lang w:eastAsia="cs-CZ"/>
        </w:rPr>
        <w:t>06</w:t>
      </w:r>
      <w:r w:rsidRPr="00F9392E">
        <w:rPr>
          <w:rFonts w:cs="Arial"/>
          <w:szCs w:val="20"/>
          <w:lang w:eastAsia="cs-CZ"/>
        </w:rPr>
        <w:t>9</w:t>
      </w:r>
      <w:r w:rsidR="007923C7" w:rsidRPr="00F9392E">
        <w:rPr>
          <w:rFonts w:cs="Arial"/>
          <w:szCs w:val="20"/>
          <w:lang w:eastAsia="cs-CZ"/>
        </w:rPr>
        <w:t> tisíc</w:t>
      </w:r>
      <w:r w:rsidRPr="00F9392E">
        <w:rPr>
          <w:rFonts w:cs="Arial"/>
          <w:szCs w:val="20"/>
          <w:lang w:eastAsia="cs-CZ"/>
        </w:rPr>
        <w:t> Kč</w:t>
      </w:r>
      <w:r w:rsidR="00B0317A" w:rsidRPr="00F9392E">
        <w:rPr>
          <w:rFonts w:cs="Arial"/>
          <w:szCs w:val="20"/>
          <w:lang w:eastAsia="cs-CZ"/>
        </w:rPr>
        <w:t>, tj.</w:t>
      </w:r>
      <w:r w:rsidR="006B4B06" w:rsidRPr="00F9392E">
        <w:rPr>
          <w:rFonts w:cs="Arial"/>
          <w:szCs w:val="20"/>
          <w:lang w:eastAsia="cs-CZ"/>
        </w:rPr>
        <w:t> </w:t>
      </w:r>
      <w:r w:rsidR="00B0317A" w:rsidRPr="00F9392E">
        <w:rPr>
          <w:rFonts w:cs="Arial"/>
          <w:szCs w:val="20"/>
          <w:lang w:eastAsia="cs-CZ"/>
        </w:rPr>
        <w:t>8</w:t>
      </w:r>
      <w:r w:rsidR="003B44F8" w:rsidRPr="00F9392E">
        <w:rPr>
          <w:rFonts w:cs="Arial"/>
          <w:szCs w:val="20"/>
          <w:lang w:eastAsia="cs-CZ"/>
        </w:rPr>
        <w:t>5</w:t>
      </w:r>
      <w:r w:rsidR="00B0317A" w:rsidRPr="00F9392E">
        <w:rPr>
          <w:rFonts w:cs="Arial"/>
          <w:szCs w:val="20"/>
          <w:lang w:eastAsia="cs-CZ"/>
        </w:rPr>
        <w:t>,</w:t>
      </w:r>
      <w:r w:rsidR="003B44F8" w:rsidRPr="00F9392E">
        <w:rPr>
          <w:rFonts w:cs="Arial"/>
          <w:szCs w:val="20"/>
          <w:lang w:eastAsia="cs-CZ"/>
        </w:rPr>
        <w:t>6</w:t>
      </w:r>
      <w:r w:rsidR="001E6FEB">
        <w:rPr>
          <w:rFonts w:cs="Arial"/>
          <w:szCs w:val="20"/>
          <w:lang w:eastAsia="cs-CZ"/>
        </w:rPr>
        <w:t> % průměru Česka</w:t>
      </w:r>
      <w:r w:rsidR="00B0317A" w:rsidRPr="00F9392E">
        <w:rPr>
          <w:rFonts w:cs="Arial"/>
          <w:szCs w:val="20"/>
          <w:lang w:eastAsia="cs-CZ"/>
        </w:rPr>
        <w:t>. P</w:t>
      </w:r>
      <w:r w:rsidRPr="00F9392E">
        <w:rPr>
          <w:rFonts w:cs="Arial"/>
          <w:szCs w:val="20"/>
          <w:lang w:eastAsia="cs-CZ"/>
        </w:rPr>
        <w:t>roti předešlému roku se zvýšila o </w:t>
      </w:r>
      <w:r w:rsidR="003B44F8" w:rsidRPr="00F9392E">
        <w:rPr>
          <w:rFonts w:cs="Arial"/>
          <w:szCs w:val="20"/>
          <w:lang w:eastAsia="cs-CZ"/>
        </w:rPr>
        <w:t>více než 96</w:t>
      </w:r>
      <w:r w:rsidR="006B4B06" w:rsidRPr="00F9392E">
        <w:rPr>
          <w:rFonts w:cs="Arial"/>
          <w:szCs w:val="20"/>
          <w:lang w:eastAsia="cs-CZ"/>
        </w:rPr>
        <w:t> </w:t>
      </w:r>
      <w:r w:rsidRPr="00F9392E">
        <w:rPr>
          <w:rFonts w:cs="Arial"/>
          <w:szCs w:val="20"/>
          <w:lang w:eastAsia="cs-CZ"/>
        </w:rPr>
        <w:t xml:space="preserve">tisíc korun. V mezikrajském srovnání byla výkonnost Moravskoslezského kraje sedmá nejvyšší, </w:t>
      </w:r>
      <w:r w:rsidR="00DD2DD4" w:rsidRPr="00F9392E">
        <w:rPr>
          <w:rFonts w:cs="Arial"/>
          <w:szCs w:val="20"/>
          <w:lang w:eastAsia="cs-CZ"/>
        </w:rPr>
        <w:t>přední příčky zaujíma</w:t>
      </w:r>
      <w:r w:rsidR="00B73998" w:rsidRPr="00F9392E">
        <w:rPr>
          <w:rFonts w:cs="Arial"/>
          <w:szCs w:val="20"/>
          <w:lang w:eastAsia="cs-CZ"/>
        </w:rPr>
        <w:t>la</w:t>
      </w:r>
      <w:r w:rsidR="00DD2DD4" w:rsidRPr="00F9392E">
        <w:rPr>
          <w:rFonts w:cs="Arial"/>
          <w:szCs w:val="20"/>
          <w:lang w:eastAsia="cs-CZ"/>
        </w:rPr>
        <w:t xml:space="preserve"> Praha</w:t>
      </w:r>
      <w:r w:rsidR="00B73998" w:rsidRPr="00F9392E">
        <w:rPr>
          <w:rFonts w:cs="Arial"/>
          <w:szCs w:val="20"/>
          <w:lang w:eastAsia="cs-CZ"/>
        </w:rPr>
        <w:t>, dále</w:t>
      </w:r>
      <w:r w:rsidR="00DD2DD4" w:rsidRPr="00F9392E">
        <w:rPr>
          <w:rFonts w:cs="Arial"/>
          <w:szCs w:val="20"/>
          <w:lang w:eastAsia="cs-CZ"/>
        </w:rPr>
        <w:t xml:space="preserve"> kraje Středočeský </w:t>
      </w:r>
      <w:r w:rsidR="00D60D56" w:rsidRPr="00F9392E">
        <w:rPr>
          <w:rFonts w:cs="Arial"/>
          <w:szCs w:val="20"/>
          <w:lang w:eastAsia="cs-CZ"/>
        </w:rPr>
        <w:t>a </w:t>
      </w:r>
      <w:r w:rsidRPr="00F9392E">
        <w:rPr>
          <w:rFonts w:cs="Arial"/>
          <w:szCs w:val="20"/>
          <w:lang w:eastAsia="cs-CZ"/>
        </w:rPr>
        <w:t>Jihomoravský</w:t>
      </w:r>
      <w:r w:rsidR="00DD2DD4" w:rsidRPr="00F9392E">
        <w:rPr>
          <w:rFonts w:cs="Arial"/>
          <w:szCs w:val="20"/>
          <w:lang w:eastAsia="cs-CZ"/>
        </w:rPr>
        <w:t>.</w:t>
      </w:r>
    </w:p>
    <w:p w:rsidR="00DC4343" w:rsidRPr="00F9392E" w:rsidRDefault="00DC4343" w:rsidP="00DC4343"/>
    <w:p w:rsidR="00DC4343" w:rsidRPr="00F9392E" w:rsidRDefault="00DC4343" w:rsidP="00DC4343">
      <w:r w:rsidRPr="00F9392E">
        <w:rPr>
          <w:rFonts w:cs="Arial"/>
          <w:b/>
          <w:bCs/>
          <w:szCs w:val="20"/>
          <w:lang w:eastAsia="cs-CZ"/>
        </w:rPr>
        <w:t>Hrubá přidaná hodnota</w:t>
      </w:r>
      <w:r w:rsidR="0092389C" w:rsidRPr="00F9392E">
        <w:rPr>
          <w:rFonts w:cs="Arial"/>
          <w:b/>
          <w:bCs/>
          <w:szCs w:val="20"/>
          <w:lang w:eastAsia="cs-CZ"/>
        </w:rPr>
        <w:t xml:space="preserve"> (HPH)</w:t>
      </w:r>
    </w:p>
    <w:p w:rsidR="00DC4343" w:rsidRPr="00F9392E" w:rsidRDefault="0092389C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>HPH</w:t>
      </w:r>
      <w:r w:rsidR="00DC4343" w:rsidRPr="00F9392E">
        <w:rPr>
          <w:rFonts w:cs="Arial"/>
          <w:szCs w:val="20"/>
          <w:lang w:eastAsia="cs-CZ"/>
        </w:rPr>
        <w:t xml:space="preserve"> </w:t>
      </w:r>
      <w:r w:rsidR="00DC4343" w:rsidRPr="00F9392E">
        <w:t>dosáhla v roce 202</w:t>
      </w:r>
      <w:r w:rsidR="000A4B86" w:rsidRPr="00F9392E">
        <w:t>2</w:t>
      </w:r>
      <w:r w:rsidR="00DC4343" w:rsidRPr="00F9392E">
        <w:t xml:space="preserve"> v Moravskoslezském kraji výše </w:t>
      </w:r>
      <w:r w:rsidR="000A4B86" w:rsidRPr="00F9392E">
        <w:t>5</w:t>
      </w:r>
      <w:r w:rsidR="00DC4343" w:rsidRPr="00F9392E">
        <w:t>4</w:t>
      </w:r>
      <w:r w:rsidR="000A4B86" w:rsidRPr="00F9392E">
        <w:t>2</w:t>
      </w:r>
      <w:r w:rsidR="00DC4343" w:rsidRPr="00F9392E">
        <w:t>,</w:t>
      </w:r>
      <w:r w:rsidR="000A4B86" w:rsidRPr="00F9392E">
        <w:t>0</w:t>
      </w:r>
      <w:r w:rsidR="00DC4343" w:rsidRPr="00F9392E">
        <w:t> </w:t>
      </w:r>
      <w:r w:rsidR="007923C7" w:rsidRPr="00F9392E">
        <w:rPr>
          <w:rFonts w:cs="Arial"/>
          <w:szCs w:val="20"/>
          <w:lang w:eastAsia="cs-CZ"/>
        </w:rPr>
        <w:t>miliardy </w:t>
      </w:r>
      <w:r w:rsidR="00DC4343" w:rsidRPr="00F9392E">
        <w:t>Kč, což představovalo na celorepublikové hodnotě podíl 8,</w:t>
      </w:r>
      <w:r w:rsidR="00ED6BF8" w:rsidRPr="00F9392E">
        <w:t>8</w:t>
      </w:r>
      <w:r w:rsidR="00DC4343" w:rsidRPr="00F9392E">
        <w:t xml:space="preserve"> %. </w:t>
      </w:r>
      <w:r w:rsidR="00DC4343" w:rsidRPr="00F9392E">
        <w:rPr>
          <w:rFonts w:cs="Arial"/>
          <w:szCs w:val="20"/>
          <w:lang w:eastAsia="cs-CZ"/>
        </w:rPr>
        <w:t>Meziročně vzrostl objem HPH o </w:t>
      </w:r>
      <w:r w:rsidR="000A4B86" w:rsidRPr="00F9392E">
        <w:rPr>
          <w:rFonts w:cs="Arial"/>
          <w:szCs w:val="20"/>
          <w:lang w:eastAsia="cs-CZ"/>
        </w:rPr>
        <w:t>57</w:t>
      </w:r>
      <w:r w:rsidR="00DC4343" w:rsidRPr="00F9392E">
        <w:rPr>
          <w:rFonts w:cs="Arial"/>
          <w:szCs w:val="20"/>
          <w:lang w:eastAsia="cs-CZ"/>
        </w:rPr>
        <w:t>,</w:t>
      </w:r>
      <w:r w:rsidR="000A4B86" w:rsidRPr="00F9392E">
        <w:rPr>
          <w:rFonts w:cs="Arial"/>
          <w:szCs w:val="20"/>
          <w:lang w:eastAsia="cs-CZ"/>
        </w:rPr>
        <w:t>9</w:t>
      </w:r>
      <w:r w:rsidR="00DC4343" w:rsidRPr="00F9392E">
        <w:rPr>
          <w:rFonts w:cs="Arial"/>
          <w:szCs w:val="20"/>
          <w:lang w:eastAsia="cs-CZ"/>
        </w:rPr>
        <w:t> </w:t>
      </w:r>
      <w:r w:rsidR="007923C7" w:rsidRPr="00F9392E">
        <w:rPr>
          <w:rFonts w:cs="Arial"/>
          <w:szCs w:val="20"/>
          <w:lang w:eastAsia="cs-CZ"/>
        </w:rPr>
        <w:t>miliardy </w:t>
      </w:r>
      <w:r w:rsidR="00DC4343" w:rsidRPr="00F9392E">
        <w:rPr>
          <w:rFonts w:cs="Arial"/>
          <w:szCs w:val="20"/>
          <w:lang w:eastAsia="cs-CZ"/>
        </w:rPr>
        <w:t>Kč. Vyšší objem HPH ve srovnání s rokem 202</w:t>
      </w:r>
      <w:r w:rsidR="00ED6BF8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 xml:space="preserve"> zaznamenala všechna odvětví</w:t>
      </w:r>
      <w:r w:rsidR="00EE2719" w:rsidRPr="00F9392E">
        <w:rPr>
          <w:rFonts w:cs="Arial"/>
          <w:szCs w:val="20"/>
          <w:lang w:eastAsia="cs-CZ"/>
        </w:rPr>
        <w:t xml:space="preserve">, nejvíce v obchodě, dopravě, ubytování </w:t>
      </w:r>
      <w:r w:rsidR="004B1EA7" w:rsidRPr="00F9392E">
        <w:rPr>
          <w:rFonts w:cs="Arial"/>
          <w:szCs w:val="20"/>
          <w:lang w:eastAsia="cs-CZ"/>
        </w:rPr>
        <w:t>a</w:t>
      </w:r>
      <w:r w:rsidR="004B1EA7">
        <w:rPr>
          <w:rFonts w:cs="Arial"/>
          <w:szCs w:val="20"/>
          <w:lang w:eastAsia="cs-CZ"/>
        </w:rPr>
        <w:t> </w:t>
      </w:r>
      <w:r w:rsidR="00EE2719" w:rsidRPr="00F9392E">
        <w:rPr>
          <w:rFonts w:cs="Arial"/>
          <w:szCs w:val="20"/>
          <w:lang w:eastAsia="cs-CZ"/>
        </w:rPr>
        <w:t>pohostinství</w:t>
      </w:r>
      <w:r w:rsidR="00DC4343" w:rsidRPr="00F9392E">
        <w:rPr>
          <w:rFonts w:cs="Arial"/>
          <w:szCs w:val="20"/>
          <w:lang w:eastAsia="cs-CZ"/>
        </w:rPr>
        <w:t xml:space="preserve">, kde došlo </w:t>
      </w:r>
      <w:r w:rsidR="00D60D56" w:rsidRPr="00F9392E">
        <w:rPr>
          <w:rFonts w:cs="Arial"/>
          <w:szCs w:val="20"/>
          <w:lang w:eastAsia="cs-CZ"/>
        </w:rPr>
        <w:t>k </w:t>
      </w:r>
      <w:r w:rsidR="00DC4343" w:rsidRPr="00F9392E">
        <w:rPr>
          <w:rFonts w:cs="Arial"/>
          <w:szCs w:val="20"/>
          <w:lang w:eastAsia="cs-CZ"/>
        </w:rPr>
        <w:t xml:space="preserve">meziročnímu </w:t>
      </w:r>
      <w:r w:rsidR="00EE2719" w:rsidRPr="00F9392E">
        <w:rPr>
          <w:rFonts w:cs="Arial"/>
          <w:szCs w:val="20"/>
          <w:lang w:eastAsia="cs-CZ"/>
        </w:rPr>
        <w:t xml:space="preserve">nárůstu </w:t>
      </w:r>
      <w:r w:rsidR="00DC4343" w:rsidRPr="00F9392E">
        <w:rPr>
          <w:rFonts w:cs="Arial"/>
          <w:szCs w:val="20"/>
          <w:lang w:eastAsia="cs-CZ"/>
        </w:rPr>
        <w:t>o </w:t>
      </w:r>
      <w:r w:rsidR="00EE2719" w:rsidRPr="00F9392E">
        <w:rPr>
          <w:rFonts w:cs="Arial"/>
          <w:szCs w:val="20"/>
          <w:lang w:eastAsia="cs-CZ"/>
        </w:rPr>
        <w:t>32</w:t>
      </w:r>
      <w:r w:rsidR="00DC4343" w:rsidRPr="00F9392E">
        <w:rPr>
          <w:rFonts w:cs="Arial"/>
          <w:szCs w:val="20"/>
          <w:lang w:eastAsia="cs-CZ"/>
        </w:rPr>
        <w:t>,</w:t>
      </w:r>
      <w:r w:rsidR="00EE2719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> %</w:t>
      </w:r>
      <w:r w:rsidR="007923C7" w:rsidRPr="00F9392E">
        <w:rPr>
          <w:rFonts w:cs="Arial"/>
          <w:szCs w:val="20"/>
          <w:lang w:eastAsia="cs-CZ"/>
        </w:rPr>
        <w:t>.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470C6D" w:rsidP="00DC4343">
      <w:pPr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P</w:t>
      </w:r>
      <w:r w:rsidR="00DC4343" w:rsidRPr="00F9392E">
        <w:rPr>
          <w:rFonts w:cs="Arial"/>
          <w:szCs w:val="20"/>
          <w:lang w:eastAsia="cs-CZ"/>
        </w:rPr>
        <w:t xml:space="preserve">odíl primárního sektoru (zemědělství, lesnictví a rybářství) na </w:t>
      </w:r>
      <w:r>
        <w:rPr>
          <w:rFonts w:cs="Arial"/>
          <w:szCs w:val="20"/>
          <w:lang w:eastAsia="cs-CZ"/>
        </w:rPr>
        <w:t>tvorbě krajského HPH se v roce </w:t>
      </w:r>
      <w:r w:rsidR="00DC4343" w:rsidRPr="00F9392E">
        <w:rPr>
          <w:rFonts w:cs="Arial"/>
          <w:szCs w:val="20"/>
          <w:lang w:eastAsia="cs-CZ"/>
        </w:rPr>
        <w:t>202</w:t>
      </w:r>
      <w:r w:rsidR="001C771F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</w:t>
      </w:r>
      <w:r>
        <w:rPr>
          <w:rFonts w:cs="Arial"/>
          <w:szCs w:val="20"/>
          <w:lang w:eastAsia="cs-CZ"/>
        </w:rPr>
        <w:t xml:space="preserve">mírně zvýšil na </w:t>
      </w:r>
      <w:r w:rsidR="00DC4343" w:rsidRPr="00F9392E">
        <w:rPr>
          <w:rFonts w:cs="Arial"/>
          <w:szCs w:val="20"/>
          <w:lang w:eastAsia="cs-CZ"/>
        </w:rPr>
        <w:t>1,</w:t>
      </w:r>
      <w:r w:rsidR="001C771F" w:rsidRPr="00F9392E">
        <w:rPr>
          <w:rFonts w:cs="Arial"/>
          <w:szCs w:val="20"/>
          <w:lang w:eastAsia="cs-CZ"/>
        </w:rPr>
        <w:t>5</w:t>
      </w:r>
      <w:r w:rsidR="00D60D56" w:rsidRPr="00F9392E">
        <w:rPr>
          <w:rFonts w:cs="Arial"/>
          <w:szCs w:val="20"/>
          <w:lang w:eastAsia="cs-CZ"/>
        </w:rPr>
        <w:t> </w:t>
      </w:r>
      <w:r>
        <w:rPr>
          <w:rFonts w:cs="Arial"/>
          <w:szCs w:val="20"/>
          <w:lang w:eastAsia="cs-CZ"/>
        </w:rPr>
        <w:t>%, přesto zůstal</w:t>
      </w:r>
      <w:r w:rsidR="00DC4343" w:rsidRPr="00F9392E">
        <w:rPr>
          <w:rFonts w:cs="Arial"/>
          <w:szCs w:val="20"/>
          <w:lang w:eastAsia="cs-CZ"/>
        </w:rPr>
        <w:t xml:space="preserve"> ve srovnání s republikovou hodnotou (2,</w:t>
      </w:r>
      <w:r w:rsidR="008F6C9C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 xml:space="preserve"> %) </w:t>
      </w:r>
      <w:r w:rsidR="00347815" w:rsidRPr="00F9392E">
        <w:rPr>
          <w:rFonts w:cs="Arial"/>
          <w:szCs w:val="20"/>
          <w:lang w:eastAsia="cs-CZ"/>
        </w:rPr>
        <w:t>podprůměrný</w:t>
      </w:r>
      <w:r w:rsidR="00DC4343" w:rsidRPr="00F9392E">
        <w:rPr>
          <w:rFonts w:cs="Arial"/>
          <w:szCs w:val="20"/>
          <w:lang w:eastAsia="cs-CZ"/>
        </w:rPr>
        <w:t xml:space="preserve">. Meziroční </w:t>
      </w:r>
      <w:r w:rsidR="00E73FAA" w:rsidRPr="00F9392E">
        <w:rPr>
          <w:rFonts w:cs="Arial"/>
          <w:szCs w:val="20"/>
          <w:lang w:eastAsia="cs-CZ"/>
        </w:rPr>
        <w:t>nárůst</w:t>
      </w:r>
      <w:r w:rsidR="00DC4343" w:rsidRPr="00F9392E">
        <w:rPr>
          <w:rFonts w:cs="Arial"/>
          <w:szCs w:val="20"/>
          <w:lang w:eastAsia="cs-CZ"/>
        </w:rPr>
        <w:t xml:space="preserve"> podílu primárního sektoru n</w:t>
      </w:r>
      <w:r w:rsidR="00482A8B">
        <w:rPr>
          <w:rFonts w:cs="Arial"/>
          <w:szCs w:val="20"/>
          <w:lang w:eastAsia="cs-CZ"/>
        </w:rPr>
        <w:t>a celkovém HPH kraje zaznamenala</w:t>
      </w:r>
      <w:r w:rsidR="00DC4343" w:rsidRPr="00F9392E">
        <w:rPr>
          <w:rFonts w:cs="Arial"/>
          <w:szCs w:val="20"/>
          <w:lang w:eastAsia="cs-CZ"/>
        </w:rPr>
        <w:t xml:space="preserve"> v roce 202</w:t>
      </w:r>
      <w:r w:rsidR="00E73FAA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</w:t>
      </w:r>
      <w:r w:rsidR="00482A8B">
        <w:rPr>
          <w:rFonts w:cs="Arial"/>
          <w:szCs w:val="20"/>
          <w:lang w:eastAsia="cs-CZ"/>
        </w:rPr>
        <w:t>většina</w:t>
      </w:r>
      <w:r w:rsidR="00DC4343" w:rsidRPr="00F9392E">
        <w:rPr>
          <w:rFonts w:cs="Arial"/>
          <w:szCs w:val="20"/>
          <w:lang w:eastAsia="cs-CZ"/>
        </w:rPr>
        <w:t xml:space="preserve"> kraj</w:t>
      </w:r>
      <w:r w:rsidR="00482A8B">
        <w:rPr>
          <w:rFonts w:cs="Arial"/>
          <w:szCs w:val="20"/>
          <w:lang w:eastAsia="cs-CZ"/>
        </w:rPr>
        <w:t xml:space="preserve">ů, </w:t>
      </w:r>
      <w:r w:rsidR="00347815" w:rsidRPr="00F9392E">
        <w:rPr>
          <w:rFonts w:cs="Arial"/>
          <w:szCs w:val="20"/>
          <w:lang w:eastAsia="cs-CZ"/>
        </w:rPr>
        <w:t xml:space="preserve">výjimkou </w:t>
      </w:r>
      <w:r w:rsidR="00482A8B">
        <w:rPr>
          <w:rFonts w:cs="Arial"/>
          <w:szCs w:val="20"/>
          <w:lang w:eastAsia="cs-CZ"/>
        </w:rPr>
        <w:t xml:space="preserve">byla </w:t>
      </w:r>
      <w:r w:rsidR="00347815" w:rsidRPr="00F9392E">
        <w:rPr>
          <w:rFonts w:cs="Arial"/>
          <w:szCs w:val="20"/>
          <w:lang w:eastAsia="cs-CZ"/>
        </w:rPr>
        <w:t>Prah</w:t>
      </w:r>
      <w:r w:rsidR="00482A8B">
        <w:rPr>
          <w:rFonts w:cs="Arial"/>
          <w:szCs w:val="20"/>
          <w:lang w:eastAsia="cs-CZ"/>
        </w:rPr>
        <w:t xml:space="preserve">a </w:t>
      </w:r>
      <w:r w:rsidR="004B1EA7">
        <w:rPr>
          <w:rFonts w:cs="Arial"/>
          <w:szCs w:val="20"/>
          <w:lang w:eastAsia="cs-CZ"/>
        </w:rPr>
        <w:t>a </w:t>
      </w:r>
      <w:r w:rsidR="00482A8B">
        <w:rPr>
          <w:rFonts w:cs="Arial"/>
          <w:szCs w:val="20"/>
          <w:lang w:eastAsia="cs-CZ"/>
        </w:rPr>
        <w:t>kraje Ústecký, Jihomoravský a Zlínský</w:t>
      </w:r>
      <w:r w:rsidR="00DC4343" w:rsidRPr="00F9392E">
        <w:rPr>
          <w:rFonts w:cs="Arial"/>
          <w:szCs w:val="20"/>
          <w:lang w:eastAsia="cs-CZ"/>
        </w:rPr>
        <w:t xml:space="preserve">. 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F36A47" w:rsidP="00DC4343">
      <w:pPr>
        <w:rPr>
          <w:rFonts w:cs="Arial"/>
          <w:szCs w:val="20"/>
          <w:lang w:eastAsia="cs-CZ"/>
        </w:rPr>
      </w:pPr>
      <w:r w:rsidRPr="00F36A47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3333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4B9" w:rsidRPr="00F9392E">
        <w:rPr>
          <w:rFonts w:cs="Arial"/>
          <w:noProof/>
          <w:szCs w:val="20"/>
          <w:lang w:eastAsia="cs-CZ"/>
        </w:rPr>
        <w:t xml:space="preserve"> </w:t>
      </w:r>
    </w:p>
    <w:p w:rsidR="00DC4343" w:rsidRPr="00F9392E" w:rsidRDefault="00F36A47" w:rsidP="00DC4343">
      <w:pPr>
        <w:rPr>
          <w:rFonts w:cs="Arial"/>
          <w:noProof/>
          <w:szCs w:val="20"/>
          <w:lang w:eastAsia="cs-CZ"/>
        </w:rPr>
      </w:pPr>
      <w:r w:rsidRPr="00F36A47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741714"/>
            <wp:effectExtent l="0" t="0" r="0" b="127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Default="00DC4343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 xml:space="preserve">Zastoupení terciárního sektoru (obchod, služby, doprava, veřejná správa) na tvorbě HPH v Moravskoslezském kraji se v posledních letech zvyšoval na úkor sekundárního sektoru (průmysl a stavebnictví). </w:t>
      </w:r>
      <w:r w:rsidR="000A386B" w:rsidRPr="00F9392E">
        <w:rPr>
          <w:rFonts w:cs="Arial"/>
          <w:szCs w:val="20"/>
          <w:lang w:eastAsia="cs-CZ"/>
        </w:rPr>
        <w:t xml:space="preserve">Výjimku tvořil pouze rok 2021, kdy se vývoj obrátil. </w:t>
      </w:r>
      <w:r w:rsidRPr="00F9392E">
        <w:rPr>
          <w:rFonts w:cs="Arial"/>
          <w:szCs w:val="20"/>
          <w:lang w:eastAsia="cs-CZ"/>
        </w:rPr>
        <w:t>V roce 202</w:t>
      </w:r>
      <w:r w:rsidR="000A386B" w:rsidRPr="00F9392E">
        <w:rPr>
          <w:rFonts w:cs="Arial"/>
          <w:szCs w:val="20"/>
          <w:lang w:eastAsia="cs-CZ"/>
        </w:rPr>
        <w:t>2</w:t>
      </w:r>
      <w:r w:rsidRPr="00F9392E">
        <w:rPr>
          <w:rFonts w:cs="Arial"/>
          <w:szCs w:val="20"/>
          <w:lang w:eastAsia="cs-CZ"/>
        </w:rPr>
        <w:t xml:space="preserve"> na sekundární sektor připadalo </w:t>
      </w:r>
      <w:r w:rsidR="000A386B" w:rsidRPr="00F9392E">
        <w:rPr>
          <w:rFonts w:cs="Arial"/>
          <w:szCs w:val="20"/>
          <w:lang w:eastAsia="cs-CZ"/>
        </w:rPr>
        <w:t>39</w:t>
      </w:r>
      <w:r w:rsidRPr="00F9392E">
        <w:rPr>
          <w:rFonts w:cs="Arial"/>
          <w:szCs w:val="20"/>
          <w:lang w:eastAsia="cs-CZ"/>
        </w:rPr>
        <w:t>,</w:t>
      </w:r>
      <w:r w:rsidR="000A386B" w:rsidRPr="00F9392E">
        <w:rPr>
          <w:rFonts w:cs="Arial"/>
          <w:szCs w:val="20"/>
          <w:lang w:eastAsia="cs-CZ"/>
        </w:rPr>
        <w:t>9</w:t>
      </w:r>
      <w:r w:rsidRPr="00F9392E">
        <w:rPr>
          <w:rFonts w:cs="Arial"/>
          <w:szCs w:val="20"/>
          <w:lang w:eastAsia="cs-CZ"/>
        </w:rPr>
        <w:t xml:space="preserve"> % HPH kraje, proti republikové úrovni byl podíl </w:t>
      </w:r>
      <w:r w:rsidRPr="00F9392E">
        <w:rPr>
          <w:rFonts w:cs="Arial"/>
          <w:szCs w:val="20"/>
          <w:lang w:eastAsia="cs-CZ"/>
        </w:rPr>
        <w:lastRenderedPageBreak/>
        <w:t>o </w:t>
      </w:r>
      <w:r w:rsidR="000A386B" w:rsidRPr="00F9392E">
        <w:rPr>
          <w:rFonts w:cs="Arial"/>
          <w:szCs w:val="20"/>
          <w:lang w:eastAsia="cs-CZ"/>
        </w:rPr>
        <w:t>7</w:t>
      </w:r>
      <w:r w:rsidRPr="00F9392E">
        <w:rPr>
          <w:rFonts w:cs="Arial"/>
          <w:szCs w:val="20"/>
          <w:lang w:eastAsia="cs-CZ"/>
        </w:rPr>
        <w:t>,</w:t>
      </w:r>
      <w:r w:rsidR="000A386B" w:rsidRPr="00F9392E">
        <w:rPr>
          <w:rFonts w:cs="Arial"/>
          <w:szCs w:val="20"/>
          <w:lang w:eastAsia="cs-CZ"/>
        </w:rPr>
        <w:t>3</w:t>
      </w:r>
      <w:r w:rsidRPr="00F9392E">
        <w:rPr>
          <w:rFonts w:cs="Arial"/>
          <w:szCs w:val="20"/>
          <w:lang w:eastAsia="cs-CZ"/>
        </w:rPr>
        <w:t> procentního bodu vyšší. Terciární sektor se v roce 202</w:t>
      </w:r>
      <w:r w:rsidR="008F6C9C" w:rsidRPr="00F9392E">
        <w:rPr>
          <w:rFonts w:cs="Arial"/>
          <w:szCs w:val="20"/>
          <w:lang w:eastAsia="cs-CZ"/>
        </w:rPr>
        <w:t>2</w:t>
      </w:r>
      <w:r w:rsidRPr="00F9392E">
        <w:rPr>
          <w:rFonts w:cs="Arial"/>
          <w:szCs w:val="20"/>
          <w:lang w:eastAsia="cs-CZ"/>
        </w:rPr>
        <w:t xml:space="preserve"> podílel na HPH kraje 5</w:t>
      </w:r>
      <w:r w:rsidR="008F6C9C" w:rsidRPr="00F9392E">
        <w:rPr>
          <w:rFonts w:cs="Arial"/>
          <w:szCs w:val="20"/>
          <w:lang w:eastAsia="cs-CZ"/>
        </w:rPr>
        <w:t>8</w:t>
      </w:r>
      <w:r w:rsidRPr="00F9392E">
        <w:rPr>
          <w:rFonts w:cs="Arial"/>
          <w:szCs w:val="20"/>
          <w:lang w:eastAsia="cs-CZ"/>
        </w:rPr>
        <w:t>,</w:t>
      </w:r>
      <w:r w:rsidR="008F6C9C" w:rsidRPr="00F9392E">
        <w:rPr>
          <w:rFonts w:cs="Arial"/>
          <w:szCs w:val="20"/>
          <w:lang w:eastAsia="cs-CZ"/>
        </w:rPr>
        <w:t>5</w:t>
      </w:r>
      <w:r w:rsidRPr="00F9392E">
        <w:rPr>
          <w:rFonts w:cs="Arial"/>
          <w:szCs w:val="20"/>
          <w:lang w:eastAsia="cs-CZ"/>
        </w:rPr>
        <w:t> % a za celostátním průměrem zaostával o </w:t>
      </w:r>
      <w:r w:rsidR="000A386B" w:rsidRPr="00F9392E">
        <w:rPr>
          <w:rFonts w:cs="Arial"/>
          <w:szCs w:val="20"/>
          <w:lang w:eastAsia="cs-CZ"/>
        </w:rPr>
        <w:t>6</w:t>
      </w:r>
      <w:r w:rsidRPr="00F9392E">
        <w:rPr>
          <w:rFonts w:cs="Arial"/>
          <w:szCs w:val="20"/>
          <w:lang w:eastAsia="cs-CZ"/>
        </w:rPr>
        <w:t>,</w:t>
      </w:r>
      <w:r w:rsidR="000A386B" w:rsidRPr="00F9392E">
        <w:rPr>
          <w:rFonts w:cs="Arial"/>
          <w:szCs w:val="20"/>
          <w:lang w:eastAsia="cs-CZ"/>
        </w:rPr>
        <w:t>7</w:t>
      </w:r>
      <w:r w:rsidRPr="00F9392E">
        <w:rPr>
          <w:rFonts w:cs="Arial"/>
          <w:szCs w:val="20"/>
          <w:lang w:eastAsia="cs-CZ"/>
        </w:rPr>
        <w:t> procentního bodu.</w:t>
      </w:r>
    </w:p>
    <w:p w:rsidR="00983DAE" w:rsidRPr="00F9392E" w:rsidRDefault="00983DAE" w:rsidP="00DC4343">
      <w:pPr>
        <w:rPr>
          <w:rFonts w:cs="Arial"/>
          <w:szCs w:val="20"/>
          <w:lang w:eastAsia="cs-CZ"/>
        </w:rPr>
      </w:pPr>
    </w:p>
    <w:p w:rsidR="00DC4343" w:rsidRDefault="00533614" w:rsidP="00DC4343">
      <w:pPr>
        <w:rPr>
          <w:noProof/>
          <w:lang w:eastAsia="cs-CZ"/>
        </w:rPr>
      </w:pPr>
      <w:r w:rsidRPr="00533614">
        <w:rPr>
          <w:noProof/>
          <w:lang w:eastAsia="cs-CZ"/>
        </w:rPr>
        <w:drawing>
          <wp:inline distT="0" distB="0" distL="0" distR="0">
            <wp:extent cx="5381625" cy="685800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7D" w:rsidRPr="00F9392E" w:rsidRDefault="00785E7D" w:rsidP="00DC4343">
      <w:pPr>
        <w:rPr>
          <w:noProof/>
          <w:lang w:eastAsia="cs-CZ"/>
        </w:rPr>
      </w:pPr>
    </w:p>
    <w:p w:rsidR="00DC4343" w:rsidRPr="00F9392E" w:rsidRDefault="00DC4343" w:rsidP="00DC4343">
      <w:pPr>
        <w:keepNext/>
        <w:rPr>
          <w:rFonts w:cs="Arial"/>
          <w:b/>
          <w:bCs/>
          <w:szCs w:val="20"/>
          <w:lang w:eastAsia="cs-CZ"/>
        </w:rPr>
      </w:pPr>
      <w:r w:rsidRPr="00F9392E">
        <w:rPr>
          <w:rFonts w:cs="Arial"/>
          <w:b/>
          <w:bCs/>
          <w:szCs w:val="20"/>
          <w:lang w:eastAsia="cs-CZ"/>
        </w:rPr>
        <w:lastRenderedPageBreak/>
        <w:t>Tvorba hrubého fixního kapitálu</w:t>
      </w:r>
      <w:r w:rsidR="0092389C" w:rsidRPr="00F9392E">
        <w:rPr>
          <w:rFonts w:cs="Arial"/>
          <w:b/>
          <w:bCs/>
          <w:szCs w:val="20"/>
          <w:lang w:eastAsia="cs-CZ"/>
        </w:rPr>
        <w:t xml:space="preserve"> (THFK</w:t>
      </w:r>
      <w:r w:rsidR="00502C92" w:rsidRPr="00F9392E">
        <w:rPr>
          <w:rFonts w:cs="Arial"/>
          <w:b/>
          <w:bCs/>
          <w:szCs w:val="20"/>
          <w:lang w:eastAsia="cs-CZ"/>
        </w:rPr>
        <w:t>)</w:t>
      </w:r>
    </w:p>
    <w:p w:rsidR="00DC4343" w:rsidRPr="00F9392E" w:rsidRDefault="00502C92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 xml:space="preserve">Investiční aktivita vyjádřená THFK v Moravskoslezském kraji </w:t>
      </w:r>
      <w:r w:rsidR="00D60D56" w:rsidRPr="00F9392E">
        <w:rPr>
          <w:rFonts w:cs="Arial"/>
          <w:szCs w:val="20"/>
          <w:lang w:eastAsia="cs-CZ"/>
        </w:rPr>
        <w:t>v </w:t>
      </w:r>
      <w:r w:rsidRPr="00F9392E">
        <w:rPr>
          <w:rFonts w:cs="Arial"/>
          <w:szCs w:val="20"/>
          <w:lang w:eastAsia="cs-CZ"/>
        </w:rPr>
        <w:t xml:space="preserve">posledních letech </w:t>
      </w:r>
      <w:r w:rsidR="008F6C9C" w:rsidRPr="00F9392E">
        <w:rPr>
          <w:rFonts w:cs="Arial"/>
          <w:szCs w:val="20"/>
          <w:lang w:eastAsia="cs-CZ"/>
        </w:rPr>
        <w:t>rostla</w:t>
      </w:r>
      <w:r w:rsidRPr="00F9392E">
        <w:rPr>
          <w:rFonts w:cs="Arial"/>
          <w:szCs w:val="20"/>
          <w:lang w:eastAsia="cs-CZ"/>
        </w:rPr>
        <w:t xml:space="preserve">. </w:t>
      </w:r>
      <w:r w:rsidR="00DC4343" w:rsidRPr="00F9392E">
        <w:rPr>
          <w:rFonts w:cs="Arial"/>
          <w:szCs w:val="20"/>
          <w:lang w:eastAsia="cs-CZ"/>
        </w:rPr>
        <w:t>V roce 202</w:t>
      </w:r>
      <w:r w:rsidR="008F6C9C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dosáhl krajský objem THFK v běžných cenách 1</w:t>
      </w:r>
      <w:r w:rsidR="008F6C9C" w:rsidRPr="00F9392E">
        <w:rPr>
          <w:rFonts w:cs="Arial"/>
          <w:szCs w:val="20"/>
          <w:lang w:eastAsia="cs-CZ"/>
        </w:rPr>
        <w:t>43</w:t>
      </w:r>
      <w:r w:rsidR="00DC4343" w:rsidRPr="00F9392E">
        <w:rPr>
          <w:rFonts w:cs="Arial"/>
          <w:szCs w:val="20"/>
          <w:lang w:eastAsia="cs-CZ"/>
        </w:rPr>
        <w:t>,</w:t>
      </w:r>
      <w:r w:rsidR="00533614">
        <w:rPr>
          <w:rFonts w:cs="Arial"/>
          <w:szCs w:val="20"/>
          <w:lang w:eastAsia="cs-CZ"/>
        </w:rPr>
        <w:t>3</w:t>
      </w:r>
      <w:r w:rsidR="007923C7" w:rsidRPr="00F9392E">
        <w:rPr>
          <w:rFonts w:cs="Arial"/>
          <w:szCs w:val="20"/>
          <w:lang w:eastAsia="cs-CZ"/>
        </w:rPr>
        <w:t> miliardy</w:t>
      </w:r>
      <w:r w:rsidR="00DC4343" w:rsidRPr="00F9392E">
        <w:rPr>
          <w:rFonts w:cs="Arial"/>
          <w:szCs w:val="20"/>
          <w:lang w:eastAsia="cs-CZ"/>
        </w:rPr>
        <w:t> Kč (o </w:t>
      </w:r>
      <w:r w:rsidR="008F6C9C" w:rsidRPr="00F9392E">
        <w:rPr>
          <w:rFonts w:cs="Arial"/>
          <w:szCs w:val="20"/>
          <w:lang w:eastAsia="cs-CZ"/>
        </w:rPr>
        <w:t>22</w:t>
      </w:r>
      <w:r w:rsidR="00DC4343" w:rsidRPr="00F9392E">
        <w:rPr>
          <w:rFonts w:cs="Arial"/>
          <w:szCs w:val="20"/>
          <w:lang w:eastAsia="cs-CZ"/>
        </w:rPr>
        <w:t>,</w:t>
      </w:r>
      <w:r w:rsidR="00533614">
        <w:rPr>
          <w:rFonts w:cs="Arial"/>
          <w:szCs w:val="20"/>
          <w:lang w:eastAsia="cs-CZ"/>
        </w:rPr>
        <w:t>2</w:t>
      </w:r>
      <w:r w:rsidR="007923C7" w:rsidRPr="00F9392E">
        <w:rPr>
          <w:rFonts w:cs="Arial"/>
          <w:szCs w:val="20"/>
          <w:lang w:eastAsia="cs-CZ"/>
        </w:rPr>
        <w:t> miliardy</w:t>
      </w:r>
      <w:r w:rsidR="00DC4343" w:rsidRPr="00F9392E">
        <w:rPr>
          <w:rFonts w:cs="Arial"/>
          <w:szCs w:val="20"/>
          <w:lang w:eastAsia="cs-CZ"/>
        </w:rPr>
        <w:t xml:space="preserve"> Kč </w:t>
      </w:r>
      <w:r w:rsidR="008F6C9C" w:rsidRPr="00F9392E">
        <w:rPr>
          <w:rFonts w:cs="Arial"/>
          <w:szCs w:val="20"/>
          <w:lang w:eastAsia="cs-CZ"/>
        </w:rPr>
        <w:t>více</w:t>
      </w:r>
      <w:r w:rsidR="00DC4343" w:rsidRPr="00F9392E">
        <w:rPr>
          <w:rFonts w:cs="Arial"/>
          <w:szCs w:val="20"/>
          <w:lang w:eastAsia="cs-CZ"/>
        </w:rPr>
        <w:t xml:space="preserve"> proti roku 202</w:t>
      </w:r>
      <w:r w:rsidR="008F6C9C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 xml:space="preserve">) a na celkové </w:t>
      </w:r>
      <w:r w:rsidRPr="00F9392E">
        <w:rPr>
          <w:rFonts w:cs="Arial"/>
          <w:szCs w:val="20"/>
          <w:lang w:eastAsia="cs-CZ"/>
        </w:rPr>
        <w:t>THFK</w:t>
      </w:r>
      <w:r w:rsidR="00DC4343" w:rsidRPr="00F9392E">
        <w:rPr>
          <w:rFonts w:cs="Arial"/>
          <w:szCs w:val="20"/>
          <w:lang w:eastAsia="cs-CZ"/>
        </w:rPr>
        <w:t xml:space="preserve"> České republiky se podílel 7,</w:t>
      </w:r>
      <w:r w:rsidR="008F6C9C" w:rsidRPr="00F9392E">
        <w:rPr>
          <w:rFonts w:cs="Arial"/>
          <w:szCs w:val="20"/>
          <w:lang w:eastAsia="cs-CZ"/>
        </w:rPr>
        <w:t>9</w:t>
      </w:r>
      <w:r w:rsidR="00DC4343" w:rsidRPr="00F9392E">
        <w:rPr>
          <w:rFonts w:cs="Arial"/>
          <w:szCs w:val="20"/>
          <w:lang w:eastAsia="cs-CZ"/>
        </w:rPr>
        <w:t xml:space="preserve"> %. V přepočtu na 1 obyvatele kraje činila THFK </w:t>
      </w:r>
      <w:r w:rsidR="00533614">
        <w:rPr>
          <w:rFonts w:cs="Arial"/>
          <w:szCs w:val="20"/>
          <w:lang w:eastAsia="cs-CZ"/>
        </w:rPr>
        <w:t>119,8</w:t>
      </w:r>
      <w:r w:rsidR="007923C7" w:rsidRPr="00F9392E">
        <w:rPr>
          <w:rFonts w:cs="Arial"/>
          <w:szCs w:val="20"/>
          <w:lang w:eastAsia="cs-CZ"/>
        </w:rPr>
        <w:t> tisíc</w:t>
      </w:r>
      <w:r w:rsidR="00533614">
        <w:rPr>
          <w:rFonts w:cs="Arial"/>
          <w:szCs w:val="20"/>
          <w:lang w:eastAsia="cs-CZ"/>
        </w:rPr>
        <w:t>e</w:t>
      </w:r>
      <w:r w:rsidR="00DC4343" w:rsidRPr="00F9392E">
        <w:rPr>
          <w:rFonts w:cs="Arial"/>
          <w:szCs w:val="20"/>
          <w:lang w:eastAsia="cs-CZ"/>
        </w:rPr>
        <w:t> Kč (o 1</w:t>
      </w:r>
      <w:r w:rsidR="00791F5D" w:rsidRPr="00F9392E">
        <w:rPr>
          <w:rFonts w:cs="Arial"/>
          <w:szCs w:val="20"/>
          <w:lang w:eastAsia="cs-CZ"/>
        </w:rPr>
        <w:t>8</w:t>
      </w:r>
      <w:r w:rsidR="00DC4343" w:rsidRPr="00F9392E">
        <w:rPr>
          <w:rFonts w:cs="Arial"/>
          <w:szCs w:val="20"/>
          <w:lang w:eastAsia="cs-CZ"/>
        </w:rPr>
        <w:t>,</w:t>
      </w:r>
      <w:r w:rsidR="00533614">
        <w:rPr>
          <w:rFonts w:cs="Arial"/>
          <w:szCs w:val="20"/>
          <w:lang w:eastAsia="cs-CZ"/>
        </w:rPr>
        <w:t>7</w:t>
      </w:r>
      <w:r w:rsidR="007923C7" w:rsidRPr="00F9392E">
        <w:rPr>
          <w:rFonts w:cs="Arial"/>
          <w:szCs w:val="20"/>
          <w:lang w:eastAsia="cs-CZ"/>
        </w:rPr>
        <w:t> tisíce</w:t>
      </w:r>
      <w:r w:rsidR="00DC4343" w:rsidRPr="00F9392E">
        <w:rPr>
          <w:rFonts w:cs="Arial"/>
          <w:szCs w:val="20"/>
          <w:lang w:eastAsia="cs-CZ"/>
        </w:rPr>
        <w:t xml:space="preserve"> Kč </w:t>
      </w:r>
      <w:r w:rsidR="00791F5D" w:rsidRPr="00F9392E">
        <w:rPr>
          <w:rFonts w:cs="Arial"/>
          <w:szCs w:val="20"/>
          <w:lang w:eastAsia="cs-CZ"/>
        </w:rPr>
        <w:t>více</w:t>
      </w:r>
      <w:r w:rsidR="00DC4343" w:rsidRPr="00F9392E">
        <w:rPr>
          <w:rFonts w:cs="Arial"/>
          <w:szCs w:val="20"/>
          <w:lang w:eastAsia="cs-CZ"/>
        </w:rPr>
        <w:t xml:space="preserve"> proti roku 202</w:t>
      </w:r>
      <w:r w:rsidR="00791F5D" w:rsidRPr="00F9392E">
        <w:rPr>
          <w:rFonts w:cs="Arial"/>
          <w:szCs w:val="20"/>
          <w:lang w:eastAsia="cs-CZ"/>
        </w:rPr>
        <w:t>1</w:t>
      </w:r>
      <w:r w:rsidR="00DC4343" w:rsidRPr="00F9392E">
        <w:rPr>
          <w:rFonts w:cs="Arial"/>
          <w:szCs w:val="20"/>
          <w:lang w:eastAsia="cs-CZ"/>
        </w:rPr>
        <w:t>)</w:t>
      </w:r>
      <w:r w:rsidR="00CD74BC" w:rsidRPr="00F9392E">
        <w:rPr>
          <w:rFonts w:cs="Arial"/>
          <w:szCs w:val="20"/>
          <w:lang w:eastAsia="cs-CZ"/>
        </w:rPr>
        <w:t xml:space="preserve"> a </w:t>
      </w:r>
      <w:r w:rsidRPr="00F9392E">
        <w:rPr>
          <w:rFonts w:cs="Arial"/>
          <w:szCs w:val="20"/>
          <w:lang w:eastAsia="cs-CZ"/>
        </w:rPr>
        <w:t xml:space="preserve">v porovnání s ostatními kraji byla </w:t>
      </w:r>
      <w:r w:rsidR="00220CBB">
        <w:rPr>
          <w:rFonts w:cs="Arial"/>
          <w:szCs w:val="20"/>
          <w:lang w:eastAsia="cs-CZ"/>
        </w:rPr>
        <w:t>osmá nejvyšší</w:t>
      </w:r>
      <w:r w:rsidR="00DC4343" w:rsidRPr="00F9392E">
        <w:rPr>
          <w:rFonts w:cs="Arial"/>
          <w:szCs w:val="20"/>
          <w:lang w:eastAsia="cs-CZ"/>
        </w:rPr>
        <w:t>. Ve všech letech byla hodnota regionálního THFK na obyvatele pod republikovým průměrem, v roce 202</w:t>
      </w:r>
      <w:r w:rsidR="00033AE1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představoval rozdíl 5</w:t>
      </w:r>
      <w:r w:rsidR="00033AE1" w:rsidRPr="00F9392E">
        <w:rPr>
          <w:rFonts w:cs="Arial"/>
          <w:szCs w:val="20"/>
          <w:lang w:eastAsia="cs-CZ"/>
        </w:rPr>
        <w:t>0</w:t>
      </w:r>
      <w:r w:rsidR="00DC4343" w:rsidRPr="00F9392E">
        <w:rPr>
          <w:rFonts w:cs="Arial"/>
          <w:szCs w:val="20"/>
          <w:lang w:eastAsia="cs-CZ"/>
        </w:rPr>
        <w:t>,</w:t>
      </w:r>
      <w:r w:rsidR="003E2FF3">
        <w:rPr>
          <w:rFonts w:cs="Arial"/>
          <w:szCs w:val="20"/>
          <w:lang w:eastAsia="cs-CZ"/>
        </w:rPr>
        <w:t>4</w:t>
      </w:r>
      <w:r w:rsidR="00DC4343" w:rsidRPr="00F9392E">
        <w:rPr>
          <w:rFonts w:cs="Arial"/>
          <w:szCs w:val="20"/>
          <w:lang w:eastAsia="cs-CZ"/>
        </w:rPr>
        <w:t> tis</w:t>
      </w:r>
      <w:r w:rsidR="007923C7" w:rsidRPr="00F9392E">
        <w:rPr>
          <w:rFonts w:cs="Arial"/>
          <w:szCs w:val="20"/>
          <w:lang w:eastAsia="cs-CZ"/>
        </w:rPr>
        <w:t>íce</w:t>
      </w:r>
      <w:r w:rsidR="00DC4343" w:rsidRPr="00F9392E">
        <w:rPr>
          <w:rFonts w:cs="Arial"/>
          <w:szCs w:val="20"/>
          <w:lang w:eastAsia="cs-CZ"/>
        </w:rPr>
        <w:t> Kč na obyvatele.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92389C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>Míra investic</w:t>
      </w:r>
      <w:r w:rsidR="00DC4343" w:rsidRPr="00F9392E">
        <w:rPr>
          <w:rFonts w:cs="Arial"/>
          <w:szCs w:val="20"/>
          <w:lang w:eastAsia="cs-CZ"/>
        </w:rPr>
        <w:t xml:space="preserve"> (podíl </w:t>
      </w:r>
      <w:r w:rsidR="00817CA5" w:rsidRPr="00F9392E">
        <w:rPr>
          <w:rFonts w:cs="Arial"/>
          <w:szCs w:val="20"/>
          <w:lang w:eastAsia="cs-CZ"/>
        </w:rPr>
        <w:t>THFK</w:t>
      </w:r>
      <w:r w:rsidR="00DC4343" w:rsidRPr="00F9392E">
        <w:rPr>
          <w:rFonts w:cs="Arial"/>
          <w:szCs w:val="20"/>
          <w:lang w:eastAsia="cs-CZ"/>
        </w:rPr>
        <w:t xml:space="preserve"> na </w:t>
      </w:r>
      <w:r w:rsidR="00817CA5" w:rsidRPr="00F9392E">
        <w:rPr>
          <w:rFonts w:cs="Arial"/>
          <w:szCs w:val="20"/>
          <w:lang w:eastAsia="cs-CZ"/>
        </w:rPr>
        <w:t>HDP</w:t>
      </w:r>
      <w:r w:rsidR="00DC4343" w:rsidRPr="00F9392E">
        <w:rPr>
          <w:rFonts w:cs="Arial"/>
          <w:szCs w:val="20"/>
          <w:lang w:eastAsia="cs-CZ"/>
        </w:rPr>
        <w:t xml:space="preserve">) v Moravskoslezském kraji </w:t>
      </w:r>
      <w:r w:rsidR="00D21228" w:rsidRPr="00F9392E">
        <w:rPr>
          <w:rFonts w:cs="Arial"/>
          <w:szCs w:val="20"/>
          <w:lang w:eastAsia="cs-CZ"/>
        </w:rPr>
        <w:t xml:space="preserve">se začátkem století pohybovala nad či těsně pod 30 % </w:t>
      </w:r>
      <w:r w:rsidR="00D60D56" w:rsidRPr="00F9392E">
        <w:rPr>
          <w:rFonts w:cs="Arial"/>
          <w:szCs w:val="20"/>
          <w:lang w:eastAsia="cs-CZ"/>
        </w:rPr>
        <w:t>a </w:t>
      </w:r>
      <w:r w:rsidR="00D21228" w:rsidRPr="00F9392E">
        <w:rPr>
          <w:rFonts w:cs="Arial"/>
          <w:szCs w:val="20"/>
          <w:lang w:eastAsia="cs-CZ"/>
        </w:rPr>
        <w:t>byla ve většině případů vyšší než republiková hodnota.</w:t>
      </w:r>
      <w:r w:rsidR="00DC4343" w:rsidRPr="00F9392E">
        <w:rPr>
          <w:rFonts w:cs="Arial"/>
          <w:szCs w:val="20"/>
          <w:lang w:eastAsia="cs-CZ"/>
        </w:rPr>
        <w:t xml:space="preserve"> V dalších letech měla krajská míra investic převážně klesající charakter, více než 30 % dosáhla pouze v roce 2008. Svého minima 20,0 % pak nabyla v roce 2018. V roce 202</w:t>
      </w:r>
      <w:r w:rsidR="003D42C8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míra investic v kraji dosáhla 2</w:t>
      </w:r>
      <w:r w:rsidR="003D42C8" w:rsidRPr="00F9392E">
        <w:rPr>
          <w:rFonts w:cs="Arial"/>
          <w:szCs w:val="20"/>
          <w:lang w:eastAsia="cs-CZ"/>
        </w:rPr>
        <w:t>4</w:t>
      </w:r>
      <w:r w:rsidR="00DC4343" w:rsidRPr="00F9392E">
        <w:rPr>
          <w:rFonts w:cs="Arial"/>
          <w:szCs w:val="20"/>
          <w:lang w:eastAsia="cs-CZ"/>
        </w:rPr>
        <w:t>,</w:t>
      </w:r>
      <w:r w:rsidR="003D42C8" w:rsidRPr="00F9392E">
        <w:rPr>
          <w:rFonts w:cs="Arial"/>
          <w:szCs w:val="20"/>
          <w:lang w:eastAsia="cs-CZ"/>
        </w:rPr>
        <w:t>0</w:t>
      </w:r>
      <w:r w:rsidR="00DC4343" w:rsidRPr="00F9392E">
        <w:rPr>
          <w:rFonts w:cs="Arial"/>
          <w:szCs w:val="20"/>
          <w:lang w:eastAsia="cs-CZ"/>
        </w:rPr>
        <w:t> %, což bylo o </w:t>
      </w:r>
      <w:r w:rsidR="003D42C8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>,</w:t>
      </w:r>
      <w:r w:rsidR="003D42C8" w:rsidRPr="00F9392E">
        <w:rPr>
          <w:rFonts w:cs="Arial"/>
          <w:szCs w:val="20"/>
          <w:lang w:eastAsia="cs-CZ"/>
        </w:rPr>
        <w:t>8</w:t>
      </w:r>
      <w:r w:rsidR="00DC4343" w:rsidRPr="00F9392E">
        <w:rPr>
          <w:rFonts w:cs="Arial"/>
          <w:szCs w:val="20"/>
          <w:lang w:eastAsia="cs-CZ"/>
        </w:rPr>
        <w:t> </w:t>
      </w:r>
      <w:r w:rsidR="00DC4343" w:rsidRPr="00F9392E">
        <w:rPr>
          <w:bCs/>
          <w:szCs w:val="24"/>
          <w:lang w:eastAsia="cs-CZ"/>
        </w:rPr>
        <w:t>procentního bodu</w:t>
      </w:r>
      <w:r w:rsidR="00DC4343" w:rsidRPr="00F9392E">
        <w:rPr>
          <w:rFonts w:cs="Arial"/>
          <w:szCs w:val="20"/>
          <w:lang w:eastAsia="cs-CZ"/>
        </w:rPr>
        <w:t xml:space="preserve"> méně než hodnota za celé Česko. 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DC4343" w:rsidP="00DC4343">
      <w:pPr>
        <w:rPr>
          <w:rFonts w:cs="Arial"/>
          <w:b/>
          <w:bCs/>
          <w:szCs w:val="20"/>
          <w:lang w:eastAsia="cs-CZ"/>
        </w:rPr>
      </w:pPr>
      <w:r w:rsidRPr="00F9392E">
        <w:rPr>
          <w:rFonts w:cs="Arial"/>
          <w:b/>
          <w:bCs/>
          <w:szCs w:val="20"/>
          <w:lang w:eastAsia="cs-CZ"/>
        </w:rPr>
        <w:t>Čistý disponibilní důchod domácností</w:t>
      </w:r>
      <w:r w:rsidR="001673BF" w:rsidRPr="00F9392E">
        <w:rPr>
          <w:rFonts w:cs="Arial"/>
          <w:b/>
          <w:bCs/>
          <w:szCs w:val="20"/>
          <w:lang w:eastAsia="cs-CZ"/>
        </w:rPr>
        <w:t xml:space="preserve"> (ČDDD)</w:t>
      </w:r>
    </w:p>
    <w:p w:rsidR="00DC4343" w:rsidRPr="00F9392E" w:rsidRDefault="001673BF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>ČDDD</w:t>
      </w:r>
      <w:r w:rsidR="00DC4343" w:rsidRPr="00F9392E">
        <w:rPr>
          <w:rFonts w:cs="Arial"/>
          <w:szCs w:val="20"/>
          <w:lang w:eastAsia="cs-CZ"/>
        </w:rPr>
        <w:t xml:space="preserve"> je ukazatel využívaný pro hodnocení úrovně materiálního bohatství domácností daného území. V roce 202</w:t>
      </w:r>
      <w:r w:rsidR="00791F5D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činil celkový objem ČDDD v Moravskoslezském kraji 3</w:t>
      </w:r>
      <w:r w:rsidR="00791F5D" w:rsidRPr="00F9392E">
        <w:rPr>
          <w:rFonts w:cs="Arial"/>
          <w:szCs w:val="20"/>
          <w:lang w:eastAsia="cs-CZ"/>
        </w:rPr>
        <w:t>5</w:t>
      </w:r>
      <w:r w:rsidR="00DC4343" w:rsidRPr="00F9392E">
        <w:rPr>
          <w:rFonts w:cs="Arial"/>
          <w:szCs w:val="20"/>
          <w:lang w:eastAsia="cs-CZ"/>
        </w:rPr>
        <w:t>9,</w:t>
      </w:r>
      <w:r w:rsidR="00791F5D" w:rsidRPr="00F9392E">
        <w:rPr>
          <w:rFonts w:cs="Arial"/>
          <w:szCs w:val="20"/>
          <w:lang w:eastAsia="cs-CZ"/>
        </w:rPr>
        <w:t>4</w:t>
      </w:r>
      <w:r w:rsidR="007923C7" w:rsidRPr="00F9392E">
        <w:rPr>
          <w:rFonts w:cs="Arial"/>
          <w:szCs w:val="20"/>
          <w:lang w:eastAsia="cs-CZ"/>
        </w:rPr>
        <w:t> miliardy</w:t>
      </w:r>
      <w:r w:rsidR="00DC4343" w:rsidRPr="00F9392E">
        <w:rPr>
          <w:rFonts w:cs="Arial"/>
          <w:szCs w:val="20"/>
          <w:lang w:eastAsia="cs-CZ"/>
        </w:rPr>
        <w:t xml:space="preserve"> Kč, na jednoho obyvatele tak připadalo </w:t>
      </w:r>
      <w:r w:rsidR="00791F5D" w:rsidRPr="00F9392E">
        <w:rPr>
          <w:rFonts w:cs="Arial"/>
          <w:szCs w:val="20"/>
          <w:lang w:eastAsia="cs-CZ"/>
        </w:rPr>
        <w:t>300</w:t>
      </w:r>
      <w:r w:rsidR="00DC4343" w:rsidRPr="00F9392E">
        <w:rPr>
          <w:rFonts w:cs="Arial"/>
          <w:szCs w:val="20"/>
          <w:lang w:eastAsia="cs-CZ"/>
        </w:rPr>
        <w:t>,</w:t>
      </w:r>
      <w:r w:rsidR="00791F5D" w:rsidRPr="00F9392E">
        <w:rPr>
          <w:rFonts w:cs="Arial"/>
          <w:szCs w:val="20"/>
          <w:lang w:eastAsia="cs-CZ"/>
        </w:rPr>
        <w:t>6</w:t>
      </w:r>
      <w:r w:rsidR="007923C7" w:rsidRPr="00F9392E">
        <w:rPr>
          <w:rFonts w:cs="Arial"/>
          <w:szCs w:val="20"/>
          <w:lang w:eastAsia="cs-CZ"/>
        </w:rPr>
        <w:t> tisíce</w:t>
      </w:r>
      <w:r w:rsidR="00083317" w:rsidRPr="00F9392E">
        <w:rPr>
          <w:rFonts w:cs="Arial"/>
          <w:szCs w:val="20"/>
          <w:lang w:eastAsia="cs-CZ"/>
        </w:rPr>
        <w:t> Kč. I přesto, že se jednalo o historické</w:t>
      </w:r>
      <w:r w:rsidR="00DC4343" w:rsidRPr="00F9392E">
        <w:rPr>
          <w:rFonts w:cs="Arial"/>
          <w:szCs w:val="20"/>
          <w:lang w:eastAsia="cs-CZ"/>
        </w:rPr>
        <w:t xml:space="preserve"> maxim</w:t>
      </w:r>
      <w:r w:rsidR="00083317" w:rsidRPr="00F9392E">
        <w:rPr>
          <w:rFonts w:cs="Arial"/>
          <w:szCs w:val="20"/>
          <w:lang w:eastAsia="cs-CZ"/>
        </w:rPr>
        <w:t>um</w:t>
      </w:r>
      <w:r w:rsidR="000915A4">
        <w:rPr>
          <w:rFonts w:cs="Arial"/>
          <w:szCs w:val="20"/>
          <w:lang w:eastAsia="cs-CZ"/>
        </w:rPr>
        <w:t>, patřil</w:t>
      </w:r>
      <w:r w:rsidR="00DC4343" w:rsidRPr="00F9392E">
        <w:rPr>
          <w:rFonts w:cs="Arial"/>
          <w:szCs w:val="20"/>
          <w:lang w:eastAsia="cs-CZ"/>
        </w:rPr>
        <w:t xml:space="preserve"> relativní důchod na 1 obyvatele Moravskoslezského kraje k těm nižším – </w:t>
      </w:r>
      <w:r w:rsidR="008A0D06">
        <w:rPr>
          <w:rFonts w:cs="Arial"/>
          <w:szCs w:val="20"/>
          <w:lang w:eastAsia="cs-CZ"/>
        </w:rPr>
        <w:t>v posledníc</w:t>
      </w:r>
      <w:r w:rsidR="000915A4">
        <w:rPr>
          <w:rFonts w:cs="Arial"/>
          <w:szCs w:val="20"/>
          <w:lang w:eastAsia="cs-CZ"/>
        </w:rPr>
        <w:t>h 10 </w:t>
      </w:r>
      <w:r w:rsidR="008A0D06">
        <w:rPr>
          <w:rFonts w:cs="Arial"/>
          <w:szCs w:val="20"/>
          <w:lang w:eastAsia="cs-CZ"/>
        </w:rPr>
        <w:t xml:space="preserve">letech </w:t>
      </w:r>
      <w:r w:rsidR="000915A4">
        <w:rPr>
          <w:rFonts w:cs="Arial"/>
          <w:szCs w:val="20"/>
          <w:lang w:eastAsia="cs-CZ"/>
        </w:rPr>
        <w:t>dosahoval</w:t>
      </w:r>
      <w:r w:rsidR="00DC4343" w:rsidRPr="00F9392E">
        <w:rPr>
          <w:rFonts w:cs="Arial"/>
          <w:szCs w:val="20"/>
          <w:lang w:eastAsia="cs-CZ"/>
        </w:rPr>
        <w:t xml:space="preserve"> druhé až </w:t>
      </w:r>
      <w:r w:rsidR="009600AC" w:rsidRPr="00F9392E">
        <w:rPr>
          <w:rFonts w:cs="Arial"/>
          <w:szCs w:val="20"/>
          <w:lang w:eastAsia="cs-CZ"/>
        </w:rPr>
        <w:t>páté</w:t>
      </w:r>
      <w:r w:rsidR="00DC4343" w:rsidRPr="00F9392E">
        <w:rPr>
          <w:rFonts w:cs="Arial"/>
          <w:szCs w:val="20"/>
          <w:lang w:eastAsia="cs-CZ"/>
        </w:rPr>
        <w:t xml:space="preserve"> nejnižší hodnoty mezi kraji. V roce 202</w:t>
      </w:r>
      <w:r w:rsidR="005C1E4A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 xml:space="preserve"> byl v porovnání s republikovým průměrem o 2</w:t>
      </w:r>
      <w:r w:rsidR="005C1E4A" w:rsidRPr="00F9392E">
        <w:rPr>
          <w:rFonts w:cs="Arial"/>
          <w:szCs w:val="20"/>
          <w:lang w:eastAsia="cs-CZ"/>
        </w:rPr>
        <w:t>6</w:t>
      </w:r>
      <w:r w:rsidR="00DC4343" w:rsidRPr="00F9392E">
        <w:rPr>
          <w:rFonts w:cs="Arial"/>
          <w:szCs w:val="20"/>
          <w:lang w:eastAsia="cs-CZ"/>
        </w:rPr>
        <w:t>,</w:t>
      </w:r>
      <w:r w:rsidR="005C1E4A" w:rsidRPr="00F9392E">
        <w:rPr>
          <w:rFonts w:cs="Arial"/>
          <w:szCs w:val="20"/>
          <w:lang w:eastAsia="cs-CZ"/>
        </w:rPr>
        <w:t>2</w:t>
      </w:r>
      <w:r w:rsidR="00DC4343" w:rsidRPr="00F9392E">
        <w:rPr>
          <w:rFonts w:cs="Arial"/>
          <w:szCs w:val="20"/>
          <w:lang w:eastAsia="cs-CZ"/>
        </w:rPr>
        <w:t> </w:t>
      </w:r>
      <w:r w:rsidR="007923C7" w:rsidRPr="00F9392E">
        <w:rPr>
          <w:rFonts w:cs="Arial"/>
          <w:szCs w:val="20"/>
          <w:lang w:eastAsia="cs-CZ"/>
        </w:rPr>
        <w:t>tisíce</w:t>
      </w:r>
      <w:r w:rsidR="00DC4343" w:rsidRPr="00F9392E">
        <w:rPr>
          <w:rFonts w:cs="Arial"/>
          <w:szCs w:val="20"/>
          <w:lang w:eastAsia="cs-CZ"/>
        </w:rPr>
        <w:t xml:space="preserve"> Kč nižší. 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3D4AE1" w:rsidRPr="00F9392E" w:rsidRDefault="00533614" w:rsidP="00DC4343">
      <w:pPr>
        <w:rPr>
          <w:rFonts w:cs="Arial"/>
          <w:szCs w:val="20"/>
          <w:lang w:eastAsia="cs-CZ"/>
        </w:rPr>
      </w:pPr>
      <w:r w:rsidRPr="00533614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73335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E1" w:rsidRPr="00F9392E" w:rsidRDefault="003D4AE1" w:rsidP="00DC4343">
      <w:pPr>
        <w:rPr>
          <w:rFonts w:cs="Arial"/>
          <w:szCs w:val="20"/>
          <w:lang w:eastAsia="cs-CZ"/>
        </w:rPr>
      </w:pPr>
    </w:p>
    <w:p w:rsidR="00DC4343" w:rsidRPr="00F9392E" w:rsidRDefault="00DC4343" w:rsidP="00DC4343">
      <w:pPr>
        <w:rPr>
          <w:rFonts w:cs="Arial"/>
          <w:b/>
          <w:bCs/>
          <w:szCs w:val="20"/>
          <w:lang w:eastAsia="cs-CZ"/>
        </w:rPr>
      </w:pPr>
      <w:r w:rsidRPr="00F9392E">
        <w:rPr>
          <w:rFonts w:cs="Arial"/>
          <w:b/>
          <w:bCs/>
          <w:szCs w:val="20"/>
          <w:lang w:eastAsia="cs-CZ"/>
        </w:rPr>
        <w:t>Porovnání vývoje HDP a ČDDD na obyvatele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>Regionální HDP lze posuzovat jak z pohledu jeho tvorby, kdy hlavní složkou je hrubá přidaná hodnota jednotlivých odvětví, tak z hlediska rozdělení (přerozdělení) HDP, kde podstatnou část tvoří příjmy domácností.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lastRenderedPageBreak/>
        <w:t xml:space="preserve">V zájmu srovnatelnosti vývoje Česka a Moravskoslezského kraje jsou </w:t>
      </w:r>
      <w:r w:rsidR="004B1EA7">
        <w:rPr>
          <w:rFonts w:cs="Arial"/>
          <w:szCs w:val="20"/>
          <w:lang w:eastAsia="cs-CZ"/>
        </w:rPr>
        <w:t>v </w:t>
      </w:r>
      <w:r w:rsidRPr="00F9392E">
        <w:rPr>
          <w:rFonts w:cs="Arial"/>
          <w:szCs w:val="20"/>
          <w:lang w:eastAsia="cs-CZ"/>
        </w:rPr>
        <w:t>grafu zobrazeny přepočtené údaje na 1 obyvatele (i s vědomím toho, že se na tvorbě HDP podílejí i cizinci a není zohledněna mezikrajská dojížďka za prací). Graf zahrnuje též vývoj tvorby hrubého fixního kapitálu, přestože s rozdělením HDP souvisí pouze zprostředkovaně.</w:t>
      </w: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</w:p>
    <w:p w:rsidR="00DC4343" w:rsidRPr="00F9392E" w:rsidRDefault="00DC4343" w:rsidP="00DC4343">
      <w:pPr>
        <w:rPr>
          <w:rFonts w:cs="Arial"/>
          <w:szCs w:val="20"/>
          <w:lang w:eastAsia="cs-CZ"/>
        </w:rPr>
      </w:pPr>
      <w:r w:rsidRPr="00F9392E">
        <w:rPr>
          <w:rFonts w:cs="Arial"/>
          <w:szCs w:val="20"/>
          <w:lang w:eastAsia="cs-CZ"/>
        </w:rPr>
        <w:t>Z grafu je patrné, že vývoj všech tří ukazatelů je jak v ČR, tak v Moravskoslezském kraji, obdobný, ale dosahované republikové hodnoty jsou vyšší. Zaostávání kraje za republikovým průměrem je nižší v případě důchodů domácností než u HDP.</w:t>
      </w:r>
    </w:p>
    <w:p w:rsidR="00DC4343" w:rsidRPr="00F9392E" w:rsidRDefault="00DC4343" w:rsidP="00DC4343">
      <w:pPr>
        <w:rPr>
          <w:bCs/>
          <w:szCs w:val="20"/>
        </w:rPr>
      </w:pPr>
    </w:p>
    <w:p w:rsidR="00785E7D" w:rsidRDefault="00DC4343" w:rsidP="00DC4343">
      <w:pPr>
        <w:rPr>
          <w:rStyle w:val="Siln"/>
          <w:rFonts w:cs="Arial"/>
          <w:szCs w:val="18"/>
        </w:rPr>
      </w:pPr>
      <w:r w:rsidRPr="00F9392E">
        <w:rPr>
          <w:rStyle w:val="Siln"/>
          <w:rFonts w:cs="Arial"/>
          <w:szCs w:val="18"/>
        </w:rPr>
        <w:t>Zdroj:</w:t>
      </w:r>
    </w:p>
    <w:p w:rsidR="00DC4343" w:rsidRPr="00F9392E" w:rsidRDefault="004F1A1E" w:rsidP="00DC4343">
      <w:pPr>
        <w:rPr>
          <w:rStyle w:val="odkaz"/>
          <w:rFonts w:cs="Arial"/>
          <w:color w:val="0071BD"/>
          <w:szCs w:val="20"/>
        </w:rPr>
      </w:pPr>
      <w:hyperlink r:id="rId14" w:tgtFrame="_blank" w:tooltip="Odkaz [nové okno]" w:history="1">
        <w:r w:rsidR="00DC4343" w:rsidRPr="00F9392E">
          <w:rPr>
            <w:rStyle w:val="Hypertextovodkaz"/>
            <w:rFonts w:cs="Arial"/>
            <w:color w:val="0071BD"/>
            <w:szCs w:val="20"/>
          </w:rPr>
          <w:t>Databáze regionálních účtů</w:t>
        </w:r>
      </w:hyperlink>
    </w:p>
    <w:p w:rsidR="00DC4343" w:rsidRPr="00F9392E" w:rsidRDefault="00DC4343" w:rsidP="00DC4343">
      <w:pPr>
        <w:rPr>
          <w:bCs/>
          <w:szCs w:val="20"/>
        </w:rPr>
      </w:pPr>
    </w:p>
    <w:p w:rsidR="00DC4343" w:rsidRPr="00F9392E" w:rsidRDefault="00DC4343" w:rsidP="00DC4343"/>
    <w:p w:rsidR="00DC4343" w:rsidRPr="00083317" w:rsidRDefault="00DC4343" w:rsidP="00DC4343">
      <w:pPr>
        <w:spacing w:after="200"/>
        <w:rPr>
          <w:rStyle w:val="Siln"/>
          <w:rFonts w:cs="Arial"/>
          <w:szCs w:val="18"/>
        </w:rPr>
      </w:pPr>
      <w:r w:rsidRPr="00F9392E">
        <w:rPr>
          <w:rStyle w:val="Siln"/>
          <w:rFonts w:cs="Arial"/>
          <w:szCs w:val="18"/>
        </w:rPr>
        <w:t>Kontakt:</w:t>
      </w:r>
      <w:r w:rsidRPr="00F9392E">
        <w:rPr>
          <w:rStyle w:val="Siln"/>
          <w:rFonts w:cs="Arial"/>
          <w:szCs w:val="18"/>
        </w:rPr>
        <w:br/>
      </w:r>
      <w:r w:rsidRPr="00F9392E">
        <w:rPr>
          <w:rStyle w:val="Siln"/>
          <w:rFonts w:cs="Arial"/>
          <w:b w:val="0"/>
          <w:szCs w:val="18"/>
        </w:rPr>
        <w:t>Ing. Patrik Szabo</w:t>
      </w:r>
      <w:r w:rsidRPr="00F9392E">
        <w:rPr>
          <w:rStyle w:val="Siln"/>
          <w:rFonts w:cs="Arial"/>
          <w:b w:val="0"/>
          <w:szCs w:val="18"/>
        </w:rPr>
        <w:br/>
        <w:t>Krajská správa ČSÚ v Ostravě</w:t>
      </w:r>
      <w:r w:rsidRPr="00F9392E">
        <w:rPr>
          <w:rStyle w:val="Siln"/>
          <w:rFonts w:cs="Arial"/>
          <w:b w:val="0"/>
          <w:szCs w:val="18"/>
        </w:rPr>
        <w:br/>
        <w:t>Tel.: 595 131 220</w:t>
      </w:r>
      <w:r w:rsidRPr="00F9392E">
        <w:rPr>
          <w:rStyle w:val="Siln"/>
          <w:rFonts w:cs="Arial"/>
          <w:b w:val="0"/>
          <w:szCs w:val="18"/>
        </w:rPr>
        <w:br/>
        <w:t xml:space="preserve">E-mail: </w:t>
      </w:r>
      <w:r w:rsidRPr="00F9392E">
        <w:rPr>
          <w:rFonts w:cs="Arial"/>
          <w:szCs w:val="18"/>
        </w:rPr>
        <w:t>patrik.szabo@czso.cz</w:t>
      </w:r>
    </w:p>
    <w:sectPr w:rsidR="00DC4343" w:rsidRPr="00083317" w:rsidSect="003D02AA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60D56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60D5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60D5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60D5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60D5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60D56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1A1E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60D56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60D5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60D5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60D5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60D56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60D56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1A1E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252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1AB"/>
    <w:rsid w:val="00013BE1"/>
    <w:rsid w:val="000210EE"/>
    <w:rsid w:val="0002393A"/>
    <w:rsid w:val="00033AE1"/>
    <w:rsid w:val="00036496"/>
    <w:rsid w:val="00043BF4"/>
    <w:rsid w:val="000745FA"/>
    <w:rsid w:val="000746FE"/>
    <w:rsid w:val="00075FCA"/>
    <w:rsid w:val="00083317"/>
    <w:rsid w:val="000842D2"/>
    <w:rsid w:val="000843A5"/>
    <w:rsid w:val="000915A4"/>
    <w:rsid w:val="000A386B"/>
    <w:rsid w:val="000A4B86"/>
    <w:rsid w:val="000B6F63"/>
    <w:rsid w:val="000B7B80"/>
    <w:rsid w:val="000C435D"/>
    <w:rsid w:val="000D010E"/>
    <w:rsid w:val="0010330D"/>
    <w:rsid w:val="0011135A"/>
    <w:rsid w:val="001165D7"/>
    <w:rsid w:val="001262F8"/>
    <w:rsid w:val="00137FE4"/>
    <w:rsid w:val="001404AB"/>
    <w:rsid w:val="00146745"/>
    <w:rsid w:val="001471D6"/>
    <w:rsid w:val="00154950"/>
    <w:rsid w:val="001658A9"/>
    <w:rsid w:val="001673BF"/>
    <w:rsid w:val="0017231D"/>
    <w:rsid w:val="001776E2"/>
    <w:rsid w:val="001810DC"/>
    <w:rsid w:val="00183C7E"/>
    <w:rsid w:val="001A214A"/>
    <w:rsid w:val="001A59BF"/>
    <w:rsid w:val="001B607F"/>
    <w:rsid w:val="001C771F"/>
    <w:rsid w:val="001D369A"/>
    <w:rsid w:val="001D4FB5"/>
    <w:rsid w:val="001D7448"/>
    <w:rsid w:val="001E6FEB"/>
    <w:rsid w:val="002070FB"/>
    <w:rsid w:val="00213729"/>
    <w:rsid w:val="00220CBB"/>
    <w:rsid w:val="002272A6"/>
    <w:rsid w:val="002406FA"/>
    <w:rsid w:val="00245283"/>
    <w:rsid w:val="002460EA"/>
    <w:rsid w:val="0026346B"/>
    <w:rsid w:val="002728B9"/>
    <w:rsid w:val="0027601F"/>
    <w:rsid w:val="002846CC"/>
    <w:rsid w:val="002848DA"/>
    <w:rsid w:val="002924E5"/>
    <w:rsid w:val="002A2CC6"/>
    <w:rsid w:val="002A6514"/>
    <w:rsid w:val="002B2E47"/>
    <w:rsid w:val="002D6A6C"/>
    <w:rsid w:val="002F0983"/>
    <w:rsid w:val="0030499E"/>
    <w:rsid w:val="0031415D"/>
    <w:rsid w:val="00314F9E"/>
    <w:rsid w:val="00322412"/>
    <w:rsid w:val="003301A3"/>
    <w:rsid w:val="003446C0"/>
    <w:rsid w:val="00347815"/>
    <w:rsid w:val="0035578A"/>
    <w:rsid w:val="003652E0"/>
    <w:rsid w:val="0036777B"/>
    <w:rsid w:val="003723F1"/>
    <w:rsid w:val="0038282A"/>
    <w:rsid w:val="00397580"/>
    <w:rsid w:val="003A1794"/>
    <w:rsid w:val="003A45C8"/>
    <w:rsid w:val="003B1096"/>
    <w:rsid w:val="003B44F8"/>
    <w:rsid w:val="003C2DCF"/>
    <w:rsid w:val="003C7FE7"/>
    <w:rsid w:val="003D02AA"/>
    <w:rsid w:val="003D0499"/>
    <w:rsid w:val="003D0C8B"/>
    <w:rsid w:val="003D42C8"/>
    <w:rsid w:val="003D4AE1"/>
    <w:rsid w:val="003E2FF3"/>
    <w:rsid w:val="003F526A"/>
    <w:rsid w:val="003F673F"/>
    <w:rsid w:val="00405244"/>
    <w:rsid w:val="00413A9D"/>
    <w:rsid w:val="004436EE"/>
    <w:rsid w:val="0045547F"/>
    <w:rsid w:val="00460236"/>
    <w:rsid w:val="00470C6D"/>
    <w:rsid w:val="00482A8B"/>
    <w:rsid w:val="00483248"/>
    <w:rsid w:val="00485B6D"/>
    <w:rsid w:val="004920AD"/>
    <w:rsid w:val="004A7441"/>
    <w:rsid w:val="004B0E07"/>
    <w:rsid w:val="004B1EA7"/>
    <w:rsid w:val="004B6985"/>
    <w:rsid w:val="004C0641"/>
    <w:rsid w:val="004C7C50"/>
    <w:rsid w:val="004D05B3"/>
    <w:rsid w:val="004D07E4"/>
    <w:rsid w:val="004E479E"/>
    <w:rsid w:val="004E583B"/>
    <w:rsid w:val="004F1A1E"/>
    <w:rsid w:val="004F3EC1"/>
    <w:rsid w:val="004F78E6"/>
    <w:rsid w:val="0050140E"/>
    <w:rsid w:val="00502C92"/>
    <w:rsid w:val="00512D99"/>
    <w:rsid w:val="00513719"/>
    <w:rsid w:val="00522A43"/>
    <w:rsid w:val="00523D28"/>
    <w:rsid w:val="00524D45"/>
    <w:rsid w:val="00531DBB"/>
    <w:rsid w:val="00531E36"/>
    <w:rsid w:val="00533614"/>
    <w:rsid w:val="00563CBF"/>
    <w:rsid w:val="005A4CF0"/>
    <w:rsid w:val="005B425A"/>
    <w:rsid w:val="005C1E4A"/>
    <w:rsid w:val="005D735F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2670"/>
    <w:rsid w:val="00613BBF"/>
    <w:rsid w:val="00622B80"/>
    <w:rsid w:val="006253F7"/>
    <w:rsid w:val="006364B9"/>
    <w:rsid w:val="0064139A"/>
    <w:rsid w:val="00642389"/>
    <w:rsid w:val="00671136"/>
    <w:rsid w:val="00675D16"/>
    <w:rsid w:val="006B4B06"/>
    <w:rsid w:val="006D0967"/>
    <w:rsid w:val="006E024F"/>
    <w:rsid w:val="006E4E81"/>
    <w:rsid w:val="00707F7D"/>
    <w:rsid w:val="00717EC5"/>
    <w:rsid w:val="00727525"/>
    <w:rsid w:val="00737B80"/>
    <w:rsid w:val="00745928"/>
    <w:rsid w:val="00785E7D"/>
    <w:rsid w:val="00791F5D"/>
    <w:rsid w:val="007923C7"/>
    <w:rsid w:val="00796380"/>
    <w:rsid w:val="007A57F2"/>
    <w:rsid w:val="007B1333"/>
    <w:rsid w:val="007C4721"/>
    <w:rsid w:val="007D5C0C"/>
    <w:rsid w:val="007D7E4F"/>
    <w:rsid w:val="007E2A8E"/>
    <w:rsid w:val="007E622A"/>
    <w:rsid w:val="007F4AEB"/>
    <w:rsid w:val="007F75B2"/>
    <w:rsid w:val="008043C4"/>
    <w:rsid w:val="00807F39"/>
    <w:rsid w:val="008108D7"/>
    <w:rsid w:val="00817CA5"/>
    <w:rsid w:val="00831B1B"/>
    <w:rsid w:val="00847A31"/>
    <w:rsid w:val="00861D0E"/>
    <w:rsid w:val="00867569"/>
    <w:rsid w:val="00874373"/>
    <w:rsid w:val="008805CB"/>
    <w:rsid w:val="00882382"/>
    <w:rsid w:val="008A0D06"/>
    <w:rsid w:val="008A4BA5"/>
    <w:rsid w:val="008A5F4F"/>
    <w:rsid w:val="008A750A"/>
    <w:rsid w:val="008C384C"/>
    <w:rsid w:val="008D0F11"/>
    <w:rsid w:val="008F05D7"/>
    <w:rsid w:val="008F2493"/>
    <w:rsid w:val="008F35B4"/>
    <w:rsid w:val="008F63FB"/>
    <w:rsid w:val="008F6C9C"/>
    <w:rsid w:val="008F73B4"/>
    <w:rsid w:val="0092389C"/>
    <w:rsid w:val="009273EC"/>
    <w:rsid w:val="0094402F"/>
    <w:rsid w:val="009600AC"/>
    <w:rsid w:val="0096314E"/>
    <w:rsid w:val="009668FF"/>
    <w:rsid w:val="00981088"/>
    <w:rsid w:val="00983DAE"/>
    <w:rsid w:val="00984C08"/>
    <w:rsid w:val="00993E69"/>
    <w:rsid w:val="009B55B1"/>
    <w:rsid w:val="009C2234"/>
    <w:rsid w:val="009D564B"/>
    <w:rsid w:val="00A00672"/>
    <w:rsid w:val="00A010FA"/>
    <w:rsid w:val="00A4343D"/>
    <w:rsid w:val="00A502F1"/>
    <w:rsid w:val="00A70A83"/>
    <w:rsid w:val="00A81EB3"/>
    <w:rsid w:val="00A842CF"/>
    <w:rsid w:val="00A9402A"/>
    <w:rsid w:val="00AC75F4"/>
    <w:rsid w:val="00AE28E1"/>
    <w:rsid w:val="00AE3FCA"/>
    <w:rsid w:val="00AE6D5B"/>
    <w:rsid w:val="00B00C1D"/>
    <w:rsid w:val="00B0317A"/>
    <w:rsid w:val="00B03E21"/>
    <w:rsid w:val="00B1128D"/>
    <w:rsid w:val="00B129C9"/>
    <w:rsid w:val="00B40799"/>
    <w:rsid w:val="00B433A7"/>
    <w:rsid w:val="00B73998"/>
    <w:rsid w:val="00BA439F"/>
    <w:rsid w:val="00BA6370"/>
    <w:rsid w:val="00BE218E"/>
    <w:rsid w:val="00BF07E1"/>
    <w:rsid w:val="00C1513D"/>
    <w:rsid w:val="00C269D4"/>
    <w:rsid w:val="00C4160D"/>
    <w:rsid w:val="00C52466"/>
    <w:rsid w:val="00C568C0"/>
    <w:rsid w:val="00C62F5D"/>
    <w:rsid w:val="00C74351"/>
    <w:rsid w:val="00C8406E"/>
    <w:rsid w:val="00C97818"/>
    <w:rsid w:val="00CA7E45"/>
    <w:rsid w:val="00CB2709"/>
    <w:rsid w:val="00CB6F89"/>
    <w:rsid w:val="00CB7797"/>
    <w:rsid w:val="00CD74BC"/>
    <w:rsid w:val="00CE228C"/>
    <w:rsid w:val="00CF545B"/>
    <w:rsid w:val="00D018F0"/>
    <w:rsid w:val="00D21228"/>
    <w:rsid w:val="00D24759"/>
    <w:rsid w:val="00D26502"/>
    <w:rsid w:val="00D27074"/>
    <w:rsid w:val="00D27D69"/>
    <w:rsid w:val="00D27DEC"/>
    <w:rsid w:val="00D448C2"/>
    <w:rsid w:val="00D60D56"/>
    <w:rsid w:val="00D666C3"/>
    <w:rsid w:val="00D71A18"/>
    <w:rsid w:val="00DB3587"/>
    <w:rsid w:val="00DB517B"/>
    <w:rsid w:val="00DC4343"/>
    <w:rsid w:val="00DD2DD4"/>
    <w:rsid w:val="00DE73F9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73FAA"/>
    <w:rsid w:val="00E80E75"/>
    <w:rsid w:val="00E93830"/>
    <w:rsid w:val="00E93E0E"/>
    <w:rsid w:val="00EB1ED3"/>
    <w:rsid w:val="00EC2D51"/>
    <w:rsid w:val="00EC2EFB"/>
    <w:rsid w:val="00ED6BF8"/>
    <w:rsid w:val="00EE2719"/>
    <w:rsid w:val="00F12DFF"/>
    <w:rsid w:val="00F26395"/>
    <w:rsid w:val="00F310A4"/>
    <w:rsid w:val="00F36A47"/>
    <w:rsid w:val="00F43A6D"/>
    <w:rsid w:val="00F46F18"/>
    <w:rsid w:val="00F82157"/>
    <w:rsid w:val="00F91F20"/>
    <w:rsid w:val="00F9392E"/>
    <w:rsid w:val="00FB000A"/>
    <w:rsid w:val="00FB005B"/>
    <w:rsid w:val="00FB687C"/>
    <w:rsid w:val="00FB738C"/>
    <w:rsid w:val="00FC7194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iln">
    <w:name w:val="Strong"/>
    <w:uiPriority w:val="99"/>
    <w:qFormat/>
    <w:rsid w:val="00DC4343"/>
    <w:rPr>
      <w:rFonts w:cs="Times New Roman"/>
      <w:b/>
      <w:bCs/>
    </w:rPr>
  </w:style>
  <w:style w:type="character" w:customStyle="1" w:styleId="odkaz">
    <w:name w:val="odkaz"/>
    <w:uiPriority w:val="99"/>
    <w:rsid w:val="00DC4343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CD7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apl.czso.cz/pll/rocenka/rocenka.indexnu_re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26FA-B380-4C7D-8725-1BEEA530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690</TotalTime>
  <Pages>6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6880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52</cp:revision>
  <cp:lastPrinted>2015-11-03T12:02:00Z</cp:lastPrinted>
  <dcterms:created xsi:type="dcterms:W3CDTF">2022-03-03T07:33:00Z</dcterms:created>
  <dcterms:modified xsi:type="dcterms:W3CDTF">2024-02-20T13:37:00Z</dcterms:modified>
</cp:coreProperties>
</file>