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1F" w:rsidRPr="004029DC" w:rsidRDefault="00003D0E" w:rsidP="0008781F">
      <w:pPr>
        <w:pStyle w:val="Datum"/>
      </w:pPr>
      <w:r>
        <w:t>2</w:t>
      </w:r>
      <w:r w:rsidR="004241D0">
        <w:t>3</w:t>
      </w:r>
      <w:r w:rsidR="0008781F" w:rsidRPr="004029DC">
        <w:t>. 1. 202</w:t>
      </w:r>
      <w:r w:rsidR="00960CAE" w:rsidRPr="004029DC">
        <w:t>5</w:t>
      </w:r>
    </w:p>
    <w:p w:rsidR="0008781F" w:rsidRPr="004029DC" w:rsidRDefault="0008781F" w:rsidP="0008781F">
      <w:pPr>
        <w:pStyle w:val="Nzev"/>
      </w:pPr>
      <w:r w:rsidRPr="004029DC">
        <w:t>Ekonomické subjekty v Moravskoslezském kraji k 31. 12. 2024</w:t>
      </w:r>
    </w:p>
    <w:p w:rsidR="0008781F" w:rsidRPr="004029DC" w:rsidRDefault="0008781F" w:rsidP="0008781F">
      <w:pPr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</w:pP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Ke konci roku 202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 mělo v Moravskoslezském kraji své sídlo 24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6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,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7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 tisíce ekonomických subjektů, z nichž 14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8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,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8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 tisíce (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60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,3 %) vykazovalo podle statistických zjišťování nebo administrativních zdrojů ekonomickou aktivitu. 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C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elkový počet ekonomických subjektů se meziročně 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zvýšil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 o více než 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2,5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 tisíc</w:t>
      </w:r>
      <w:r w:rsidR="002A2E11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e, v případě 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subj</w:t>
      </w:r>
      <w:r w:rsidR="002A2E11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 xml:space="preserve">ektů se zjištěnou aktivitou byl nárůst výraznější, a to 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o 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,</w:t>
      </w:r>
      <w:r w:rsidR="00A7017D"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1</w:t>
      </w:r>
      <w:r w:rsidRPr="004029DC"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  <w:t> tisíce.</w:t>
      </w:r>
    </w:p>
    <w:p w:rsidR="0008781F" w:rsidRPr="004029DC" w:rsidRDefault="0008781F" w:rsidP="0008781F">
      <w:pPr>
        <w:rPr>
          <w:rFonts w:eastAsia="Times New Roman" w:cs="Arial"/>
          <w:b/>
          <w:bCs/>
          <w:color w:val="333333"/>
          <w:szCs w:val="20"/>
          <w:bdr w:val="none" w:sz="0" w:space="0" w:color="auto" w:frame="1"/>
          <w:lang w:eastAsia="cs-CZ"/>
        </w:rPr>
      </w:pPr>
    </w:p>
    <w:p w:rsidR="0008781F" w:rsidRPr="004029DC" w:rsidRDefault="0008781F" w:rsidP="0008781F">
      <w:pPr>
        <w:rPr>
          <w:rFonts w:cs="Arial"/>
          <w:spacing w:val="-2"/>
          <w:szCs w:val="20"/>
        </w:rPr>
      </w:pPr>
      <w:r w:rsidRPr="004029DC">
        <w:rPr>
          <w:rFonts w:cs="Arial"/>
          <w:spacing w:val="-2"/>
          <w:szCs w:val="20"/>
        </w:rPr>
        <w:t>K 31. 12. 202</w:t>
      </w:r>
      <w:r w:rsidR="002C4086" w:rsidRPr="004029DC">
        <w:rPr>
          <w:rFonts w:cs="Arial"/>
          <w:spacing w:val="-2"/>
          <w:szCs w:val="20"/>
        </w:rPr>
        <w:t>4</w:t>
      </w:r>
      <w:r w:rsidRPr="004029DC">
        <w:rPr>
          <w:rFonts w:cs="Arial"/>
          <w:spacing w:val="-2"/>
          <w:szCs w:val="20"/>
        </w:rPr>
        <w:t xml:space="preserve"> bylo v Registru ekonomických subjektů (RES) zaevidováno 24</w:t>
      </w:r>
      <w:r w:rsidR="002C4086" w:rsidRPr="004029DC">
        <w:rPr>
          <w:rFonts w:cs="Arial"/>
          <w:spacing w:val="-2"/>
          <w:szCs w:val="20"/>
        </w:rPr>
        <w:t>6</w:t>
      </w:r>
      <w:r w:rsidRPr="004029DC">
        <w:rPr>
          <w:rFonts w:cs="Arial"/>
          <w:spacing w:val="-2"/>
          <w:szCs w:val="20"/>
        </w:rPr>
        <w:t> </w:t>
      </w:r>
      <w:r w:rsidR="002C4086" w:rsidRPr="004029DC">
        <w:rPr>
          <w:rFonts w:cs="Arial"/>
          <w:spacing w:val="-2"/>
          <w:szCs w:val="20"/>
        </w:rPr>
        <w:t>6</w:t>
      </w:r>
      <w:r w:rsidRPr="004029DC">
        <w:rPr>
          <w:rFonts w:cs="Arial"/>
          <w:spacing w:val="-2"/>
          <w:szCs w:val="20"/>
        </w:rPr>
        <w:t>7</w:t>
      </w:r>
      <w:r w:rsidR="002C4086" w:rsidRPr="004029DC">
        <w:rPr>
          <w:rFonts w:cs="Arial"/>
          <w:spacing w:val="-2"/>
          <w:szCs w:val="20"/>
        </w:rPr>
        <w:t>8</w:t>
      </w:r>
      <w:r w:rsidRPr="004029DC">
        <w:rPr>
          <w:rFonts w:cs="Arial"/>
          <w:spacing w:val="-2"/>
          <w:szCs w:val="20"/>
        </w:rPr>
        <w:t xml:space="preserve"> subjektů se sídlem v Moravskoslezském kraji a proti stavu v předchozím roce byl jejich počet </w:t>
      </w:r>
      <w:r w:rsidR="002C4086" w:rsidRPr="004029DC">
        <w:rPr>
          <w:rFonts w:cs="Arial"/>
          <w:spacing w:val="-2"/>
          <w:szCs w:val="20"/>
        </w:rPr>
        <w:t>vyšší</w:t>
      </w:r>
      <w:r w:rsidRPr="004029DC">
        <w:rPr>
          <w:rFonts w:cs="Arial"/>
          <w:spacing w:val="-2"/>
          <w:szCs w:val="20"/>
        </w:rPr>
        <w:t xml:space="preserve"> o </w:t>
      </w:r>
      <w:r w:rsidR="002C4086" w:rsidRPr="004029DC">
        <w:rPr>
          <w:rFonts w:cs="Arial"/>
          <w:spacing w:val="-2"/>
          <w:szCs w:val="20"/>
        </w:rPr>
        <w:t>2</w:t>
      </w:r>
      <w:r w:rsidRPr="004029DC">
        <w:rPr>
          <w:rFonts w:cs="Arial"/>
          <w:spacing w:val="-2"/>
          <w:szCs w:val="20"/>
        </w:rPr>
        <w:t> 5</w:t>
      </w:r>
      <w:r w:rsidR="002C4086" w:rsidRPr="004029DC">
        <w:rPr>
          <w:rFonts w:cs="Arial"/>
          <w:spacing w:val="-2"/>
          <w:szCs w:val="20"/>
        </w:rPr>
        <w:t>91</w:t>
      </w:r>
      <w:r w:rsidRPr="004029DC">
        <w:rPr>
          <w:rFonts w:cs="Arial"/>
          <w:spacing w:val="-2"/>
          <w:szCs w:val="20"/>
        </w:rPr>
        <w:t> subjektů, tj. o </w:t>
      </w:r>
      <w:r w:rsidR="002C4086" w:rsidRPr="004029DC">
        <w:rPr>
          <w:rFonts w:cs="Arial"/>
          <w:spacing w:val="-2"/>
          <w:szCs w:val="20"/>
        </w:rPr>
        <w:t>1</w:t>
      </w:r>
      <w:r w:rsidRPr="004029DC">
        <w:rPr>
          <w:rFonts w:cs="Arial"/>
          <w:spacing w:val="-2"/>
          <w:szCs w:val="20"/>
        </w:rPr>
        <w:t>,1 %. K meziročním</w:t>
      </w:r>
      <w:bookmarkStart w:id="0" w:name="_GoBack"/>
      <w:bookmarkEnd w:id="0"/>
      <w:r w:rsidRPr="004029DC">
        <w:rPr>
          <w:rFonts w:cs="Arial"/>
          <w:spacing w:val="-2"/>
          <w:szCs w:val="20"/>
        </w:rPr>
        <w:t xml:space="preserve">u </w:t>
      </w:r>
      <w:r w:rsidR="002C4086" w:rsidRPr="004029DC">
        <w:rPr>
          <w:rFonts w:cs="Arial"/>
          <w:spacing w:val="-2"/>
          <w:szCs w:val="20"/>
        </w:rPr>
        <w:t>zvýšení</w:t>
      </w:r>
      <w:r w:rsidRPr="004029DC">
        <w:rPr>
          <w:rFonts w:cs="Arial"/>
          <w:spacing w:val="-2"/>
          <w:szCs w:val="20"/>
        </w:rPr>
        <w:t xml:space="preserve"> počtu ekonomických subjektů došlo </w:t>
      </w:r>
      <w:r w:rsidR="004951B0" w:rsidRPr="004029DC">
        <w:rPr>
          <w:rFonts w:cs="Arial"/>
          <w:spacing w:val="-2"/>
          <w:szCs w:val="20"/>
        </w:rPr>
        <w:t>s výjimkou Karlovarského kraje</w:t>
      </w:r>
      <w:r w:rsidR="004951B0">
        <w:rPr>
          <w:rFonts w:cs="Arial"/>
          <w:spacing w:val="-2"/>
          <w:szCs w:val="20"/>
        </w:rPr>
        <w:t xml:space="preserve"> (</w:t>
      </w:r>
      <w:r w:rsidR="00475BD6">
        <w:rPr>
          <w:rFonts w:cs="Arial"/>
          <w:spacing w:val="-2"/>
          <w:szCs w:val="20"/>
        </w:rPr>
        <w:t>pokles</w:t>
      </w:r>
      <w:r w:rsidR="004951B0" w:rsidRPr="004029DC">
        <w:rPr>
          <w:rFonts w:cs="Arial"/>
          <w:spacing w:val="-2"/>
          <w:szCs w:val="20"/>
        </w:rPr>
        <w:t xml:space="preserve"> o</w:t>
      </w:r>
      <w:r w:rsidR="00475BD6">
        <w:rPr>
          <w:rFonts w:cs="Arial"/>
          <w:spacing w:val="-2"/>
          <w:szCs w:val="20"/>
        </w:rPr>
        <w:t> </w:t>
      </w:r>
      <w:r w:rsidR="004951B0" w:rsidRPr="004029DC">
        <w:rPr>
          <w:rFonts w:cs="Arial"/>
          <w:spacing w:val="-2"/>
          <w:szCs w:val="20"/>
        </w:rPr>
        <w:t>0,1</w:t>
      </w:r>
      <w:r w:rsidR="00475BD6">
        <w:rPr>
          <w:rFonts w:cs="Arial"/>
          <w:spacing w:val="-2"/>
          <w:szCs w:val="20"/>
        </w:rPr>
        <w:t> </w:t>
      </w:r>
      <w:r w:rsidR="004951B0" w:rsidRPr="004029DC">
        <w:rPr>
          <w:rFonts w:cs="Arial"/>
          <w:spacing w:val="-2"/>
          <w:szCs w:val="20"/>
        </w:rPr>
        <w:t>%</w:t>
      </w:r>
      <w:r w:rsidR="004951B0">
        <w:rPr>
          <w:rFonts w:cs="Arial"/>
          <w:spacing w:val="-2"/>
          <w:szCs w:val="20"/>
        </w:rPr>
        <w:t xml:space="preserve">) </w:t>
      </w:r>
      <w:r w:rsidRPr="004029DC">
        <w:rPr>
          <w:rFonts w:cs="Arial"/>
          <w:spacing w:val="-2"/>
          <w:szCs w:val="20"/>
        </w:rPr>
        <w:t xml:space="preserve">ve všech </w:t>
      </w:r>
      <w:r w:rsidR="004951B0">
        <w:rPr>
          <w:rFonts w:cs="Arial"/>
          <w:spacing w:val="-2"/>
          <w:szCs w:val="20"/>
        </w:rPr>
        <w:t xml:space="preserve">ostatních </w:t>
      </w:r>
      <w:r w:rsidRPr="004029DC">
        <w:rPr>
          <w:rFonts w:cs="Arial"/>
          <w:spacing w:val="-2"/>
          <w:szCs w:val="20"/>
        </w:rPr>
        <w:t>krajích Česka</w:t>
      </w:r>
      <w:r w:rsidR="008449DE" w:rsidRPr="004029DC">
        <w:rPr>
          <w:rFonts w:cs="Arial"/>
          <w:spacing w:val="-2"/>
          <w:szCs w:val="20"/>
        </w:rPr>
        <w:t>.</w:t>
      </w:r>
      <w:r w:rsidRPr="004029DC">
        <w:rPr>
          <w:rFonts w:cs="Arial"/>
          <w:spacing w:val="-2"/>
          <w:szCs w:val="20"/>
        </w:rPr>
        <w:t xml:space="preserve"> </w:t>
      </w:r>
      <w:r w:rsidR="008449DE" w:rsidRPr="004029DC">
        <w:rPr>
          <w:rFonts w:cs="Arial"/>
          <w:spacing w:val="-2"/>
          <w:szCs w:val="20"/>
        </w:rPr>
        <w:t>N</w:t>
      </w:r>
      <w:r w:rsidRPr="004029DC">
        <w:rPr>
          <w:rFonts w:cs="Arial"/>
          <w:spacing w:val="-2"/>
          <w:szCs w:val="20"/>
        </w:rPr>
        <w:t xml:space="preserve">ejprudší </w:t>
      </w:r>
      <w:r w:rsidR="008449DE" w:rsidRPr="004029DC">
        <w:rPr>
          <w:rFonts w:cs="Arial"/>
          <w:spacing w:val="-2"/>
          <w:szCs w:val="20"/>
        </w:rPr>
        <w:t>nárůst</w:t>
      </w:r>
      <w:r w:rsidRPr="004029DC">
        <w:rPr>
          <w:rFonts w:cs="Arial"/>
          <w:spacing w:val="-2"/>
          <w:szCs w:val="20"/>
        </w:rPr>
        <w:t xml:space="preserve"> byl evidován v</w:t>
      </w:r>
      <w:r w:rsidR="00475BD6">
        <w:rPr>
          <w:rFonts w:cs="Arial"/>
          <w:spacing w:val="-2"/>
          <w:szCs w:val="20"/>
        </w:rPr>
        <w:t xml:space="preserve"> hlavním městě </w:t>
      </w:r>
      <w:r w:rsidR="008449DE" w:rsidRPr="004029DC">
        <w:rPr>
          <w:rFonts w:cs="Arial"/>
          <w:spacing w:val="-2"/>
          <w:szCs w:val="20"/>
        </w:rPr>
        <w:t>Praze (o 2,5 %) a</w:t>
      </w:r>
      <w:r w:rsidR="00475BD6">
        <w:rPr>
          <w:rFonts w:cs="Arial"/>
          <w:spacing w:val="-2"/>
          <w:szCs w:val="20"/>
        </w:rPr>
        <w:t> </w:t>
      </w:r>
      <w:r w:rsidR="008449DE" w:rsidRPr="004029DC">
        <w:rPr>
          <w:rFonts w:cs="Arial"/>
          <w:spacing w:val="-2"/>
          <w:szCs w:val="20"/>
        </w:rPr>
        <w:t>Středočeské</w:t>
      </w:r>
      <w:r w:rsidRPr="004029DC">
        <w:rPr>
          <w:rFonts w:cs="Arial"/>
          <w:spacing w:val="-2"/>
          <w:szCs w:val="20"/>
        </w:rPr>
        <w:t>m kraji (o </w:t>
      </w:r>
      <w:r w:rsidR="008449DE" w:rsidRPr="004029DC">
        <w:rPr>
          <w:rFonts w:cs="Arial"/>
          <w:spacing w:val="-2"/>
          <w:szCs w:val="20"/>
        </w:rPr>
        <w:t>1</w:t>
      </w:r>
      <w:r w:rsidRPr="004029DC">
        <w:rPr>
          <w:rFonts w:cs="Arial"/>
          <w:spacing w:val="-2"/>
          <w:szCs w:val="20"/>
        </w:rPr>
        <w:t>,8 %).</w:t>
      </w:r>
    </w:p>
    <w:p w:rsidR="0008781F" w:rsidRPr="004029DC" w:rsidRDefault="0008781F" w:rsidP="0008781F">
      <w:pPr>
        <w:rPr>
          <w:rFonts w:cs="Arial"/>
          <w:spacing w:val="-2"/>
          <w:szCs w:val="20"/>
        </w:rPr>
      </w:pPr>
    </w:p>
    <w:p w:rsidR="0008781F" w:rsidRPr="004029DC" w:rsidRDefault="00DF5751" w:rsidP="0008781F">
      <w:pPr>
        <w:rPr>
          <w:rFonts w:cs="Arial"/>
          <w:spacing w:val="-2"/>
          <w:szCs w:val="20"/>
        </w:rPr>
      </w:pPr>
      <w:r w:rsidRPr="00DF5751">
        <w:rPr>
          <w:rFonts w:cs="Arial"/>
          <w:noProof/>
          <w:spacing w:val="-2"/>
          <w:szCs w:val="20"/>
          <w:lang w:eastAsia="cs-CZ"/>
        </w:rPr>
        <w:drawing>
          <wp:inline distT="0" distB="0" distL="0" distR="0">
            <wp:extent cx="5400040" cy="3885743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1F" w:rsidRPr="004029DC" w:rsidRDefault="0008781F" w:rsidP="0008781F">
      <w:pPr>
        <w:rPr>
          <w:rFonts w:cs="Arial"/>
          <w:spacing w:val="-2"/>
          <w:szCs w:val="20"/>
        </w:rPr>
      </w:pPr>
    </w:p>
    <w:p w:rsidR="0008781F" w:rsidRPr="004029DC" w:rsidRDefault="0008781F" w:rsidP="0008781F">
      <w:pPr>
        <w:rPr>
          <w:rFonts w:cs="Arial"/>
          <w:spacing w:val="-2"/>
          <w:szCs w:val="20"/>
        </w:rPr>
      </w:pPr>
      <w:r w:rsidRPr="004029DC">
        <w:rPr>
          <w:rFonts w:cs="Arial"/>
          <w:spacing w:val="-2"/>
          <w:szCs w:val="20"/>
        </w:rPr>
        <w:t>V celém Česku bylo ke konci roku</w:t>
      </w:r>
      <w:r w:rsidR="007F2BC9">
        <w:rPr>
          <w:rFonts w:cs="Arial"/>
          <w:spacing w:val="-2"/>
          <w:szCs w:val="20"/>
        </w:rPr>
        <w:t> </w:t>
      </w:r>
      <w:r w:rsidRPr="004029DC">
        <w:rPr>
          <w:rFonts w:cs="Arial"/>
          <w:spacing w:val="-2"/>
          <w:szCs w:val="20"/>
        </w:rPr>
        <w:t>202</w:t>
      </w:r>
      <w:r w:rsidR="008449DE" w:rsidRPr="004029DC">
        <w:rPr>
          <w:rFonts w:cs="Arial"/>
          <w:spacing w:val="-2"/>
          <w:szCs w:val="20"/>
        </w:rPr>
        <w:t>4</w:t>
      </w:r>
      <w:r w:rsidRPr="004029DC">
        <w:rPr>
          <w:rFonts w:cs="Arial"/>
          <w:spacing w:val="-2"/>
          <w:szCs w:val="20"/>
        </w:rPr>
        <w:t xml:space="preserve"> v RES evidováno </w:t>
      </w:r>
      <w:r w:rsidR="007F2BC9">
        <w:rPr>
          <w:rFonts w:cs="Arial"/>
          <w:spacing w:val="-2"/>
          <w:szCs w:val="20"/>
        </w:rPr>
        <w:t>zhruba</w:t>
      </w:r>
      <w:r w:rsidRPr="004029DC">
        <w:rPr>
          <w:rFonts w:cs="Arial"/>
          <w:spacing w:val="-2"/>
          <w:szCs w:val="20"/>
        </w:rPr>
        <w:t xml:space="preserve"> 2,8 milionu ekonomických subjektů, jejich celkový počet meziročně </w:t>
      </w:r>
      <w:r w:rsidR="008449DE" w:rsidRPr="004029DC">
        <w:rPr>
          <w:rFonts w:cs="Arial"/>
          <w:spacing w:val="-2"/>
          <w:szCs w:val="20"/>
        </w:rPr>
        <w:t>vzrostl</w:t>
      </w:r>
      <w:r w:rsidRPr="004029DC">
        <w:rPr>
          <w:rFonts w:cs="Arial"/>
          <w:spacing w:val="-2"/>
          <w:szCs w:val="20"/>
        </w:rPr>
        <w:t xml:space="preserve"> o </w:t>
      </w:r>
      <w:r w:rsidR="008449DE" w:rsidRPr="004029DC">
        <w:rPr>
          <w:rFonts w:cs="Arial"/>
          <w:spacing w:val="-2"/>
          <w:szCs w:val="20"/>
        </w:rPr>
        <w:t>1</w:t>
      </w:r>
      <w:r w:rsidRPr="004029DC">
        <w:rPr>
          <w:rFonts w:cs="Arial"/>
          <w:spacing w:val="-2"/>
          <w:szCs w:val="20"/>
        </w:rPr>
        <w:t>,</w:t>
      </w:r>
      <w:r w:rsidR="008449DE" w:rsidRPr="004029DC">
        <w:rPr>
          <w:rFonts w:cs="Arial"/>
          <w:spacing w:val="-2"/>
          <w:szCs w:val="20"/>
        </w:rPr>
        <w:t>3</w:t>
      </w:r>
      <w:r w:rsidRPr="004029DC">
        <w:rPr>
          <w:rFonts w:cs="Arial"/>
          <w:spacing w:val="-2"/>
          <w:szCs w:val="20"/>
        </w:rPr>
        <w:t> % (o </w:t>
      </w:r>
      <w:r w:rsidR="008449DE" w:rsidRPr="004029DC">
        <w:rPr>
          <w:rFonts w:cs="Arial"/>
          <w:spacing w:val="-2"/>
          <w:szCs w:val="20"/>
        </w:rPr>
        <w:t>35</w:t>
      </w:r>
      <w:r w:rsidRPr="004029DC">
        <w:rPr>
          <w:rFonts w:cs="Arial"/>
          <w:spacing w:val="-2"/>
          <w:szCs w:val="20"/>
        </w:rPr>
        <w:t>,</w:t>
      </w:r>
      <w:r w:rsidR="008449DE" w:rsidRPr="004029DC">
        <w:rPr>
          <w:rFonts w:cs="Arial"/>
          <w:spacing w:val="-2"/>
          <w:szCs w:val="20"/>
        </w:rPr>
        <w:t>7</w:t>
      </w:r>
      <w:r w:rsidRPr="004029DC">
        <w:rPr>
          <w:rFonts w:cs="Arial"/>
          <w:spacing w:val="-2"/>
          <w:szCs w:val="20"/>
        </w:rPr>
        <w:t> tisíce subjektů). Nejvíce ekonomických subjektů (6</w:t>
      </w:r>
      <w:r w:rsidR="006A7613" w:rsidRPr="004029DC">
        <w:rPr>
          <w:rFonts w:cs="Arial"/>
          <w:spacing w:val="-2"/>
          <w:szCs w:val="20"/>
        </w:rPr>
        <w:t>72</w:t>
      </w:r>
      <w:r w:rsidR="007F2BC9">
        <w:rPr>
          <w:rFonts w:cs="Arial"/>
          <w:spacing w:val="-2"/>
          <w:szCs w:val="20"/>
        </w:rPr>
        <w:t>,2 tisíce</w:t>
      </w:r>
      <w:r w:rsidRPr="004029DC">
        <w:rPr>
          <w:rFonts w:cs="Arial"/>
          <w:spacing w:val="-2"/>
          <w:szCs w:val="20"/>
        </w:rPr>
        <w:t xml:space="preserve">) mělo své sídlo v hlavním městě Praze, jejich podíl ze všech </w:t>
      </w:r>
      <w:r w:rsidRPr="004029DC">
        <w:rPr>
          <w:rFonts w:cs="Arial"/>
          <w:spacing w:val="-2"/>
          <w:szCs w:val="20"/>
        </w:rPr>
        <w:lastRenderedPageBreak/>
        <w:t>v Česku evidovaných jednotek činil 23,</w:t>
      </w:r>
      <w:r w:rsidR="006A7613" w:rsidRPr="004029DC">
        <w:rPr>
          <w:rFonts w:cs="Arial"/>
          <w:spacing w:val="-2"/>
          <w:szCs w:val="20"/>
        </w:rPr>
        <w:t>7</w:t>
      </w:r>
      <w:r w:rsidRPr="004029DC">
        <w:rPr>
          <w:rFonts w:cs="Arial"/>
          <w:spacing w:val="-2"/>
          <w:szCs w:val="20"/>
        </w:rPr>
        <w:t> %. Jako druhý se v pomyslném žebříčku krajů s podílem 12,</w:t>
      </w:r>
      <w:r w:rsidR="006A7613" w:rsidRPr="004029DC">
        <w:rPr>
          <w:rFonts w:cs="Arial"/>
          <w:spacing w:val="-2"/>
          <w:szCs w:val="20"/>
        </w:rPr>
        <w:t>2</w:t>
      </w:r>
      <w:r w:rsidRPr="004029DC">
        <w:rPr>
          <w:rFonts w:cs="Arial"/>
          <w:spacing w:val="-2"/>
          <w:szCs w:val="20"/>
        </w:rPr>
        <w:t> % umístil Středočeský kraj, dále následovaly kraje Jihomoravský (11,3 %) a Moravskoslezský (8,7 %).</w:t>
      </w: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V Moravskoslezském kraji bylo v RES zapsáno 1</w:t>
      </w:r>
      <w:r w:rsidR="006A761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80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</w:t>
      </w:r>
      <w:r w:rsidR="006A761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844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fyzických osob, čímž se podílely na počtu všech ekonomických subjektů kraje 73,</w:t>
      </w:r>
      <w:r w:rsidR="00102B0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3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 %. V porovnání s předchozím rokem se celkový počet fyzických osob v kraji </w:t>
      </w:r>
      <w:r w:rsidR="00102B0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zvýšil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o </w:t>
      </w:r>
      <w:r w:rsidR="00102B0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0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102B03"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7</w:t>
      </w:r>
      <w:r w:rsidRPr="00C974D9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%. Mezi fyzickými osobami jednoznačně převažovali s podílem 90,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6 % soukromí podnikatelé podnikající dle živnostenského zákona, i v jejich případě došlo k meziročnímu 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přírůstku 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o 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0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7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%. Zastoupení zemědělských podnikatelů a fyzických osob provozujících jinou podnikatelskou činnost podle zvláštních předpisů dosáhlo 2,</w:t>
      </w:r>
      <w:r w:rsidR="000E08D1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1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%, resp. 5,</w:t>
      </w:r>
      <w:r w:rsidR="000E08D1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7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%.</w:t>
      </w: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V případě právnických osob sídlících v Moravskoslezském kraji, jichž bylo na konci roku 202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evidováno 6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5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834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subjektů, došlo k meziročnímu nárůstu o 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2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0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%. Právnické osoby se na všech subjektech v Moravskoslezském kraji podílely 26,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7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 při celorepublikovém podílu 29,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9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%, maximu 45,4 % v Praze a minimu 21,0 % ve Středočeském kraji. Výrazný, a to 6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0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% podíl mezi právnickými osobami v kraji zaujímaly obchodní společnosti, mezi nimi zcela jasně převažovaly společnosti s ručením omezeným. V Moravskoslezském kraji zaznamenáváme dlouhodobě rostoucí počet společností s ručením omezeným, v případě akciových společností byl vývoj o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pačný a</w:t>
      </w:r>
      <w:r w:rsidR="00806125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na konci roku 202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došlo k poklesu jejich počtu o 1,</w:t>
      </w:r>
      <w:r w:rsidR="00102B03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0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%.</w:t>
      </w: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zCs w:val="20"/>
        </w:rPr>
      </w:pPr>
      <w:r w:rsidRPr="004029DC">
        <w:rPr>
          <w:szCs w:val="20"/>
        </w:rPr>
        <w:t>Necelá polovina ekonomických subjektů v kraji (4</w:t>
      </w:r>
      <w:r w:rsidR="00EB4796" w:rsidRPr="004029DC">
        <w:rPr>
          <w:szCs w:val="20"/>
        </w:rPr>
        <w:t>9</w:t>
      </w:r>
      <w:r w:rsidRPr="004029DC">
        <w:rPr>
          <w:szCs w:val="20"/>
        </w:rPr>
        <w:t>,</w:t>
      </w:r>
      <w:r w:rsidR="00EB4796" w:rsidRPr="004029DC">
        <w:rPr>
          <w:szCs w:val="20"/>
        </w:rPr>
        <w:t>5</w:t>
      </w:r>
      <w:r w:rsidRPr="004029DC">
        <w:rPr>
          <w:szCs w:val="20"/>
        </w:rPr>
        <w:t xml:space="preserve"> %) vykázala </w:t>
      </w:r>
      <w:r w:rsidR="00806125">
        <w:rPr>
          <w:szCs w:val="20"/>
        </w:rPr>
        <w:t>z</w:t>
      </w:r>
      <w:r w:rsidR="00596FCC">
        <w:rPr>
          <w:szCs w:val="20"/>
        </w:rPr>
        <w:t> </w:t>
      </w:r>
      <w:r w:rsidR="00806125">
        <w:rPr>
          <w:szCs w:val="20"/>
        </w:rPr>
        <w:t>hlediska</w:t>
      </w:r>
      <w:r w:rsidRPr="004029DC">
        <w:rPr>
          <w:szCs w:val="20"/>
        </w:rPr>
        <w:t xml:space="preserve"> počtu zaměstnanců svou velikost, přičemž převážná většina z nich uvedla stav bez zaměstnanců (7</w:t>
      </w:r>
      <w:r w:rsidR="00962A88" w:rsidRPr="004029DC">
        <w:rPr>
          <w:szCs w:val="20"/>
        </w:rPr>
        <w:t>4</w:t>
      </w:r>
      <w:r w:rsidRPr="004029DC">
        <w:rPr>
          <w:szCs w:val="20"/>
        </w:rPr>
        <w:t>,</w:t>
      </w:r>
      <w:r w:rsidR="00962A88" w:rsidRPr="004029DC">
        <w:rPr>
          <w:szCs w:val="20"/>
        </w:rPr>
        <w:t>5</w:t>
      </w:r>
      <w:r w:rsidRPr="004029DC">
        <w:rPr>
          <w:szCs w:val="20"/>
        </w:rPr>
        <w:t> %). Mezi subjekty se zaměstnanci převládaly v Moravskoslezském kraji s počtem 2</w:t>
      </w:r>
      <w:r w:rsidR="00962A88" w:rsidRPr="004029DC">
        <w:rPr>
          <w:szCs w:val="20"/>
        </w:rPr>
        <w:t>3</w:t>
      </w:r>
      <w:r w:rsidRPr="004029DC">
        <w:rPr>
          <w:szCs w:val="20"/>
        </w:rPr>
        <w:t>,</w:t>
      </w:r>
      <w:r w:rsidR="00962A88" w:rsidRPr="004029DC">
        <w:rPr>
          <w:szCs w:val="20"/>
        </w:rPr>
        <w:t>9</w:t>
      </w:r>
      <w:r w:rsidRPr="004029DC">
        <w:rPr>
          <w:szCs w:val="20"/>
        </w:rPr>
        <w:t xml:space="preserve"> tisíce </w:t>
      </w:r>
      <w:proofErr w:type="spellStart"/>
      <w:r w:rsidRPr="004029DC">
        <w:rPr>
          <w:szCs w:val="20"/>
        </w:rPr>
        <w:t>mikropodniky</w:t>
      </w:r>
      <w:proofErr w:type="spellEnd"/>
      <w:r w:rsidRPr="004029DC">
        <w:rPr>
          <w:szCs w:val="20"/>
        </w:rPr>
        <w:t xml:space="preserve"> s 1 až 9 zaměstnanci. Celkem 2</w:t>
      </w:r>
      <w:r w:rsidR="00962A88" w:rsidRPr="004029DC">
        <w:rPr>
          <w:szCs w:val="20"/>
        </w:rPr>
        <w:t>66</w:t>
      </w:r>
      <w:r w:rsidRPr="004029DC">
        <w:rPr>
          <w:szCs w:val="20"/>
        </w:rPr>
        <w:t xml:space="preserve"> podniků sídlících v kraji zaměstnávalo 250 a více zaměstnanců, přičemž </w:t>
      </w:r>
      <w:r w:rsidR="00962A88" w:rsidRPr="004029DC">
        <w:rPr>
          <w:szCs w:val="20"/>
        </w:rPr>
        <w:t>11</w:t>
      </w:r>
      <w:r w:rsidRPr="004029DC">
        <w:rPr>
          <w:szCs w:val="20"/>
        </w:rPr>
        <w:t xml:space="preserve">9 z nich se nacházelo v okrese Ostrava-město. </w:t>
      </w:r>
      <w:r w:rsidR="00B31404">
        <w:rPr>
          <w:szCs w:val="20"/>
        </w:rPr>
        <w:t>K meziročnímu nárůstu počtu ekonomických subjektů došlo ve všech kategoriích</w:t>
      </w:r>
      <w:r w:rsidRPr="004029DC">
        <w:rPr>
          <w:szCs w:val="20"/>
        </w:rPr>
        <w:t xml:space="preserve"> </w:t>
      </w:r>
      <w:r w:rsidR="00B31404">
        <w:rPr>
          <w:szCs w:val="20"/>
        </w:rPr>
        <w:t>se zjištěným počtem zaměstnanců: s </w:t>
      </w:r>
      <w:r w:rsidR="00B31404" w:rsidRPr="004029DC">
        <w:rPr>
          <w:szCs w:val="20"/>
        </w:rPr>
        <w:t>1 až 9 zaměstnanci (o </w:t>
      </w:r>
      <w:r w:rsidR="00B31404">
        <w:rPr>
          <w:szCs w:val="20"/>
        </w:rPr>
        <w:t>17,4</w:t>
      </w:r>
      <w:r w:rsidR="00B31404" w:rsidRPr="004029DC">
        <w:rPr>
          <w:szCs w:val="20"/>
        </w:rPr>
        <w:t> %, o </w:t>
      </w:r>
      <w:r w:rsidR="00B31404">
        <w:rPr>
          <w:szCs w:val="20"/>
        </w:rPr>
        <w:t xml:space="preserve">3 546 subjektů), </w:t>
      </w:r>
      <w:r w:rsidR="005E3ABB">
        <w:rPr>
          <w:szCs w:val="20"/>
        </w:rPr>
        <w:t>s 10 až 49 </w:t>
      </w:r>
      <w:r w:rsidRPr="004029DC">
        <w:rPr>
          <w:szCs w:val="20"/>
        </w:rPr>
        <w:t>zaměstnanc</w:t>
      </w:r>
      <w:r w:rsidR="00962A88" w:rsidRPr="004029DC">
        <w:rPr>
          <w:szCs w:val="20"/>
        </w:rPr>
        <w:t>i</w:t>
      </w:r>
      <w:r w:rsidRPr="004029DC">
        <w:rPr>
          <w:szCs w:val="20"/>
        </w:rPr>
        <w:t xml:space="preserve"> (o </w:t>
      </w:r>
      <w:r w:rsidR="00962A88" w:rsidRPr="004029DC">
        <w:rPr>
          <w:szCs w:val="20"/>
        </w:rPr>
        <w:t>4</w:t>
      </w:r>
      <w:r w:rsidRPr="004029DC">
        <w:rPr>
          <w:szCs w:val="20"/>
        </w:rPr>
        <w:t>2,6 %, o </w:t>
      </w:r>
      <w:r w:rsidR="00962A88" w:rsidRPr="004029DC">
        <w:rPr>
          <w:szCs w:val="20"/>
        </w:rPr>
        <w:t>1</w:t>
      </w:r>
      <w:r w:rsidRPr="004029DC">
        <w:rPr>
          <w:szCs w:val="20"/>
        </w:rPr>
        <w:t> </w:t>
      </w:r>
      <w:r w:rsidR="00962A88" w:rsidRPr="004029DC">
        <w:rPr>
          <w:szCs w:val="20"/>
        </w:rPr>
        <w:t>678</w:t>
      </w:r>
      <w:r w:rsidR="00CD5906">
        <w:rPr>
          <w:szCs w:val="20"/>
        </w:rPr>
        <w:t xml:space="preserve"> subjektů),</w:t>
      </w:r>
      <w:r w:rsidRPr="004029DC">
        <w:rPr>
          <w:szCs w:val="20"/>
        </w:rPr>
        <w:t xml:space="preserve"> s 50 až 249 zaměstnanci (o </w:t>
      </w:r>
      <w:r w:rsidR="00962A88" w:rsidRPr="004029DC">
        <w:rPr>
          <w:szCs w:val="20"/>
        </w:rPr>
        <w:t>27</w:t>
      </w:r>
      <w:r w:rsidRPr="004029DC">
        <w:rPr>
          <w:szCs w:val="20"/>
        </w:rPr>
        <w:t>,</w:t>
      </w:r>
      <w:r w:rsidR="00962A88" w:rsidRPr="004029DC">
        <w:rPr>
          <w:szCs w:val="20"/>
        </w:rPr>
        <w:t>2</w:t>
      </w:r>
      <w:r w:rsidRPr="004029DC">
        <w:rPr>
          <w:szCs w:val="20"/>
        </w:rPr>
        <w:t> %, o </w:t>
      </w:r>
      <w:r w:rsidR="00962A88" w:rsidRPr="004029DC">
        <w:rPr>
          <w:szCs w:val="20"/>
        </w:rPr>
        <w:t>29</w:t>
      </w:r>
      <w:r w:rsidRPr="004029DC">
        <w:rPr>
          <w:szCs w:val="20"/>
        </w:rPr>
        <w:t>1 subjektů)</w:t>
      </w:r>
      <w:r w:rsidR="00CD5906">
        <w:rPr>
          <w:szCs w:val="20"/>
        </w:rPr>
        <w:t xml:space="preserve"> a s 250 a více zaměstnanci (</w:t>
      </w:r>
      <w:r w:rsidR="00CD5906" w:rsidRPr="004029DC">
        <w:rPr>
          <w:szCs w:val="20"/>
        </w:rPr>
        <w:t>o </w:t>
      </w:r>
      <w:r w:rsidR="00CD5906">
        <w:rPr>
          <w:szCs w:val="20"/>
        </w:rPr>
        <w:t>13,7</w:t>
      </w:r>
      <w:r w:rsidR="00CD5906" w:rsidRPr="004029DC">
        <w:rPr>
          <w:szCs w:val="20"/>
        </w:rPr>
        <w:t> %, o </w:t>
      </w:r>
      <w:r w:rsidR="00CD5906">
        <w:rPr>
          <w:szCs w:val="20"/>
        </w:rPr>
        <w:t>32</w:t>
      </w:r>
      <w:r w:rsidR="00CD5906" w:rsidRPr="004029DC">
        <w:rPr>
          <w:szCs w:val="20"/>
        </w:rPr>
        <w:t> subjektů</w:t>
      </w:r>
      <w:r w:rsidR="00CD5906">
        <w:rPr>
          <w:szCs w:val="20"/>
        </w:rPr>
        <w:t>)</w:t>
      </w:r>
      <w:r w:rsidRPr="004029DC">
        <w:rPr>
          <w:szCs w:val="20"/>
        </w:rPr>
        <w:t xml:space="preserve">. </w:t>
      </w:r>
      <w:r w:rsidR="00CD5906">
        <w:rPr>
          <w:szCs w:val="20"/>
        </w:rPr>
        <w:t>V případě subjektů bez zaměstnanců se jejich poč</w:t>
      </w:r>
      <w:r w:rsidR="005E3ABB">
        <w:rPr>
          <w:szCs w:val="20"/>
        </w:rPr>
        <w:t>et</w:t>
      </w:r>
      <w:r w:rsidR="00CD5906">
        <w:rPr>
          <w:szCs w:val="20"/>
        </w:rPr>
        <w:t xml:space="preserve"> mezi roky 2024 a 2023 takřka nezměnil.</w:t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zCs w:val="20"/>
        </w:rPr>
      </w:pP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zCs w:val="20"/>
        </w:rPr>
      </w:pPr>
      <w:r w:rsidRPr="004029DC">
        <w:rPr>
          <w:szCs w:val="20"/>
        </w:rPr>
        <w:t>Ve struktuře dle převažující ekonomické činnosti podle klasifikace CZ-NACE převládaly subjekty, které spadaly do odvětví velkoobchodu a maloobchodu; opravy a údržby motorových vozidel. Jejich podíl na počtu všech ekonomických subjektů kraje činil 1</w:t>
      </w:r>
      <w:r w:rsidR="00CD510D" w:rsidRPr="004029DC">
        <w:rPr>
          <w:szCs w:val="20"/>
        </w:rPr>
        <w:t>4</w:t>
      </w:r>
      <w:r w:rsidRPr="004029DC">
        <w:rPr>
          <w:szCs w:val="20"/>
        </w:rPr>
        <w:t>,1 %. Druhým nejvíce zastoupeným odvětvím činnosti byl průmysl (13,2 %), třetí nejpočetnější skupinu tvořily jednotky zabývající se profesní, vědeckou a technickou činností (13,</w:t>
      </w:r>
      <w:r w:rsidR="00CD510D" w:rsidRPr="004029DC">
        <w:rPr>
          <w:szCs w:val="20"/>
        </w:rPr>
        <w:t>1</w:t>
      </w:r>
      <w:r w:rsidRPr="004029DC">
        <w:rPr>
          <w:szCs w:val="20"/>
        </w:rPr>
        <w:t> %) a na čtvrtém místě se umístilo stavebnictví (11,5 %).</w:t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zCs w:val="20"/>
        </w:rPr>
      </w:pPr>
    </w:p>
    <w:p w:rsidR="0008781F" w:rsidRPr="004E0A33" w:rsidRDefault="0008781F" w:rsidP="0008781F">
      <w:pPr>
        <w:pStyle w:val="Zkladntext2"/>
        <w:spacing w:before="0" w:line="276" w:lineRule="auto"/>
        <w:jc w:val="left"/>
        <w:rPr>
          <w:spacing w:val="-1"/>
          <w:szCs w:val="20"/>
        </w:rPr>
      </w:pPr>
      <w:r w:rsidRPr="004E0A33">
        <w:rPr>
          <w:spacing w:val="-1"/>
          <w:szCs w:val="20"/>
        </w:rPr>
        <w:t>Převážná většina skupin subjektů vedených v RES dle převažující ekonomické činnosti se ke konci roku 202</w:t>
      </w:r>
      <w:r w:rsidR="00CD510D" w:rsidRPr="004E0A33">
        <w:rPr>
          <w:spacing w:val="-1"/>
          <w:szCs w:val="20"/>
        </w:rPr>
        <w:t>4</w:t>
      </w:r>
      <w:r w:rsidRPr="004E0A33">
        <w:rPr>
          <w:spacing w:val="-1"/>
          <w:szCs w:val="20"/>
        </w:rPr>
        <w:t xml:space="preserve"> početně </w:t>
      </w:r>
      <w:r w:rsidR="00925A21" w:rsidRPr="004E0A33">
        <w:rPr>
          <w:spacing w:val="-1"/>
          <w:szCs w:val="20"/>
        </w:rPr>
        <w:t>zvýšila</w:t>
      </w:r>
      <w:r w:rsidRPr="004E0A33">
        <w:rPr>
          <w:spacing w:val="-1"/>
          <w:szCs w:val="20"/>
        </w:rPr>
        <w:t xml:space="preserve">. Největší meziroční </w:t>
      </w:r>
      <w:r w:rsidR="005E3ABB">
        <w:rPr>
          <w:spacing w:val="-1"/>
          <w:szCs w:val="20"/>
        </w:rPr>
        <w:t>nárůst</w:t>
      </w:r>
      <w:r w:rsidRPr="004E0A33">
        <w:rPr>
          <w:spacing w:val="-1"/>
          <w:szCs w:val="20"/>
        </w:rPr>
        <w:t xml:space="preserve"> zaznamenaly skupiny </w:t>
      </w:r>
      <w:r w:rsidR="004E0A33">
        <w:rPr>
          <w:spacing w:val="-1"/>
          <w:szCs w:val="20"/>
        </w:rPr>
        <w:t>doprava a </w:t>
      </w:r>
      <w:r w:rsidR="00925A21" w:rsidRPr="004E0A33">
        <w:rPr>
          <w:spacing w:val="-1"/>
          <w:szCs w:val="20"/>
        </w:rPr>
        <w:t>skladování (o 12,7 %, o 963 subjektů) a</w:t>
      </w:r>
      <w:r w:rsidR="004E0A33">
        <w:rPr>
          <w:spacing w:val="-1"/>
          <w:szCs w:val="20"/>
        </w:rPr>
        <w:t> </w:t>
      </w:r>
      <w:r w:rsidR="00925A21" w:rsidRPr="004E0A33">
        <w:rPr>
          <w:spacing w:val="-1"/>
          <w:szCs w:val="20"/>
        </w:rPr>
        <w:t>administrativní a</w:t>
      </w:r>
      <w:r w:rsidR="004E0A33">
        <w:rPr>
          <w:spacing w:val="-1"/>
          <w:szCs w:val="20"/>
        </w:rPr>
        <w:t> </w:t>
      </w:r>
      <w:r w:rsidR="00925A21" w:rsidRPr="004E0A33">
        <w:rPr>
          <w:spacing w:val="-1"/>
          <w:szCs w:val="20"/>
        </w:rPr>
        <w:t xml:space="preserve">podpůrné činnosti (o 7,6 %, o 501 subjektů). Naproti tomu pouze v případě dvou odvětví činnosti došlo k meziročnímu snížení počtu ekonomických subjektů a to v odvětví </w:t>
      </w:r>
      <w:r w:rsidRPr="004E0A33">
        <w:rPr>
          <w:spacing w:val="-1"/>
          <w:szCs w:val="20"/>
        </w:rPr>
        <w:t>velkoobchod a maloobchod; oprav</w:t>
      </w:r>
      <w:r w:rsidR="004E0A33">
        <w:rPr>
          <w:spacing w:val="-1"/>
          <w:szCs w:val="20"/>
        </w:rPr>
        <w:t>y</w:t>
      </w:r>
      <w:r w:rsidRPr="004E0A33">
        <w:rPr>
          <w:spacing w:val="-1"/>
          <w:szCs w:val="20"/>
        </w:rPr>
        <w:t xml:space="preserve"> a údržb</w:t>
      </w:r>
      <w:r w:rsidR="004E0A33">
        <w:rPr>
          <w:spacing w:val="-1"/>
          <w:szCs w:val="20"/>
        </w:rPr>
        <w:t>a</w:t>
      </w:r>
      <w:r w:rsidRPr="004E0A33">
        <w:rPr>
          <w:spacing w:val="-1"/>
          <w:szCs w:val="20"/>
        </w:rPr>
        <w:t xml:space="preserve"> motorových vozidel </w:t>
      </w:r>
      <w:r w:rsidR="00925A21" w:rsidRPr="004E0A33">
        <w:rPr>
          <w:spacing w:val="-1"/>
          <w:szCs w:val="20"/>
        </w:rPr>
        <w:t>(o 6,0 %, o 2</w:t>
      </w:r>
      <w:r w:rsidR="004E0A33" w:rsidRPr="004E0A33">
        <w:rPr>
          <w:spacing w:val="-1"/>
          <w:szCs w:val="20"/>
        </w:rPr>
        <w:t> </w:t>
      </w:r>
      <w:r w:rsidR="00925A21" w:rsidRPr="004E0A33">
        <w:rPr>
          <w:spacing w:val="-1"/>
          <w:szCs w:val="20"/>
        </w:rPr>
        <w:t xml:space="preserve">205 subjektů) </w:t>
      </w:r>
      <w:r w:rsidRPr="004E0A33">
        <w:rPr>
          <w:spacing w:val="-1"/>
          <w:szCs w:val="20"/>
        </w:rPr>
        <w:t>a ubytování</w:t>
      </w:r>
      <w:r w:rsidR="00925A21" w:rsidRPr="004E0A33">
        <w:rPr>
          <w:spacing w:val="-1"/>
          <w:szCs w:val="20"/>
        </w:rPr>
        <w:t>,</w:t>
      </w:r>
      <w:r w:rsidRPr="004E0A33">
        <w:rPr>
          <w:spacing w:val="-1"/>
          <w:szCs w:val="20"/>
        </w:rPr>
        <w:t xml:space="preserve"> stravování a pohostinství (o </w:t>
      </w:r>
      <w:r w:rsidR="00925A21" w:rsidRPr="004E0A33">
        <w:rPr>
          <w:spacing w:val="-1"/>
          <w:szCs w:val="20"/>
        </w:rPr>
        <w:t>0</w:t>
      </w:r>
      <w:r w:rsidRPr="004E0A33">
        <w:rPr>
          <w:spacing w:val="-1"/>
          <w:szCs w:val="20"/>
        </w:rPr>
        <w:t>,</w:t>
      </w:r>
      <w:r w:rsidR="00925A21" w:rsidRPr="004E0A33">
        <w:rPr>
          <w:spacing w:val="-1"/>
          <w:szCs w:val="20"/>
        </w:rPr>
        <w:t>4</w:t>
      </w:r>
      <w:r w:rsidRPr="004E0A33">
        <w:rPr>
          <w:spacing w:val="-1"/>
          <w:szCs w:val="20"/>
        </w:rPr>
        <w:t xml:space="preserve"> %). </w:t>
      </w:r>
    </w:p>
    <w:p w:rsidR="0008781F" w:rsidRPr="004029DC" w:rsidRDefault="00DF5751" w:rsidP="0008781F">
      <w:pPr>
        <w:pStyle w:val="Zkladntext2"/>
        <w:spacing w:before="0" w:line="276" w:lineRule="auto"/>
        <w:jc w:val="left"/>
        <w:rPr>
          <w:szCs w:val="20"/>
        </w:rPr>
      </w:pPr>
      <w:r w:rsidRPr="00DF5751">
        <w:rPr>
          <w:noProof/>
          <w:szCs w:val="20"/>
        </w:rPr>
        <w:lastRenderedPageBreak/>
        <w:drawing>
          <wp:inline distT="0" distB="0" distL="0" distR="0">
            <wp:extent cx="5399722" cy="35337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4"/>
                    <a:stretch/>
                  </pic:blipFill>
                  <pic:spPr bwMode="auto">
                    <a:xfrm>
                      <a:off x="0" y="0"/>
                      <a:ext cx="5400040" cy="353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zCs w:val="20"/>
        </w:rPr>
      </w:pP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color w:val="333333"/>
          <w:szCs w:val="20"/>
          <w:bdr w:val="none" w:sz="0" w:space="0" w:color="auto" w:frame="1"/>
        </w:rPr>
      </w:pPr>
      <w:r w:rsidRPr="004029DC">
        <w:rPr>
          <w:color w:val="333333"/>
          <w:szCs w:val="20"/>
          <w:bdr w:val="none" w:sz="0" w:space="0" w:color="auto" w:frame="1"/>
        </w:rPr>
        <w:t>Podíl subjektů </w:t>
      </w:r>
      <w:r w:rsidRPr="00F150B9">
        <w:rPr>
          <w:color w:val="333333"/>
          <w:szCs w:val="20"/>
          <w:bdr w:val="none" w:sz="0" w:space="0" w:color="auto" w:frame="1"/>
        </w:rPr>
        <w:t>se zjištěnou ekonomickou aktivitou</w:t>
      </w:r>
      <w:r w:rsidRPr="004029DC">
        <w:rPr>
          <w:color w:val="333333"/>
          <w:szCs w:val="20"/>
          <w:bdr w:val="none" w:sz="0" w:space="0" w:color="auto" w:frame="1"/>
        </w:rPr>
        <w:t xml:space="preserve"> (</w:t>
      </w:r>
      <w:r w:rsidR="00F150B9" w:rsidRPr="004029DC">
        <w:rPr>
          <w:color w:val="333333"/>
          <w:szCs w:val="20"/>
          <w:bdr w:val="none" w:sz="0" w:space="0" w:color="auto" w:frame="1"/>
        </w:rPr>
        <w:t xml:space="preserve">148,8 tisíce </w:t>
      </w:r>
      <w:r w:rsidR="00F150B9">
        <w:rPr>
          <w:color w:val="333333"/>
          <w:szCs w:val="20"/>
          <w:bdr w:val="none" w:sz="0" w:space="0" w:color="auto" w:frame="1"/>
        </w:rPr>
        <w:t xml:space="preserve">subjektů </w:t>
      </w:r>
      <w:r w:rsidRPr="004029DC">
        <w:rPr>
          <w:color w:val="333333"/>
          <w:szCs w:val="20"/>
          <w:bdr w:val="none" w:sz="0" w:space="0" w:color="auto" w:frame="1"/>
        </w:rPr>
        <w:t xml:space="preserve">vykazujících aktivitu podle informací ze statistických zjišťování nebo z administrativních zdrojů) na celkovém počtu subjektů v RES v kraji činil </w:t>
      </w:r>
      <w:r w:rsidR="00341E27" w:rsidRPr="004029DC">
        <w:rPr>
          <w:color w:val="333333"/>
          <w:szCs w:val="20"/>
          <w:bdr w:val="none" w:sz="0" w:space="0" w:color="auto" w:frame="1"/>
        </w:rPr>
        <w:t>60</w:t>
      </w:r>
      <w:r w:rsidRPr="004029DC">
        <w:rPr>
          <w:color w:val="333333"/>
          <w:szCs w:val="20"/>
          <w:bdr w:val="none" w:sz="0" w:space="0" w:color="auto" w:frame="1"/>
        </w:rPr>
        <w:t>,3 %, což byla osmá nejvyšší hodnota v mezikrajském srovnání. Oproti konci roku</w:t>
      </w:r>
      <w:r w:rsidR="005A09A7">
        <w:rPr>
          <w:color w:val="333333"/>
          <w:szCs w:val="20"/>
          <w:bdr w:val="none" w:sz="0" w:space="0" w:color="auto" w:frame="1"/>
        </w:rPr>
        <w:t> </w:t>
      </w:r>
      <w:r w:rsidRPr="004029DC">
        <w:rPr>
          <w:color w:val="333333"/>
          <w:szCs w:val="20"/>
          <w:bdr w:val="none" w:sz="0" w:space="0" w:color="auto" w:frame="1"/>
        </w:rPr>
        <w:t>202</w:t>
      </w:r>
      <w:r w:rsidR="0020696A" w:rsidRPr="004029DC">
        <w:rPr>
          <w:color w:val="333333"/>
          <w:szCs w:val="20"/>
          <w:bdr w:val="none" w:sz="0" w:space="0" w:color="auto" w:frame="1"/>
        </w:rPr>
        <w:t>3</w:t>
      </w:r>
      <w:r w:rsidRPr="004029DC">
        <w:rPr>
          <w:color w:val="333333"/>
          <w:szCs w:val="20"/>
          <w:bdr w:val="none" w:sz="0" w:space="0" w:color="auto" w:frame="1"/>
        </w:rPr>
        <w:t xml:space="preserve"> se jejich počet v kraji zvýšil o </w:t>
      </w:r>
      <w:r w:rsidR="0020696A" w:rsidRPr="004029DC">
        <w:rPr>
          <w:color w:val="333333"/>
          <w:szCs w:val="20"/>
          <w:bdr w:val="none" w:sz="0" w:space="0" w:color="auto" w:frame="1"/>
        </w:rPr>
        <w:t>4</w:t>
      </w:r>
      <w:r w:rsidRPr="004029DC">
        <w:rPr>
          <w:color w:val="333333"/>
          <w:szCs w:val="20"/>
          <w:bdr w:val="none" w:sz="0" w:space="0" w:color="auto" w:frame="1"/>
        </w:rPr>
        <w:t> </w:t>
      </w:r>
      <w:r w:rsidR="0020696A" w:rsidRPr="004029DC">
        <w:rPr>
          <w:color w:val="333333"/>
          <w:szCs w:val="20"/>
          <w:bdr w:val="none" w:sz="0" w:space="0" w:color="auto" w:frame="1"/>
        </w:rPr>
        <w:t>05</w:t>
      </w:r>
      <w:r w:rsidRPr="004029DC">
        <w:rPr>
          <w:color w:val="333333"/>
          <w:szCs w:val="20"/>
          <w:bdr w:val="none" w:sz="0" w:space="0" w:color="auto" w:frame="1"/>
        </w:rPr>
        <w:t>7, tj. o 2,</w:t>
      </w:r>
      <w:r w:rsidR="0020696A" w:rsidRPr="004029DC">
        <w:rPr>
          <w:color w:val="333333"/>
          <w:szCs w:val="20"/>
          <w:bdr w:val="none" w:sz="0" w:space="0" w:color="auto" w:frame="1"/>
        </w:rPr>
        <w:t>8</w:t>
      </w:r>
      <w:r w:rsidRPr="004029DC">
        <w:rPr>
          <w:color w:val="333333"/>
          <w:szCs w:val="20"/>
          <w:bdr w:val="none" w:sz="0" w:space="0" w:color="auto" w:frame="1"/>
        </w:rPr>
        <w:t> %. Přírůstek se týkal všech krajů, nejvyšší byl v hlavním městě Praze (o 3,</w:t>
      </w:r>
      <w:r w:rsidR="0020696A" w:rsidRPr="004029DC">
        <w:rPr>
          <w:color w:val="333333"/>
          <w:szCs w:val="20"/>
          <w:bdr w:val="none" w:sz="0" w:space="0" w:color="auto" w:frame="1"/>
        </w:rPr>
        <w:t>6</w:t>
      </w:r>
      <w:r w:rsidRPr="004029DC">
        <w:rPr>
          <w:color w:val="333333"/>
          <w:szCs w:val="20"/>
          <w:bdr w:val="none" w:sz="0" w:space="0" w:color="auto" w:frame="1"/>
        </w:rPr>
        <w:t> %), nejnižší v kraji Vysočina (o 1,</w:t>
      </w:r>
      <w:r w:rsidR="0020696A" w:rsidRPr="004029DC">
        <w:rPr>
          <w:color w:val="333333"/>
          <w:szCs w:val="20"/>
          <w:bdr w:val="none" w:sz="0" w:space="0" w:color="auto" w:frame="1"/>
        </w:rPr>
        <w:t>7</w:t>
      </w:r>
      <w:r w:rsidRPr="004029DC">
        <w:rPr>
          <w:color w:val="333333"/>
          <w:szCs w:val="20"/>
          <w:bdr w:val="none" w:sz="0" w:space="0" w:color="auto" w:frame="1"/>
        </w:rPr>
        <w:t xml:space="preserve"> %). V rámci celého Česka meziročně vzrostl počet ekonomických subjektů se </w:t>
      </w:r>
      <w:r w:rsidRPr="00F150B9">
        <w:rPr>
          <w:color w:val="333333"/>
          <w:szCs w:val="20"/>
          <w:bdr w:val="none" w:sz="0" w:space="0" w:color="auto" w:frame="1"/>
        </w:rPr>
        <w:t>zjištěnou aktivitou o 2,</w:t>
      </w:r>
      <w:r w:rsidR="0020696A" w:rsidRPr="00F150B9">
        <w:rPr>
          <w:color w:val="333333"/>
          <w:szCs w:val="20"/>
          <w:bdr w:val="none" w:sz="0" w:space="0" w:color="auto" w:frame="1"/>
        </w:rPr>
        <w:t>9</w:t>
      </w:r>
      <w:r w:rsidRPr="00F150B9">
        <w:rPr>
          <w:color w:val="333333"/>
          <w:szCs w:val="20"/>
          <w:bdr w:val="none" w:sz="0" w:space="0" w:color="auto" w:frame="1"/>
        </w:rPr>
        <w:t> %, tj. o </w:t>
      </w:r>
      <w:r w:rsidR="0020696A" w:rsidRPr="00F150B9">
        <w:rPr>
          <w:color w:val="333333"/>
          <w:szCs w:val="20"/>
          <w:bdr w:val="none" w:sz="0" w:space="0" w:color="auto" w:frame="1"/>
        </w:rPr>
        <w:t>téměř</w:t>
      </w:r>
      <w:r w:rsidRPr="00F150B9">
        <w:rPr>
          <w:color w:val="333333"/>
          <w:szCs w:val="20"/>
          <w:bdr w:val="none" w:sz="0" w:space="0" w:color="auto" w:frame="1"/>
        </w:rPr>
        <w:t> </w:t>
      </w:r>
      <w:r w:rsidR="0020696A" w:rsidRPr="00F150B9">
        <w:rPr>
          <w:color w:val="333333"/>
          <w:szCs w:val="20"/>
          <w:bdr w:val="none" w:sz="0" w:space="0" w:color="auto" w:frame="1"/>
        </w:rPr>
        <w:t>47,7</w:t>
      </w:r>
      <w:r w:rsidRPr="00F150B9">
        <w:rPr>
          <w:color w:val="333333"/>
          <w:szCs w:val="20"/>
          <w:bdr w:val="none" w:sz="0" w:space="0" w:color="auto" w:frame="1"/>
        </w:rPr>
        <w:t> tisíc</w:t>
      </w:r>
      <w:r w:rsidR="005E3ABB">
        <w:rPr>
          <w:color w:val="333333"/>
          <w:szCs w:val="20"/>
          <w:bdr w:val="none" w:sz="0" w:space="0" w:color="auto" w:frame="1"/>
        </w:rPr>
        <w:t>e</w:t>
      </w:r>
      <w:r w:rsidRPr="00F150B9">
        <w:rPr>
          <w:color w:val="333333"/>
          <w:szCs w:val="20"/>
          <w:bdr w:val="none" w:sz="0" w:space="0" w:color="auto" w:frame="1"/>
        </w:rPr>
        <w:t xml:space="preserve"> subjektů. </w:t>
      </w:r>
      <w:r w:rsidR="00F150B9" w:rsidRPr="00F150B9">
        <w:rPr>
          <w:color w:val="333333"/>
          <w:szCs w:val="20"/>
          <w:bdr w:val="none" w:sz="0" w:space="0" w:color="auto" w:frame="1"/>
        </w:rPr>
        <w:t>Nejvyšší podíl aktivních subjektů na evidovaných subjektech v</w:t>
      </w:r>
      <w:r w:rsidR="00F150B9">
        <w:rPr>
          <w:color w:val="333333"/>
          <w:szCs w:val="20"/>
          <w:bdr w:val="none" w:sz="0" w:space="0" w:color="auto" w:frame="1"/>
        </w:rPr>
        <w:t xml:space="preserve"> Moravskoslezském </w:t>
      </w:r>
      <w:r w:rsidR="00F150B9" w:rsidRPr="00F150B9">
        <w:rPr>
          <w:color w:val="333333"/>
          <w:szCs w:val="20"/>
          <w:bdr w:val="none" w:sz="0" w:space="0" w:color="auto" w:frame="1"/>
        </w:rPr>
        <w:t xml:space="preserve">kraji měla </w:t>
      </w:r>
      <w:r w:rsidR="00F150B9">
        <w:rPr>
          <w:color w:val="333333"/>
          <w:szCs w:val="20"/>
          <w:bdr w:val="none" w:sz="0" w:space="0" w:color="auto" w:frame="1"/>
        </w:rPr>
        <w:t xml:space="preserve">odvětví </w:t>
      </w:r>
      <w:r w:rsidR="00F150B9" w:rsidRPr="00F150B9">
        <w:rPr>
          <w:color w:val="333333"/>
          <w:szCs w:val="20"/>
          <w:bdr w:val="none" w:sz="0" w:space="0" w:color="auto" w:frame="1"/>
        </w:rPr>
        <w:t>zdravotní a</w:t>
      </w:r>
      <w:r w:rsidR="00F150B9">
        <w:rPr>
          <w:color w:val="333333"/>
          <w:szCs w:val="20"/>
          <w:bdr w:val="none" w:sz="0" w:space="0" w:color="auto" w:frame="1"/>
        </w:rPr>
        <w:t> </w:t>
      </w:r>
      <w:r w:rsidR="00F150B9" w:rsidRPr="00F150B9">
        <w:rPr>
          <w:color w:val="333333"/>
          <w:szCs w:val="20"/>
          <w:bdr w:val="none" w:sz="0" w:space="0" w:color="auto" w:frame="1"/>
        </w:rPr>
        <w:t>sociální péče, kde bylo prokazatelně aktivních 9</w:t>
      </w:r>
      <w:r w:rsidR="00F150B9">
        <w:rPr>
          <w:color w:val="333333"/>
          <w:szCs w:val="20"/>
          <w:bdr w:val="none" w:sz="0" w:space="0" w:color="auto" w:frame="1"/>
        </w:rPr>
        <w:t>0</w:t>
      </w:r>
      <w:r w:rsidR="00F150B9" w:rsidRPr="00F150B9">
        <w:rPr>
          <w:color w:val="333333"/>
          <w:szCs w:val="20"/>
          <w:bdr w:val="none" w:sz="0" w:space="0" w:color="auto" w:frame="1"/>
        </w:rPr>
        <w:t>,</w:t>
      </w:r>
      <w:r w:rsidR="00F150B9">
        <w:rPr>
          <w:color w:val="333333"/>
          <w:szCs w:val="20"/>
          <w:bdr w:val="none" w:sz="0" w:space="0" w:color="auto" w:frame="1"/>
        </w:rPr>
        <w:t>8 </w:t>
      </w:r>
      <w:r w:rsidR="00F150B9" w:rsidRPr="00F150B9">
        <w:rPr>
          <w:color w:val="333333"/>
          <w:szCs w:val="20"/>
          <w:bdr w:val="none" w:sz="0" w:space="0" w:color="auto" w:frame="1"/>
        </w:rPr>
        <w:t>% subjektů, peněžnictví a</w:t>
      </w:r>
      <w:r w:rsidR="00F150B9">
        <w:rPr>
          <w:color w:val="333333"/>
          <w:szCs w:val="20"/>
          <w:bdr w:val="none" w:sz="0" w:space="0" w:color="auto" w:frame="1"/>
        </w:rPr>
        <w:t> </w:t>
      </w:r>
      <w:r w:rsidR="00F150B9" w:rsidRPr="00F150B9">
        <w:rPr>
          <w:color w:val="333333"/>
          <w:szCs w:val="20"/>
          <w:bdr w:val="none" w:sz="0" w:space="0" w:color="auto" w:frame="1"/>
        </w:rPr>
        <w:t>pojišťovnictví s podílem 86,</w:t>
      </w:r>
      <w:r w:rsidR="00F150B9">
        <w:rPr>
          <w:color w:val="333333"/>
          <w:szCs w:val="20"/>
          <w:bdr w:val="none" w:sz="0" w:space="0" w:color="auto" w:frame="1"/>
        </w:rPr>
        <w:t>4 </w:t>
      </w:r>
      <w:r w:rsidR="00F150B9" w:rsidRPr="00F150B9">
        <w:rPr>
          <w:color w:val="333333"/>
          <w:szCs w:val="20"/>
          <w:bdr w:val="none" w:sz="0" w:space="0" w:color="auto" w:frame="1"/>
        </w:rPr>
        <w:t>% a</w:t>
      </w:r>
      <w:r w:rsidR="00F150B9">
        <w:rPr>
          <w:color w:val="333333"/>
          <w:szCs w:val="20"/>
          <w:bdr w:val="none" w:sz="0" w:space="0" w:color="auto" w:frame="1"/>
        </w:rPr>
        <w:t> </w:t>
      </w:r>
      <w:r w:rsidR="00F150B9" w:rsidRPr="00F150B9">
        <w:rPr>
          <w:color w:val="333333"/>
          <w:szCs w:val="20"/>
          <w:bdr w:val="none" w:sz="0" w:space="0" w:color="auto" w:frame="1"/>
        </w:rPr>
        <w:t>informační a</w:t>
      </w:r>
      <w:r w:rsidR="00F150B9">
        <w:rPr>
          <w:color w:val="333333"/>
          <w:szCs w:val="20"/>
          <w:bdr w:val="none" w:sz="0" w:space="0" w:color="auto" w:frame="1"/>
        </w:rPr>
        <w:t> </w:t>
      </w:r>
      <w:r w:rsidR="00F150B9" w:rsidRPr="00F150B9">
        <w:rPr>
          <w:color w:val="333333"/>
          <w:szCs w:val="20"/>
          <w:bdr w:val="none" w:sz="0" w:space="0" w:color="auto" w:frame="1"/>
        </w:rPr>
        <w:t>komunikační činnosti s</w:t>
      </w:r>
      <w:r w:rsidR="00F150B9">
        <w:rPr>
          <w:color w:val="333333"/>
          <w:szCs w:val="20"/>
          <w:bdr w:val="none" w:sz="0" w:space="0" w:color="auto" w:frame="1"/>
        </w:rPr>
        <w:t> </w:t>
      </w:r>
      <w:r w:rsidR="00F150B9" w:rsidRPr="00F150B9">
        <w:rPr>
          <w:color w:val="333333"/>
          <w:szCs w:val="20"/>
          <w:bdr w:val="none" w:sz="0" w:space="0" w:color="auto" w:frame="1"/>
        </w:rPr>
        <w:t>79,</w:t>
      </w:r>
      <w:r w:rsidR="00F150B9">
        <w:rPr>
          <w:color w:val="333333"/>
          <w:szCs w:val="20"/>
          <w:bdr w:val="none" w:sz="0" w:space="0" w:color="auto" w:frame="1"/>
        </w:rPr>
        <w:t>3 </w:t>
      </w:r>
      <w:r w:rsidR="00F150B9" w:rsidRPr="00F150B9">
        <w:rPr>
          <w:color w:val="333333"/>
          <w:szCs w:val="20"/>
          <w:bdr w:val="none" w:sz="0" w:space="0" w:color="auto" w:frame="1"/>
        </w:rPr>
        <w:t>% prokazatelně aktivních subjektů.</w:t>
      </w:r>
      <w:r w:rsidR="00F150B9" w:rsidRPr="00F150B9">
        <w:rPr>
          <w:color w:val="333333"/>
          <w:szCs w:val="20"/>
          <w:bdr w:val="none" w:sz="0" w:space="0" w:color="auto" w:frame="1"/>
        </w:rPr>
        <w:cr/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  <w:r w:rsidRPr="004029DC">
        <w:rPr>
          <w:spacing w:val="-2"/>
          <w:szCs w:val="20"/>
        </w:rPr>
        <w:t>Nejvíce podnikatelských subjektů se v meziokresním srovnání v rámci Moravskoslezského kraje nacházelo v okrese Ostrava-město (8</w:t>
      </w:r>
      <w:r w:rsidR="002672D6" w:rsidRPr="004029DC">
        <w:rPr>
          <w:spacing w:val="-2"/>
          <w:szCs w:val="20"/>
        </w:rPr>
        <w:t>0</w:t>
      </w:r>
      <w:r w:rsidRPr="004029DC">
        <w:rPr>
          <w:spacing w:val="-2"/>
          <w:szCs w:val="20"/>
        </w:rPr>
        <w:t> </w:t>
      </w:r>
      <w:r w:rsidR="002672D6" w:rsidRPr="004029DC">
        <w:rPr>
          <w:spacing w:val="-2"/>
          <w:szCs w:val="20"/>
        </w:rPr>
        <w:t>00</w:t>
      </w:r>
      <w:r w:rsidRPr="004029DC">
        <w:rPr>
          <w:spacing w:val="-2"/>
          <w:szCs w:val="20"/>
        </w:rPr>
        <w:t>5 subjektů, tj. 32,</w:t>
      </w:r>
      <w:r w:rsidR="002672D6" w:rsidRPr="004029DC">
        <w:rPr>
          <w:spacing w:val="-2"/>
          <w:szCs w:val="20"/>
        </w:rPr>
        <w:t>4</w:t>
      </w:r>
      <w:r w:rsidR="00B9566F">
        <w:rPr>
          <w:spacing w:val="-2"/>
          <w:szCs w:val="20"/>
        </w:rPr>
        <w:t> % krajského úhrnu). Téměř v</w:t>
      </w:r>
      <w:r w:rsidRPr="004029DC">
        <w:rPr>
          <w:spacing w:val="-2"/>
          <w:szCs w:val="20"/>
        </w:rPr>
        <w:t>šechny okresy v kraji pak proti roku 202</w:t>
      </w:r>
      <w:r w:rsidR="002672D6" w:rsidRPr="004029DC">
        <w:rPr>
          <w:spacing w:val="-2"/>
          <w:szCs w:val="20"/>
        </w:rPr>
        <w:t>3</w:t>
      </w:r>
      <w:r w:rsidRPr="004029DC">
        <w:rPr>
          <w:spacing w:val="-2"/>
          <w:szCs w:val="20"/>
        </w:rPr>
        <w:t xml:space="preserve"> vykázaly </w:t>
      </w:r>
      <w:r w:rsidR="002672D6" w:rsidRPr="004029DC">
        <w:rPr>
          <w:spacing w:val="-2"/>
          <w:szCs w:val="20"/>
        </w:rPr>
        <w:t>přírůstek</w:t>
      </w:r>
      <w:r w:rsidRPr="004029DC">
        <w:rPr>
          <w:spacing w:val="-2"/>
          <w:szCs w:val="20"/>
        </w:rPr>
        <w:t xml:space="preserve"> ekonomických subjektů, nejvýraznější </w:t>
      </w:r>
      <w:r w:rsidR="002672D6" w:rsidRPr="004029DC">
        <w:rPr>
          <w:spacing w:val="-2"/>
          <w:szCs w:val="20"/>
        </w:rPr>
        <w:t>nárůst</w:t>
      </w:r>
      <w:r w:rsidRPr="004029DC">
        <w:rPr>
          <w:spacing w:val="-2"/>
          <w:szCs w:val="20"/>
        </w:rPr>
        <w:t xml:space="preserve"> byl evidován v okresech </w:t>
      </w:r>
      <w:r w:rsidR="002672D6" w:rsidRPr="004029DC">
        <w:rPr>
          <w:spacing w:val="-2"/>
          <w:szCs w:val="20"/>
        </w:rPr>
        <w:t>Ostrava-město</w:t>
      </w:r>
      <w:r w:rsidRPr="004029DC">
        <w:rPr>
          <w:spacing w:val="-2"/>
          <w:szCs w:val="20"/>
        </w:rPr>
        <w:t xml:space="preserve"> (o </w:t>
      </w:r>
      <w:r w:rsidR="002672D6" w:rsidRPr="004029DC">
        <w:rPr>
          <w:spacing w:val="-2"/>
          <w:szCs w:val="20"/>
        </w:rPr>
        <w:t>1</w:t>
      </w:r>
      <w:r w:rsidRPr="004029DC">
        <w:rPr>
          <w:spacing w:val="-2"/>
          <w:szCs w:val="20"/>
        </w:rPr>
        <w:t>,</w:t>
      </w:r>
      <w:r w:rsidR="002672D6" w:rsidRPr="004029DC">
        <w:rPr>
          <w:spacing w:val="-2"/>
          <w:szCs w:val="20"/>
        </w:rPr>
        <w:t>8</w:t>
      </w:r>
      <w:r w:rsidRPr="004029DC">
        <w:rPr>
          <w:spacing w:val="-2"/>
          <w:szCs w:val="20"/>
        </w:rPr>
        <w:t> %) a </w:t>
      </w:r>
      <w:r w:rsidR="002672D6" w:rsidRPr="004029DC">
        <w:rPr>
          <w:spacing w:val="-2"/>
          <w:szCs w:val="20"/>
        </w:rPr>
        <w:t>Frýdek-Místek</w:t>
      </w:r>
      <w:r w:rsidRPr="004029DC">
        <w:rPr>
          <w:spacing w:val="-2"/>
          <w:szCs w:val="20"/>
        </w:rPr>
        <w:t xml:space="preserve"> (o </w:t>
      </w:r>
      <w:r w:rsidR="002672D6" w:rsidRPr="004029DC">
        <w:rPr>
          <w:spacing w:val="-2"/>
          <w:szCs w:val="20"/>
        </w:rPr>
        <w:t>1</w:t>
      </w:r>
      <w:r w:rsidRPr="004029DC">
        <w:rPr>
          <w:spacing w:val="-2"/>
          <w:szCs w:val="20"/>
        </w:rPr>
        <w:t>,</w:t>
      </w:r>
      <w:r w:rsidR="002672D6" w:rsidRPr="004029DC">
        <w:rPr>
          <w:spacing w:val="-2"/>
          <w:szCs w:val="20"/>
        </w:rPr>
        <w:t>4</w:t>
      </w:r>
      <w:r w:rsidRPr="004029DC">
        <w:rPr>
          <w:spacing w:val="-2"/>
          <w:szCs w:val="20"/>
        </w:rPr>
        <w:t> %).</w:t>
      </w:r>
      <w:r w:rsidR="002672D6" w:rsidRPr="004029DC">
        <w:rPr>
          <w:spacing w:val="-2"/>
          <w:szCs w:val="20"/>
        </w:rPr>
        <w:t xml:space="preserve"> Jedinou výjimkou byl okres Bruntál, kde </w:t>
      </w:r>
      <w:r w:rsidR="005E3ABB">
        <w:rPr>
          <w:spacing w:val="-2"/>
          <w:szCs w:val="20"/>
        </w:rPr>
        <w:t>se počet</w:t>
      </w:r>
      <w:r w:rsidR="00B9566F">
        <w:rPr>
          <w:spacing w:val="-2"/>
          <w:szCs w:val="20"/>
        </w:rPr>
        <w:t xml:space="preserve"> ekonomických subjektů </w:t>
      </w:r>
      <w:r w:rsidR="005E3ABB">
        <w:rPr>
          <w:spacing w:val="-2"/>
          <w:szCs w:val="20"/>
        </w:rPr>
        <w:t xml:space="preserve">snížil </w:t>
      </w:r>
      <w:r w:rsidR="00B9566F">
        <w:rPr>
          <w:spacing w:val="-2"/>
          <w:szCs w:val="20"/>
        </w:rPr>
        <w:t>(o 0,3 %).</w:t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  <w:r w:rsidRPr="004029DC">
        <w:rPr>
          <w:spacing w:val="-2"/>
          <w:szCs w:val="20"/>
        </w:rPr>
        <w:t>Fyzické osoby byly nejvyšší měrou zastoupeny v okrese Nový Jičín (79,</w:t>
      </w:r>
      <w:r w:rsidR="009D0A87" w:rsidRPr="004029DC">
        <w:rPr>
          <w:spacing w:val="-2"/>
          <w:szCs w:val="20"/>
        </w:rPr>
        <w:t>6</w:t>
      </w:r>
      <w:r w:rsidRPr="004029DC">
        <w:rPr>
          <w:spacing w:val="-2"/>
          <w:szCs w:val="20"/>
        </w:rPr>
        <w:t> % všech ekonomických subjektů zapsaných v tomto okrese), naopak tomu bylo v okrese Ostrava-město (64,</w:t>
      </w:r>
      <w:r w:rsidR="009D0A87" w:rsidRPr="004029DC">
        <w:rPr>
          <w:spacing w:val="-2"/>
          <w:szCs w:val="20"/>
        </w:rPr>
        <w:t>1</w:t>
      </w:r>
      <w:r w:rsidRPr="004029DC">
        <w:rPr>
          <w:spacing w:val="-2"/>
          <w:szCs w:val="20"/>
        </w:rPr>
        <w:t> %). Mezi fyzickými osobami ve všech okresech převažovali živnostníci, jejich nejvyšší podíl byl zjištěn v okrese Karviná (91,</w:t>
      </w:r>
      <w:r w:rsidR="009D0A87" w:rsidRPr="004029DC">
        <w:rPr>
          <w:spacing w:val="-2"/>
          <w:szCs w:val="20"/>
        </w:rPr>
        <w:t>6</w:t>
      </w:r>
      <w:r w:rsidRPr="004029DC">
        <w:rPr>
          <w:spacing w:val="-2"/>
          <w:szCs w:val="20"/>
        </w:rPr>
        <w:t> %), nejnižší pak v okrese Frýdek-Místek (89,1 %). Zastoupení zemědělských podnikatelů se pohyboval</w:t>
      </w:r>
      <w:r w:rsidR="00DD7171">
        <w:rPr>
          <w:spacing w:val="-2"/>
          <w:szCs w:val="20"/>
        </w:rPr>
        <w:t>o</w:t>
      </w:r>
      <w:r w:rsidRPr="004029DC">
        <w:rPr>
          <w:spacing w:val="-2"/>
          <w:szCs w:val="20"/>
        </w:rPr>
        <w:t xml:space="preserve"> mezi 0,6 % v okrese Ostrava-město a 3,6 % v okrese Frýdek-Místek.</w:t>
      </w:r>
    </w:p>
    <w:p w:rsidR="0008781F" w:rsidRPr="004029DC" w:rsidRDefault="00DF5751" w:rsidP="0008781F">
      <w:pPr>
        <w:pStyle w:val="Zkladntext2"/>
        <w:spacing w:before="0" w:line="276" w:lineRule="auto"/>
        <w:jc w:val="left"/>
        <w:rPr>
          <w:color w:val="333333"/>
          <w:szCs w:val="20"/>
          <w:bdr w:val="none" w:sz="0" w:space="0" w:color="auto" w:frame="1"/>
        </w:rPr>
      </w:pPr>
      <w:r w:rsidRPr="00DF5751">
        <w:rPr>
          <w:noProof/>
          <w:color w:val="333333"/>
          <w:szCs w:val="20"/>
          <w:bdr w:val="none" w:sz="0" w:space="0" w:color="auto" w:frame="1"/>
        </w:rPr>
        <w:lastRenderedPageBreak/>
        <w:drawing>
          <wp:inline distT="0" distB="0" distL="0" distR="0">
            <wp:extent cx="5400040" cy="4145101"/>
            <wp:effectExtent l="0" t="0" r="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</w:p>
    <w:p w:rsidR="0008781F" w:rsidRPr="004029DC" w:rsidRDefault="00DF5751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  <w:r w:rsidRPr="00DF5751">
        <w:rPr>
          <w:noProof/>
          <w:spacing w:val="-2"/>
          <w:szCs w:val="20"/>
        </w:rPr>
        <w:drawing>
          <wp:inline distT="0" distB="0" distL="0" distR="0">
            <wp:extent cx="5400040" cy="2419066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</w:p>
    <w:p w:rsidR="0008781F" w:rsidRPr="004029DC" w:rsidRDefault="0008781F" w:rsidP="0008781F">
      <w:pPr>
        <w:pStyle w:val="Zkladntext2"/>
        <w:spacing w:before="0" w:line="276" w:lineRule="auto"/>
        <w:jc w:val="left"/>
        <w:rPr>
          <w:spacing w:val="-2"/>
          <w:szCs w:val="20"/>
        </w:rPr>
      </w:pPr>
      <w:r w:rsidRPr="004029DC">
        <w:rPr>
          <w:spacing w:val="-2"/>
          <w:szCs w:val="20"/>
        </w:rPr>
        <w:t>Nejvyšší podíl právnických osob vykázal okres Ostrava-město (35,</w:t>
      </w:r>
      <w:r w:rsidR="009D0A87" w:rsidRPr="004029DC">
        <w:rPr>
          <w:spacing w:val="-2"/>
          <w:szCs w:val="20"/>
        </w:rPr>
        <w:t>9</w:t>
      </w:r>
      <w:r w:rsidRPr="004029DC">
        <w:rPr>
          <w:spacing w:val="-2"/>
          <w:szCs w:val="20"/>
        </w:rPr>
        <w:t> %), nejnižší okres Nový Jičín (20,</w:t>
      </w:r>
      <w:r w:rsidR="009D0A87" w:rsidRPr="004029DC">
        <w:rPr>
          <w:spacing w:val="-2"/>
          <w:szCs w:val="20"/>
        </w:rPr>
        <w:t>4</w:t>
      </w:r>
      <w:r w:rsidRPr="004029DC">
        <w:rPr>
          <w:spacing w:val="-2"/>
          <w:szCs w:val="20"/>
        </w:rPr>
        <w:t> %). Obchodní společnosti se na celkovém počtu právnických osob daných okresů nejvíce podílely v okrese Ostrava-město (72,</w:t>
      </w:r>
      <w:r w:rsidR="009D0A87" w:rsidRPr="004029DC">
        <w:rPr>
          <w:spacing w:val="-2"/>
          <w:szCs w:val="20"/>
        </w:rPr>
        <w:t>8</w:t>
      </w:r>
      <w:r w:rsidRPr="004029DC">
        <w:rPr>
          <w:spacing w:val="-2"/>
          <w:szCs w:val="20"/>
        </w:rPr>
        <w:t> %) a nejméně v okrese Bruntál (</w:t>
      </w:r>
      <w:r w:rsidR="009D0A87" w:rsidRPr="004029DC">
        <w:rPr>
          <w:spacing w:val="-2"/>
          <w:szCs w:val="20"/>
        </w:rPr>
        <w:t>45</w:t>
      </w:r>
      <w:r w:rsidRPr="004029DC">
        <w:rPr>
          <w:spacing w:val="-2"/>
          <w:szCs w:val="20"/>
        </w:rPr>
        <w:t>,</w:t>
      </w:r>
      <w:r w:rsidR="009D0A87" w:rsidRPr="004029DC">
        <w:rPr>
          <w:spacing w:val="-2"/>
          <w:szCs w:val="20"/>
        </w:rPr>
        <w:t>1</w:t>
      </w:r>
      <w:r w:rsidRPr="004029DC">
        <w:rPr>
          <w:spacing w:val="-2"/>
          <w:szCs w:val="20"/>
        </w:rPr>
        <w:t> %). I v případě okresů převažovaly ve struktuře obchodních společností společnosti s ručením omezeným – od 93,</w:t>
      </w:r>
      <w:r w:rsidR="009D0A87" w:rsidRPr="004029DC">
        <w:rPr>
          <w:spacing w:val="-2"/>
          <w:szCs w:val="20"/>
        </w:rPr>
        <w:t>7</w:t>
      </w:r>
      <w:r w:rsidRPr="004029DC">
        <w:rPr>
          <w:spacing w:val="-2"/>
          <w:szCs w:val="20"/>
        </w:rPr>
        <w:t xml:space="preserve"> % </w:t>
      </w:r>
      <w:r w:rsidRPr="004029DC">
        <w:rPr>
          <w:spacing w:val="-2"/>
          <w:szCs w:val="20"/>
        </w:rPr>
        <w:lastRenderedPageBreak/>
        <w:t>v okrese Ostrava-město do 96,</w:t>
      </w:r>
      <w:r w:rsidR="009D0A87" w:rsidRPr="004029DC">
        <w:rPr>
          <w:spacing w:val="-2"/>
          <w:szCs w:val="20"/>
        </w:rPr>
        <w:t>2</w:t>
      </w:r>
      <w:r w:rsidRPr="004029DC">
        <w:rPr>
          <w:spacing w:val="-2"/>
          <w:szCs w:val="20"/>
        </w:rPr>
        <w:t> % v okrese Opava. Akciové společnosti byly nejvíce zastoupeny v okrese Ostrava-město s podílem 5,</w:t>
      </w:r>
      <w:r w:rsidR="009D0A87" w:rsidRPr="004029DC">
        <w:rPr>
          <w:spacing w:val="-2"/>
          <w:szCs w:val="20"/>
        </w:rPr>
        <w:t>2</w:t>
      </w:r>
      <w:r w:rsidRPr="004029DC">
        <w:rPr>
          <w:spacing w:val="-2"/>
          <w:szCs w:val="20"/>
        </w:rPr>
        <w:t> </w:t>
      </w:r>
      <w:r w:rsidR="004F1457">
        <w:rPr>
          <w:spacing w:val="-2"/>
          <w:szCs w:val="20"/>
        </w:rPr>
        <w:t xml:space="preserve">% </w:t>
      </w:r>
      <w:r w:rsidRPr="004029DC">
        <w:rPr>
          <w:spacing w:val="-2"/>
          <w:szCs w:val="20"/>
        </w:rPr>
        <w:t>ze všech obchodních společností v okrese.</w:t>
      </w:r>
    </w:p>
    <w:p w:rsidR="0008781F" w:rsidRPr="004029DC" w:rsidRDefault="0008781F" w:rsidP="0008781F">
      <w:pPr>
        <w:autoSpaceDE w:val="0"/>
        <w:autoSpaceDN w:val="0"/>
        <w:adjustRightInd w:val="0"/>
        <w:rPr>
          <w:rFonts w:cs="Arial"/>
          <w:szCs w:val="20"/>
        </w:rPr>
      </w:pP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 xml:space="preserve">Z hlediska </w:t>
      </w:r>
      <w:r w:rsidRPr="00A21724">
        <w:rPr>
          <w:rFonts w:eastAsia="Times New Roman" w:cs="Arial"/>
          <w:bCs/>
          <w:szCs w:val="20"/>
          <w:bdr w:val="none" w:sz="0" w:space="0" w:color="auto" w:frame="1"/>
          <w:lang w:eastAsia="cs-CZ"/>
        </w:rPr>
        <w:t xml:space="preserve">velikosti </w:t>
      </w:r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>byly subjekty bez zaměstnanců nejčastěji zastoupené v okrese Opava (</w:t>
      </w:r>
      <w:r w:rsidR="00EB42E6"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>78,7</w:t>
      </w:r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> % ze subjektů s vykázanou kategorií počtu zaměstnanců) a </w:t>
      </w:r>
      <w:proofErr w:type="spellStart"/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>mikropodniky</w:t>
      </w:r>
      <w:proofErr w:type="spellEnd"/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 xml:space="preserve"> s 1 až 9 zaměstnanci v okrese Ostrava-město (</w:t>
      </w:r>
      <w:r w:rsidR="00A21724"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>24</w:t>
      </w:r>
      <w:r w:rsidRPr="00A21724">
        <w:rPr>
          <w:rFonts w:eastAsia="Times New Roman" w:cs="Arial"/>
          <w:szCs w:val="20"/>
          <w:bdr w:val="none" w:sz="0" w:space="0" w:color="auto" w:frame="1"/>
          <w:lang w:eastAsia="cs-CZ"/>
        </w:rPr>
        <w:t xml:space="preserve">,2 %). 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Z hlediska </w:t>
      </w:r>
      <w:r w:rsidRPr="004029DC">
        <w:rPr>
          <w:rFonts w:eastAsia="Times New Roman" w:cs="Arial"/>
          <w:bCs/>
          <w:color w:val="333333"/>
          <w:szCs w:val="20"/>
          <w:bdr w:val="none" w:sz="0" w:space="0" w:color="auto" w:frame="1"/>
          <w:lang w:eastAsia="cs-CZ"/>
        </w:rPr>
        <w:t>odvětví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ekonomické činnosti byly zemědělské a stavební subjekty nejvíce koncentrovány v okrese</w:t>
      </w:r>
      <w:r w:rsidR="009E6CD9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Bruntál (10,4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%, resp. 14,9 % ze subjektů se sídlem v okrese), průmyslové subjekty v okrese Nový Jičín (15,</w:t>
      </w:r>
      <w:r w:rsidR="009E6CD9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9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%) a subjekty zabývající se velkoobchodem a maloobchodem, opravou a údržbou motorových vozidel v okrese Ostrava-město (1</w:t>
      </w:r>
      <w:r w:rsidR="009E6CD9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5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9E6CD9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4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 %). Subjekty se </w:t>
      </w:r>
      <w:r w:rsidRPr="004029DC">
        <w:rPr>
          <w:rFonts w:eastAsia="Times New Roman" w:cs="Arial"/>
          <w:bCs/>
          <w:color w:val="333333"/>
          <w:szCs w:val="20"/>
          <w:bdr w:val="none" w:sz="0" w:space="0" w:color="auto" w:frame="1"/>
          <w:lang w:eastAsia="cs-CZ"/>
        </w:rPr>
        <w:t>zjištěnou aktivitou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 xml:space="preserve"> zaujímaly nejvyšší podíl na všech subjektech v okrese Opava (6</w:t>
      </w:r>
      <w:r w:rsidR="00235B3E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1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235B3E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8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%), nejnižší pak na Bruntálsku (5</w:t>
      </w:r>
      <w:r w:rsidR="00235B3E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8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,</w:t>
      </w:r>
      <w:r w:rsidR="00235B3E"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1</w:t>
      </w:r>
      <w:r w:rsidRPr="004029DC"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  <w:t> %).</w:t>
      </w:r>
    </w:p>
    <w:p w:rsidR="0008781F" w:rsidRPr="004029DC" w:rsidRDefault="0008781F" w:rsidP="0008781F">
      <w:pPr>
        <w:rPr>
          <w:rFonts w:eastAsia="Times New Roman" w:cs="Arial"/>
          <w:color w:val="333333"/>
          <w:szCs w:val="20"/>
          <w:bdr w:val="none" w:sz="0" w:space="0" w:color="auto" w:frame="1"/>
          <w:lang w:eastAsia="cs-CZ"/>
        </w:rPr>
      </w:pPr>
    </w:p>
    <w:p w:rsidR="00EA44FC" w:rsidRPr="00EA44FC" w:rsidRDefault="00DF5751" w:rsidP="0008781F">
      <w:pPr>
        <w:rPr>
          <w:rFonts w:cs="Arial"/>
          <w:i/>
          <w:iCs/>
          <w:sz w:val="18"/>
          <w:szCs w:val="18"/>
        </w:rPr>
      </w:pPr>
      <w:r w:rsidRPr="00EA44FC">
        <w:rPr>
          <w:rFonts w:cs="Arial"/>
          <w:i/>
          <w:iCs/>
          <w:sz w:val="18"/>
          <w:szCs w:val="18"/>
        </w:rPr>
        <w:t>Poznámky</w:t>
      </w:r>
      <w:r w:rsidR="00EA44FC" w:rsidRPr="00EA44FC">
        <w:rPr>
          <w:rFonts w:cs="Arial"/>
          <w:i/>
          <w:iCs/>
          <w:sz w:val="18"/>
          <w:szCs w:val="18"/>
        </w:rPr>
        <w:t>:</w:t>
      </w:r>
    </w:p>
    <w:p w:rsidR="0008781F" w:rsidRPr="00EA44FC" w:rsidRDefault="0008781F" w:rsidP="0008781F">
      <w:pPr>
        <w:rPr>
          <w:rFonts w:eastAsia="Times New Roman" w:cs="Arial"/>
          <w:i/>
          <w:iCs/>
          <w:color w:val="333333"/>
          <w:sz w:val="18"/>
          <w:szCs w:val="18"/>
          <w:bdr w:val="none" w:sz="0" w:space="0" w:color="auto" w:frame="1"/>
          <w:lang w:eastAsia="cs-CZ"/>
        </w:rPr>
      </w:pPr>
      <w:r w:rsidRPr="00EA44FC">
        <w:rPr>
          <w:rFonts w:eastAsia="Times New Roman" w:cs="Arial"/>
          <w:i/>
          <w:iCs/>
          <w:color w:val="333333"/>
          <w:sz w:val="18"/>
          <w:szCs w:val="18"/>
          <w:bdr w:val="none" w:sz="0" w:space="0" w:color="auto" w:frame="1"/>
          <w:lang w:eastAsia="cs-CZ"/>
        </w:rPr>
        <w:t>Registr ekonomických subjektů (RES) je veřejným seznamem, který vytváří a spravuje Český statistický úřad podle § 20 zákona č. 89/1995 Sb., o státní statistické službě ve znění pozdějších předpisů. RES je průběžně aktualizován daty ze statistických zjišťování a z administrativních zdrojů. Ekonomickým subjektem je každá právnická osoba, dále fyzická osoba s postavením podnikatele a organizační složka státu, která je účetní jednotkou.</w:t>
      </w:r>
    </w:p>
    <w:p w:rsidR="0008781F" w:rsidRPr="004029DC" w:rsidRDefault="0008781F" w:rsidP="0008781F">
      <w:pPr>
        <w:rPr>
          <w:rFonts w:eastAsia="Times New Roman" w:cs="Arial"/>
          <w:i/>
          <w:iCs/>
          <w:color w:val="333333"/>
          <w:szCs w:val="20"/>
          <w:bdr w:val="none" w:sz="0" w:space="0" w:color="auto" w:frame="1"/>
          <w:lang w:eastAsia="cs-CZ"/>
        </w:rPr>
      </w:pPr>
    </w:p>
    <w:p w:rsidR="0008781F" w:rsidRPr="004029DC" w:rsidRDefault="0008781F" w:rsidP="0008781F">
      <w:pPr>
        <w:rPr>
          <w:rFonts w:cs="Arial"/>
          <w:b/>
          <w:szCs w:val="20"/>
        </w:rPr>
      </w:pPr>
      <w:r w:rsidRPr="004029DC">
        <w:rPr>
          <w:rFonts w:cs="Arial"/>
          <w:b/>
          <w:szCs w:val="20"/>
        </w:rPr>
        <w:t>Zdroj:</w:t>
      </w:r>
    </w:p>
    <w:p w:rsidR="0008781F" w:rsidRPr="004029DC" w:rsidRDefault="004241D0" w:rsidP="003A7709">
      <w:pPr>
        <w:shd w:val="clear" w:color="auto" w:fill="FFFFFF"/>
        <w:rPr>
          <w:rFonts w:cs="Arial"/>
          <w:color w:val="333333"/>
          <w:szCs w:val="20"/>
          <w:lang w:eastAsia="cs-CZ"/>
        </w:rPr>
      </w:pPr>
      <w:hyperlink r:id="rId12" w:tgtFrame="_blank" w:history="1">
        <w:r w:rsidR="0008781F" w:rsidRPr="004029DC">
          <w:rPr>
            <w:rStyle w:val="Hypertextovodkaz"/>
            <w:rFonts w:cs="Arial"/>
            <w:color w:val="0059A9"/>
            <w:szCs w:val="20"/>
            <w:bdr w:val="none" w:sz="0" w:space="0" w:color="auto" w:frame="1"/>
          </w:rPr>
          <w:t>Statistiky z Registru ekonomických subjektů - 4. čtvrtletí 202</w:t>
        </w:r>
        <w:r w:rsidR="00DF5751">
          <w:rPr>
            <w:rStyle w:val="Hypertextovodkaz"/>
            <w:rFonts w:cs="Arial"/>
            <w:color w:val="0059A9"/>
            <w:szCs w:val="20"/>
            <w:bdr w:val="none" w:sz="0" w:space="0" w:color="auto" w:frame="1"/>
          </w:rPr>
          <w:t>4</w:t>
        </w:r>
      </w:hyperlink>
    </w:p>
    <w:p w:rsidR="0008781F" w:rsidRPr="004029DC" w:rsidRDefault="004241D0" w:rsidP="003A7709">
      <w:pPr>
        <w:shd w:val="clear" w:color="auto" w:fill="FFFFFF"/>
        <w:rPr>
          <w:rFonts w:cs="Arial"/>
          <w:color w:val="333333"/>
          <w:szCs w:val="20"/>
        </w:rPr>
      </w:pPr>
      <w:hyperlink r:id="rId13" w:tgtFrame="_blank" w:history="1">
        <w:r w:rsidR="0008781F" w:rsidRPr="004029DC">
          <w:rPr>
            <w:rStyle w:val="Hypertextovodkaz"/>
            <w:rFonts w:cs="Arial"/>
            <w:color w:val="0059A9"/>
            <w:szCs w:val="20"/>
            <w:bdr w:val="none" w:sz="0" w:space="0" w:color="auto" w:frame="1"/>
          </w:rPr>
          <w:t>Veřejná databáze</w:t>
        </w:r>
      </w:hyperlink>
    </w:p>
    <w:p w:rsidR="0008781F" w:rsidRPr="004029DC" w:rsidRDefault="0008781F" w:rsidP="0008781F">
      <w:pPr>
        <w:rPr>
          <w:rFonts w:cs="Arial"/>
          <w:szCs w:val="20"/>
        </w:rPr>
      </w:pPr>
    </w:p>
    <w:p w:rsidR="0008781F" w:rsidRPr="004029DC" w:rsidRDefault="0008781F" w:rsidP="0008781F">
      <w:pPr>
        <w:rPr>
          <w:rFonts w:cs="Arial"/>
          <w:szCs w:val="20"/>
        </w:rPr>
      </w:pPr>
    </w:p>
    <w:p w:rsidR="00E51012" w:rsidRPr="004029DC" w:rsidRDefault="00E51012" w:rsidP="00E51012">
      <w:pPr>
        <w:rPr>
          <w:rFonts w:cs="Arial"/>
          <w:b/>
          <w:szCs w:val="20"/>
        </w:rPr>
      </w:pPr>
      <w:r w:rsidRPr="004029DC">
        <w:rPr>
          <w:rFonts w:cs="Arial"/>
          <w:b/>
          <w:szCs w:val="20"/>
        </w:rPr>
        <w:t>Kontakt:</w:t>
      </w:r>
    </w:p>
    <w:p w:rsidR="00E51012" w:rsidRPr="004029DC" w:rsidRDefault="00E51012" w:rsidP="00E51012">
      <w:pPr>
        <w:rPr>
          <w:rFonts w:cs="Arial"/>
          <w:szCs w:val="20"/>
        </w:rPr>
      </w:pPr>
      <w:r w:rsidRPr="004029DC">
        <w:rPr>
          <w:rFonts w:cs="Arial"/>
          <w:szCs w:val="20"/>
        </w:rPr>
        <w:t>Patrik Szabo</w:t>
      </w:r>
    </w:p>
    <w:p w:rsidR="00E51012" w:rsidRPr="004029DC" w:rsidRDefault="00E51012" w:rsidP="00E51012">
      <w:pPr>
        <w:rPr>
          <w:rFonts w:cs="Arial"/>
          <w:szCs w:val="20"/>
        </w:rPr>
      </w:pPr>
      <w:r w:rsidRPr="004029DC">
        <w:rPr>
          <w:rFonts w:cs="Arial"/>
          <w:szCs w:val="20"/>
        </w:rPr>
        <w:t>Krajská správa ČSÚ v Ostravě</w:t>
      </w:r>
    </w:p>
    <w:p w:rsidR="00E51012" w:rsidRPr="004029DC" w:rsidRDefault="00E51012" w:rsidP="00E51012">
      <w:pPr>
        <w:rPr>
          <w:rFonts w:cs="Arial"/>
          <w:szCs w:val="20"/>
        </w:rPr>
      </w:pPr>
      <w:r w:rsidRPr="004029DC">
        <w:rPr>
          <w:rFonts w:cs="Arial"/>
          <w:szCs w:val="20"/>
        </w:rPr>
        <w:t>Tel.: 595</w:t>
      </w:r>
      <w:r w:rsidR="00FA1ED8" w:rsidRPr="004029DC">
        <w:rPr>
          <w:rFonts w:cs="Arial"/>
          <w:szCs w:val="20"/>
        </w:rPr>
        <w:t> </w:t>
      </w:r>
      <w:r w:rsidRPr="004029DC">
        <w:rPr>
          <w:rFonts w:cs="Arial"/>
          <w:szCs w:val="20"/>
        </w:rPr>
        <w:t>131</w:t>
      </w:r>
      <w:r w:rsidR="00FA1ED8" w:rsidRPr="004029DC">
        <w:rPr>
          <w:rFonts w:cs="Arial"/>
          <w:szCs w:val="20"/>
        </w:rPr>
        <w:t> </w:t>
      </w:r>
      <w:r w:rsidRPr="004029DC">
        <w:rPr>
          <w:rFonts w:cs="Arial"/>
          <w:szCs w:val="20"/>
        </w:rPr>
        <w:t>220</w:t>
      </w:r>
    </w:p>
    <w:p w:rsidR="00E51012" w:rsidRPr="00246BE0" w:rsidRDefault="00E51012" w:rsidP="00E51012">
      <w:pPr>
        <w:rPr>
          <w:rFonts w:cs="Arial"/>
          <w:szCs w:val="20"/>
        </w:rPr>
      </w:pPr>
      <w:r w:rsidRPr="004029DC">
        <w:rPr>
          <w:rFonts w:cs="Arial"/>
          <w:szCs w:val="20"/>
        </w:rPr>
        <w:t>E-mail: patrik.szabo@csu.gov.cz</w:t>
      </w:r>
    </w:p>
    <w:sectPr w:rsidR="00E51012" w:rsidRPr="00246BE0" w:rsidSect="0007340F">
      <w:headerReference w:type="default" r:id="rId14"/>
      <w:footerReference w:type="default" r:id="rId15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A2" w:rsidRDefault="00CE1DA2" w:rsidP="00BA6370">
      <w:r>
        <w:separator/>
      </w:r>
    </w:p>
  </w:endnote>
  <w:endnote w:type="continuationSeparator" w:id="0">
    <w:p w:rsidR="00CE1DA2" w:rsidRDefault="00CE1D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310D7C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310D7C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310D7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310D7C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F83B8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F83B8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241D0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310D7C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310D7C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310D7C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310D7C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F83B86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F83B8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F83B8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F83B86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241D0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A2" w:rsidRDefault="00CE1DA2" w:rsidP="00BA6370">
      <w:r>
        <w:separator/>
      </w:r>
    </w:p>
  </w:footnote>
  <w:footnote w:type="continuationSeparator" w:id="0">
    <w:p w:rsidR="00CE1DA2" w:rsidRDefault="00CE1D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EC2"/>
    <w:multiLevelType w:val="hybridMultilevel"/>
    <w:tmpl w:val="8FEE0C04"/>
    <w:lvl w:ilvl="0" w:tplc="9A7CF37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867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3D0E"/>
    <w:rsid w:val="00006E32"/>
    <w:rsid w:val="00013BE1"/>
    <w:rsid w:val="000210EE"/>
    <w:rsid w:val="0002393A"/>
    <w:rsid w:val="00031F42"/>
    <w:rsid w:val="00036496"/>
    <w:rsid w:val="00037D23"/>
    <w:rsid w:val="00043BF4"/>
    <w:rsid w:val="0006163E"/>
    <w:rsid w:val="0007340F"/>
    <w:rsid w:val="000752F5"/>
    <w:rsid w:val="00075FCA"/>
    <w:rsid w:val="00082D36"/>
    <w:rsid w:val="000842D2"/>
    <w:rsid w:val="000843A5"/>
    <w:rsid w:val="00087159"/>
    <w:rsid w:val="0008781F"/>
    <w:rsid w:val="00090E5A"/>
    <w:rsid w:val="00091FF6"/>
    <w:rsid w:val="000A06FA"/>
    <w:rsid w:val="000A52FD"/>
    <w:rsid w:val="000A6282"/>
    <w:rsid w:val="000B1D11"/>
    <w:rsid w:val="000B4BFF"/>
    <w:rsid w:val="000B6F63"/>
    <w:rsid w:val="000C435D"/>
    <w:rsid w:val="000C6A4A"/>
    <w:rsid w:val="000D010E"/>
    <w:rsid w:val="000E08D1"/>
    <w:rsid w:val="000E14FD"/>
    <w:rsid w:val="000F0DFC"/>
    <w:rsid w:val="000F72CE"/>
    <w:rsid w:val="00102B03"/>
    <w:rsid w:val="0011135A"/>
    <w:rsid w:val="001165D7"/>
    <w:rsid w:val="00121885"/>
    <w:rsid w:val="001262F8"/>
    <w:rsid w:val="00126F98"/>
    <w:rsid w:val="001366AA"/>
    <w:rsid w:val="00137C85"/>
    <w:rsid w:val="00137FE4"/>
    <w:rsid w:val="001404AB"/>
    <w:rsid w:val="00146745"/>
    <w:rsid w:val="00146E54"/>
    <w:rsid w:val="001471D6"/>
    <w:rsid w:val="00147B21"/>
    <w:rsid w:val="00154950"/>
    <w:rsid w:val="00156398"/>
    <w:rsid w:val="001658A9"/>
    <w:rsid w:val="0017231D"/>
    <w:rsid w:val="00176A27"/>
    <w:rsid w:val="001776E2"/>
    <w:rsid w:val="001810DC"/>
    <w:rsid w:val="00183C7E"/>
    <w:rsid w:val="00185305"/>
    <w:rsid w:val="00192EFB"/>
    <w:rsid w:val="001A078C"/>
    <w:rsid w:val="001A214A"/>
    <w:rsid w:val="001A59BF"/>
    <w:rsid w:val="001B1D53"/>
    <w:rsid w:val="001B488C"/>
    <w:rsid w:val="001B607F"/>
    <w:rsid w:val="001B7046"/>
    <w:rsid w:val="001B7FB3"/>
    <w:rsid w:val="001D0F0E"/>
    <w:rsid w:val="001D369A"/>
    <w:rsid w:val="001D4FB5"/>
    <w:rsid w:val="001D7448"/>
    <w:rsid w:val="001E28E8"/>
    <w:rsid w:val="001E59D7"/>
    <w:rsid w:val="001F0B60"/>
    <w:rsid w:val="0020436C"/>
    <w:rsid w:val="0020696A"/>
    <w:rsid w:val="002070FB"/>
    <w:rsid w:val="002131FA"/>
    <w:rsid w:val="00213729"/>
    <w:rsid w:val="00213DA9"/>
    <w:rsid w:val="002272A6"/>
    <w:rsid w:val="002273C6"/>
    <w:rsid w:val="00235B3E"/>
    <w:rsid w:val="002406FA"/>
    <w:rsid w:val="002460EA"/>
    <w:rsid w:val="00247746"/>
    <w:rsid w:val="00260F5B"/>
    <w:rsid w:val="002627A8"/>
    <w:rsid w:val="0026346B"/>
    <w:rsid w:val="002672D6"/>
    <w:rsid w:val="0027601F"/>
    <w:rsid w:val="002829A7"/>
    <w:rsid w:val="002846CC"/>
    <w:rsid w:val="002848DA"/>
    <w:rsid w:val="002924E5"/>
    <w:rsid w:val="002957DC"/>
    <w:rsid w:val="002A113C"/>
    <w:rsid w:val="002A2CC6"/>
    <w:rsid w:val="002A2E11"/>
    <w:rsid w:val="002A3252"/>
    <w:rsid w:val="002A488F"/>
    <w:rsid w:val="002A55CF"/>
    <w:rsid w:val="002A61AE"/>
    <w:rsid w:val="002B17B1"/>
    <w:rsid w:val="002B2E47"/>
    <w:rsid w:val="002C4086"/>
    <w:rsid w:val="002D1878"/>
    <w:rsid w:val="002D6A6C"/>
    <w:rsid w:val="002E1F48"/>
    <w:rsid w:val="002E27DC"/>
    <w:rsid w:val="002E62CE"/>
    <w:rsid w:val="002F0983"/>
    <w:rsid w:val="003002E0"/>
    <w:rsid w:val="00310D7C"/>
    <w:rsid w:val="0032237E"/>
    <w:rsid w:val="00322412"/>
    <w:rsid w:val="003301A3"/>
    <w:rsid w:val="00330A2C"/>
    <w:rsid w:val="00332FBE"/>
    <w:rsid w:val="00341E27"/>
    <w:rsid w:val="003446C0"/>
    <w:rsid w:val="003508D2"/>
    <w:rsid w:val="0035578A"/>
    <w:rsid w:val="00357FB4"/>
    <w:rsid w:val="0036777B"/>
    <w:rsid w:val="003723F1"/>
    <w:rsid w:val="00373D04"/>
    <w:rsid w:val="00376B7E"/>
    <w:rsid w:val="0038282A"/>
    <w:rsid w:val="00382B76"/>
    <w:rsid w:val="00392936"/>
    <w:rsid w:val="00397580"/>
    <w:rsid w:val="003A1794"/>
    <w:rsid w:val="003A2E6E"/>
    <w:rsid w:val="003A45C8"/>
    <w:rsid w:val="003A7709"/>
    <w:rsid w:val="003B0737"/>
    <w:rsid w:val="003B1096"/>
    <w:rsid w:val="003C2DCF"/>
    <w:rsid w:val="003C7FE7"/>
    <w:rsid w:val="003D02AA"/>
    <w:rsid w:val="003D0499"/>
    <w:rsid w:val="003F2D36"/>
    <w:rsid w:val="003F526A"/>
    <w:rsid w:val="003F5F02"/>
    <w:rsid w:val="003F673F"/>
    <w:rsid w:val="003F7FDA"/>
    <w:rsid w:val="004029DC"/>
    <w:rsid w:val="00405244"/>
    <w:rsid w:val="00405310"/>
    <w:rsid w:val="0040618E"/>
    <w:rsid w:val="00413A9D"/>
    <w:rsid w:val="00421B6A"/>
    <w:rsid w:val="004241D0"/>
    <w:rsid w:val="00441FCB"/>
    <w:rsid w:val="004436EE"/>
    <w:rsid w:val="0044625C"/>
    <w:rsid w:val="00453C27"/>
    <w:rsid w:val="0045547F"/>
    <w:rsid w:val="00460236"/>
    <w:rsid w:val="004741DA"/>
    <w:rsid w:val="00475BD6"/>
    <w:rsid w:val="00483248"/>
    <w:rsid w:val="00485B6D"/>
    <w:rsid w:val="004920AD"/>
    <w:rsid w:val="004951B0"/>
    <w:rsid w:val="004B0E07"/>
    <w:rsid w:val="004B2613"/>
    <w:rsid w:val="004B6985"/>
    <w:rsid w:val="004B77E9"/>
    <w:rsid w:val="004C0641"/>
    <w:rsid w:val="004C1796"/>
    <w:rsid w:val="004C7C50"/>
    <w:rsid w:val="004D05B3"/>
    <w:rsid w:val="004D07E4"/>
    <w:rsid w:val="004E0A33"/>
    <w:rsid w:val="004E479E"/>
    <w:rsid w:val="004E580A"/>
    <w:rsid w:val="004E583B"/>
    <w:rsid w:val="004F0E90"/>
    <w:rsid w:val="004F1457"/>
    <w:rsid w:val="004F3EC1"/>
    <w:rsid w:val="004F78E6"/>
    <w:rsid w:val="00512D99"/>
    <w:rsid w:val="00513719"/>
    <w:rsid w:val="00514E26"/>
    <w:rsid w:val="00522A43"/>
    <w:rsid w:val="00523D28"/>
    <w:rsid w:val="00524D45"/>
    <w:rsid w:val="00531DBB"/>
    <w:rsid w:val="00531E36"/>
    <w:rsid w:val="00534BE2"/>
    <w:rsid w:val="00542839"/>
    <w:rsid w:val="00544867"/>
    <w:rsid w:val="00563CBF"/>
    <w:rsid w:val="00582591"/>
    <w:rsid w:val="005936A6"/>
    <w:rsid w:val="00593896"/>
    <w:rsid w:val="00596FCC"/>
    <w:rsid w:val="005A09A7"/>
    <w:rsid w:val="005A4CF0"/>
    <w:rsid w:val="005B3B8F"/>
    <w:rsid w:val="005B425A"/>
    <w:rsid w:val="005B50A4"/>
    <w:rsid w:val="005C3E9D"/>
    <w:rsid w:val="005C5650"/>
    <w:rsid w:val="005E1661"/>
    <w:rsid w:val="005E3ABB"/>
    <w:rsid w:val="005E4453"/>
    <w:rsid w:val="005F0648"/>
    <w:rsid w:val="005F5E4F"/>
    <w:rsid w:val="005F699D"/>
    <w:rsid w:val="005F79FB"/>
    <w:rsid w:val="00604406"/>
    <w:rsid w:val="00605F4A"/>
    <w:rsid w:val="00607101"/>
    <w:rsid w:val="00607822"/>
    <w:rsid w:val="006103AA"/>
    <w:rsid w:val="006113AB"/>
    <w:rsid w:val="00611A7A"/>
    <w:rsid w:val="00613BBF"/>
    <w:rsid w:val="0062044A"/>
    <w:rsid w:val="00622B80"/>
    <w:rsid w:val="006253F7"/>
    <w:rsid w:val="00632588"/>
    <w:rsid w:val="0063623F"/>
    <w:rsid w:val="00636B26"/>
    <w:rsid w:val="0064139A"/>
    <w:rsid w:val="00642389"/>
    <w:rsid w:val="00646190"/>
    <w:rsid w:val="0066004C"/>
    <w:rsid w:val="006649DE"/>
    <w:rsid w:val="00671136"/>
    <w:rsid w:val="00675D16"/>
    <w:rsid w:val="006902C1"/>
    <w:rsid w:val="00692952"/>
    <w:rsid w:val="006941FB"/>
    <w:rsid w:val="006A521B"/>
    <w:rsid w:val="006A531E"/>
    <w:rsid w:val="006A7613"/>
    <w:rsid w:val="006B060D"/>
    <w:rsid w:val="006B3728"/>
    <w:rsid w:val="006C1A73"/>
    <w:rsid w:val="006C2520"/>
    <w:rsid w:val="006C4A9B"/>
    <w:rsid w:val="006D08F6"/>
    <w:rsid w:val="006D0967"/>
    <w:rsid w:val="006D7127"/>
    <w:rsid w:val="006D7800"/>
    <w:rsid w:val="006E024F"/>
    <w:rsid w:val="006E4085"/>
    <w:rsid w:val="006E4E81"/>
    <w:rsid w:val="006E67A8"/>
    <w:rsid w:val="006F2081"/>
    <w:rsid w:val="0070038D"/>
    <w:rsid w:val="00707F7D"/>
    <w:rsid w:val="0071187F"/>
    <w:rsid w:val="00717EC5"/>
    <w:rsid w:val="00727525"/>
    <w:rsid w:val="00737B80"/>
    <w:rsid w:val="00745928"/>
    <w:rsid w:val="00745AA7"/>
    <w:rsid w:val="007476C8"/>
    <w:rsid w:val="007523FD"/>
    <w:rsid w:val="0076146B"/>
    <w:rsid w:val="00773C26"/>
    <w:rsid w:val="00777FC5"/>
    <w:rsid w:val="0078495A"/>
    <w:rsid w:val="00796380"/>
    <w:rsid w:val="007A1559"/>
    <w:rsid w:val="007A57F2"/>
    <w:rsid w:val="007A6795"/>
    <w:rsid w:val="007B1333"/>
    <w:rsid w:val="007C4721"/>
    <w:rsid w:val="007D0DF8"/>
    <w:rsid w:val="007D7E4F"/>
    <w:rsid w:val="007E2A8E"/>
    <w:rsid w:val="007E583F"/>
    <w:rsid w:val="007E59A1"/>
    <w:rsid w:val="007E622A"/>
    <w:rsid w:val="007F2BC9"/>
    <w:rsid w:val="007F4AEB"/>
    <w:rsid w:val="007F75B2"/>
    <w:rsid w:val="008043C4"/>
    <w:rsid w:val="00806125"/>
    <w:rsid w:val="008108D7"/>
    <w:rsid w:val="0081154F"/>
    <w:rsid w:val="00813BE2"/>
    <w:rsid w:val="0081678F"/>
    <w:rsid w:val="00826723"/>
    <w:rsid w:val="008311C0"/>
    <w:rsid w:val="00831B1B"/>
    <w:rsid w:val="008352FB"/>
    <w:rsid w:val="00837CD6"/>
    <w:rsid w:val="00840C05"/>
    <w:rsid w:val="008449DE"/>
    <w:rsid w:val="00846D05"/>
    <w:rsid w:val="008513A6"/>
    <w:rsid w:val="00853A6A"/>
    <w:rsid w:val="00861D0E"/>
    <w:rsid w:val="00861E9F"/>
    <w:rsid w:val="00867569"/>
    <w:rsid w:val="008711CA"/>
    <w:rsid w:val="00874373"/>
    <w:rsid w:val="008805CB"/>
    <w:rsid w:val="00882382"/>
    <w:rsid w:val="008A4BA5"/>
    <w:rsid w:val="008A5F4F"/>
    <w:rsid w:val="008A750A"/>
    <w:rsid w:val="008B3E23"/>
    <w:rsid w:val="008C0D17"/>
    <w:rsid w:val="008C384C"/>
    <w:rsid w:val="008D0F11"/>
    <w:rsid w:val="008E58D0"/>
    <w:rsid w:val="008F2493"/>
    <w:rsid w:val="008F35B4"/>
    <w:rsid w:val="008F63FB"/>
    <w:rsid w:val="008F73B4"/>
    <w:rsid w:val="00906742"/>
    <w:rsid w:val="00912DD1"/>
    <w:rsid w:val="00925231"/>
    <w:rsid w:val="00925A21"/>
    <w:rsid w:val="009273EC"/>
    <w:rsid w:val="00943D64"/>
    <w:rsid w:val="0094402F"/>
    <w:rsid w:val="00955B07"/>
    <w:rsid w:val="00960CAE"/>
    <w:rsid w:val="00962252"/>
    <w:rsid w:val="00962A88"/>
    <w:rsid w:val="009668FF"/>
    <w:rsid w:val="0097446F"/>
    <w:rsid w:val="00980353"/>
    <w:rsid w:val="00981088"/>
    <w:rsid w:val="00981C89"/>
    <w:rsid w:val="00984C08"/>
    <w:rsid w:val="009A1FA1"/>
    <w:rsid w:val="009B55B1"/>
    <w:rsid w:val="009B607B"/>
    <w:rsid w:val="009C12B4"/>
    <w:rsid w:val="009C2234"/>
    <w:rsid w:val="009D0A87"/>
    <w:rsid w:val="009D564B"/>
    <w:rsid w:val="009D77C4"/>
    <w:rsid w:val="009E6CD9"/>
    <w:rsid w:val="009E7AE1"/>
    <w:rsid w:val="00A00672"/>
    <w:rsid w:val="00A21724"/>
    <w:rsid w:val="00A21A9C"/>
    <w:rsid w:val="00A4343D"/>
    <w:rsid w:val="00A502F1"/>
    <w:rsid w:val="00A64959"/>
    <w:rsid w:val="00A70140"/>
    <w:rsid w:val="00A7017D"/>
    <w:rsid w:val="00A70A83"/>
    <w:rsid w:val="00A76512"/>
    <w:rsid w:val="00A81EB3"/>
    <w:rsid w:val="00A842CF"/>
    <w:rsid w:val="00A960ED"/>
    <w:rsid w:val="00AA350B"/>
    <w:rsid w:val="00AA63A9"/>
    <w:rsid w:val="00AC0466"/>
    <w:rsid w:val="00AD2356"/>
    <w:rsid w:val="00AD37DE"/>
    <w:rsid w:val="00AE3FCA"/>
    <w:rsid w:val="00AE6D5B"/>
    <w:rsid w:val="00AF7A70"/>
    <w:rsid w:val="00B00B35"/>
    <w:rsid w:val="00B00C1D"/>
    <w:rsid w:val="00B03B6B"/>
    <w:rsid w:val="00B03E21"/>
    <w:rsid w:val="00B1128D"/>
    <w:rsid w:val="00B129C9"/>
    <w:rsid w:val="00B15D05"/>
    <w:rsid w:val="00B31404"/>
    <w:rsid w:val="00B40799"/>
    <w:rsid w:val="00B412E8"/>
    <w:rsid w:val="00B43207"/>
    <w:rsid w:val="00B433A7"/>
    <w:rsid w:val="00B473B0"/>
    <w:rsid w:val="00B51673"/>
    <w:rsid w:val="00B76765"/>
    <w:rsid w:val="00B7736A"/>
    <w:rsid w:val="00B86F18"/>
    <w:rsid w:val="00B9566F"/>
    <w:rsid w:val="00BA439F"/>
    <w:rsid w:val="00BA512B"/>
    <w:rsid w:val="00BA5396"/>
    <w:rsid w:val="00BA6370"/>
    <w:rsid w:val="00BB0B86"/>
    <w:rsid w:val="00BD3F3F"/>
    <w:rsid w:val="00BD72C9"/>
    <w:rsid w:val="00BE218E"/>
    <w:rsid w:val="00BF07E1"/>
    <w:rsid w:val="00C1513D"/>
    <w:rsid w:val="00C15ABB"/>
    <w:rsid w:val="00C169FB"/>
    <w:rsid w:val="00C17EFC"/>
    <w:rsid w:val="00C269D4"/>
    <w:rsid w:val="00C34EEE"/>
    <w:rsid w:val="00C4160D"/>
    <w:rsid w:val="00C45158"/>
    <w:rsid w:val="00C51BDD"/>
    <w:rsid w:val="00C52466"/>
    <w:rsid w:val="00C53E7B"/>
    <w:rsid w:val="00C551B2"/>
    <w:rsid w:val="00C568C0"/>
    <w:rsid w:val="00C62F5D"/>
    <w:rsid w:val="00C74992"/>
    <w:rsid w:val="00C8406E"/>
    <w:rsid w:val="00C85AA7"/>
    <w:rsid w:val="00C9604A"/>
    <w:rsid w:val="00C974D9"/>
    <w:rsid w:val="00CA1104"/>
    <w:rsid w:val="00CA7E45"/>
    <w:rsid w:val="00CB2709"/>
    <w:rsid w:val="00CB2F73"/>
    <w:rsid w:val="00CB6F89"/>
    <w:rsid w:val="00CB7797"/>
    <w:rsid w:val="00CB7E14"/>
    <w:rsid w:val="00CC4E68"/>
    <w:rsid w:val="00CC7D34"/>
    <w:rsid w:val="00CD14C0"/>
    <w:rsid w:val="00CD510D"/>
    <w:rsid w:val="00CD5906"/>
    <w:rsid w:val="00CE1DA2"/>
    <w:rsid w:val="00CE228C"/>
    <w:rsid w:val="00CE37CE"/>
    <w:rsid w:val="00CF545B"/>
    <w:rsid w:val="00CF5733"/>
    <w:rsid w:val="00D00DBE"/>
    <w:rsid w:val="00D018F0"/>
    <w:rsid w:val="00D047D5"/>
    <w:rsid w:val="00D05C0C"/>
    <w:rsid w:val="00D226A0"/>
    <w:rsid w:val="00D24759"/>
    <w:rsid w:val="00D27074"/>
    <w:rsid w:val="00D27D69"/>
    <w:rsid w:val="00D27DEC"/>
    <w:rsid w:val="00D34E24"/>
    <w:rsid w:val="00D448C2"/>
    <w:rsid w:val="00D57DE4"/>
    <w:rsid w:val="00D62CBB"/>
    <w:rsid w:val="00D6369D"/>
    <w:rsid w:val="00D65B59"/>
    <w:rsid w:val="00D65DB9"/>
    <w:rsid w:val="00D666C3"/>
    <w:rsid w:val="00D668F9"/>
    <w:rsid w:val="00D71A18"/>
    <w:rsid w:val="00D7450E"/>
    <w:rsid w:val="00D80B9C"/>
    <w:rsid w:val="00D9664C"/>
    <w:rsid w:val="00DB272D"/>
    <w:rsid w:val="00DB3587"/>
    <w:rsid w:val="00DB517B"/>
    <w:rsid w:val="00DC7555"/>
    <w:rsid w:val="00DD7171"/>
    <w:rsid w:val="00DD78A4"/>
    <w:rsid w:val="00DF47FE"/>
    <w:rsid w:val="00DF5751"/>
    <w:rsid w:val="00DF7CDB"/>
    <w:rsid w:val="00E11DC0"/>
    <w:rsid w:val="00E12B3C"/>
    <w:rsid w:val="00E15D3E"/>
    <w:rsid w:val="00E2374E"/>
    <w:rsid w:val="00E26704"/>
    <w:rsid w:val="00E27C40"/>
    <w:rsid w:val="00E31980"/>
    <w:rsid w:val="00E34B8A"/>
    <w:rsid w:val="00E41AB9"/>
    <w:rsid w:val="00E44788"/>
    <w:rsid w:val="00E472B2"/>
    <w:rsid w:val="00E51012"/>
    <w:rsid w:val="00E5717E"/>
    <w:rsid w:val="00E6423C"/>
    <w:rsid w:val="00E676DA"/>
    <w:rsid w:val="00E75D9F"/>
    <w:rsid w:val="00E80E75"/>
    <w:rsid w:val="00E93830"/>
    <w:rsid w:val="00E93E0E"/>
    <w:rsid w:val="00EA3175"/>
    <w:rsid w:val="00EA44FC"/>
    <w:rsid w:val="00EA533B"/>
    <w:rsid w:val="00EB1ED3"/>
    <w:rsid w:val="00EB42E6"/>
    <w:rsid w:val="00EB4796"/>
    <w:rsid w:val="00EB71EF"/>
    <w:rsid w:val="00EC0CE6"/>
    <w:rsid w:val="00EC2D51"/>
    <w:rsid w:val="00EC2EFB"/>
    <w:rsid w:val="00EC3DC5"/>
    <w:rsid w:val="00EC4F1E"/>
    <w:rsid w:val="00EC6C71"/>
    <w:rsid w:val="00EC7753"/>
    <w:rsid w:val="00EC7A58"/>
    <w:rsid w:val="00ED5AC9"/>
    <w:rsid w:val="00F006E8"/>
    <w:rsid w:val="00F061B9"/>
    <w:rsid w:val="00F06319"/>
    <w:rsid w:val="00F12DFF"/>
    <w:rsid w:val="00F150B9"/>
    <w:rsid w:val="00F26395"/>
    <w:rsid w:val="00F302F4"/>
    <w:rsid w:val="00F310A4"/>
    <w:rsid w:val="00F3250F"/>
    <w:rsid w:val="00F360C4"/>
    <w:rsid w:val="00F43A6D"/>
    <w:rsid w:val="00F46F18"/>
    <w:rsid w:val="00F50E9F"/>
    <w:rsid w:val="00F51EE6"/>
    <w:rsid w:val="00F5678B"/>
    <w:rsid w:val="00F57645"/>
    <w:rsid w:val="00F63746"/>
    <w:rsid w:val="00F64B8A"/>
    <w:rsid w:val="00F64E82"/>
    <w:rsid w:val="00F775B2"/>
    <w:rsid w:val="00F82157"/>
    <w:rsid w:val="00F83B86"/>
    <w:rsid w:val="00F97520"/>
    <w:rsid w:val="00FA1ED8"/>
    <w:rsid w:val="00FA707D"/>
    <w:rsid w:val="00FB000A"/>
    <w:rsid w:val="00FB005B"/>
    <w:rsid w:val="00FB25AB"/>
    <w:rsid w:val="00FB687C"/>
    <w:rsid w:val="00FC7194"/>
    <w:rsid w:val="00FC7A6C"/>
    <w:rsid w:val="00FF3A90"/>
    <w:rsid w:val="00FF4F37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0071bc"/>
    </o:shapedefaults>
    <o:shapelayout v:ext="edit">
      <o:idmap v:ext="edit" data="1"/>
    </o:shapelayout>
  </w:shapeDefaults>
  <w:decimalSymbol w:val=","/>
  <w:listSeparator w:val=";"/>
  <w14:docId w14:val="123BBC9C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64959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unhideWhenUsed/>
    <w:rsid w:val="00C17EFC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17EFC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uiPriority w:val="22"/>
    <w:qFormat/>
    <w:rsid w:val="00FB25AB"/>
    <w:rPr>
      <w:b/>
      <w:bCs/>
    </w:rPr>
  </w:style>
  <w:style w:type="paragraph" w:styleId="Odstavecseseznamem">
    <w:name w:val="List Paragraph"/>
    <w:basedOn w:val="Normln"/>
    <w:uiPriority w:val="34"/>
    <w:rsid w:val="00E51012"/>
    <w:pPr>
      <w:ind w:left="720"/>
      <w:contextualSpacing/>
    </w:pPr>
  </w:style>
  <w:style w:type="character" w:customStyle="1" w:styleId="odkaz">
    <w:name w:val="odkaz"/>
    <w:basedOn w:val="Standardnpsmoodstavce"/>
    <w:rsid w:val="00B7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db.czso.cz/vdbvo2/faces/index.jsf?page=statistiky&amp;katalog=336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.gov.cz/produkty/statistiky-z-registru-ekonomickych-subjektu-4-ctvrtleti-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7A2C-183D-439C-A624-33941FD0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1184</TotalTime>
  <Pages>5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8419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73</cp:revision>
  <cp:lastPrinted>2024-12-03T09:32:00Z</cp:lastPrinted>
  <dcterms:created xsi:type="dcterms:W3CDTF">2024-09-02T12:31:00Z</dcterms:created>
  <dcterms:modified xsi:type="dcterms:W3CDTF">2025-01-22T12:10:00Z</dcterms:modified>
</cp:coreProperties>
</file>