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E47C" w14:textId="19D69413" w:rsidR="00F21B6A" w:rsidRPr="00105C87" w:rsidRDefault="004E0BA5" w:rsidP="00F21B6A">
      <w:pPr>
        <w:pStyle w:val="Nadpis1"/>
      </w:pPr>
      <w:r w:rsidRPr="004E0BA5">
        <w:t>Cestovní ruch v</w:t>
      </w:r>
      <w:r>
        <w:t> </w:t>
      </w:r>
      <w:r w:rsidRPr="004E0BA5">
        <w:t>Moravskoslezském kraji ve</w:t>
      </w:r>
      <w:r>
        <w:t> </w:t>
      </w:r>
      <w:r w:rsidRPr="004E0BA5">
        <w:t>2.</w:t>
      </w:r>
      <w:r>
        <w:t> </w:t>
      </w:r>
      <w:r w:rsidRPr="004E0BA5">
        <w:t>čtvrtletí</w:t>
      </w:r>
      <w:r>
        <w:t> </w:t>
      </w:r>
      <w:r w:rsidRPr="004E0BA5">
        <w:t>202</w:t>
      </w:r>
      <w:r>
        <w:t>6</w:t>
      </w:r>
    </w:p>
    <w:p w14:paraId="27F43AF2" w14:textId="67E90147" w:rsidR="00F21B6A" w:rsidRPr="00105C87" w:rsidRDefault="004E0BA5" w:rsidP="00F21B6A">
      <w:r>
        <w:t>7</w:t>
      </w:r>
      <w:r w:rsidR="00786E42" w:rsidRPr="00105C87">
        <w:t xml:space="preserve">. </w:t>
      </w:r>
      <w:r>
        <w:t>8</w:t>
      </w:r>
      <w:r w:rsidR="00786E42" w:rsidRPr="00105C87">
        <w:t>. 202</w:t>
      </w:r>
      <w:r w:rsidR="007E0D0B" w:rsidRPr="00105C87">
        <w:t>6</w:t>
      </w:r>
    </w:p>
    <w:p w14:paraId="5F861DD8" w14:textId="411DD5F4" w:rsidR="006A57CC" w:rsidRPr="00105C87" w:rsidRDefault="004E0BA5" w:rsidP="00786E42">
      <w:pPr>
        <w:pStyle w:val="Perex"/>
      </w:pPr>
      <w:r w:rsidRPr="004E0BA5">
        <w:t>Ve druhém čtvrtletí</w:t>
      </w:r>
      <w:r w:rsidR="000C735B">
        <w:t> </w:t>
      </w:r>
      <w:r w:rsidRPr="004E0BA5">
        <w:t>202</w:t>
      </w:r>
      <w:r w:rsidR="000C735B">
        <w:t>6</w:t>
      </w:r>
      <w:r w:rsidRPr="004E0BA5">
        <w:t xml:space="preserve"> se </w:t>
      </w:r>
      <w:r w:rsidR="00FB25B8" w:rsidRPr="004E0BA5">
        <w:t>v</w:t>
      </w:r>
      <w:r w:rsidR="00FB25B8">
        <w:t> </w:t>
      </w:r>
      <w:r w:rsidRPr="004E0BA5">
        <w:t>hromadných ubytovacích zařízeních v</w:t>
      </w:r>
      <w:r w:rsidR="00FB25B8">
        <w:t> </w:t>
      </w:r>
      <w:r w:rsidRPr="004E0BA5">
        <w:t xml:space="preserve">Moravskoslezském kraji ubytovalo celkem </w:t>
      </w:r>
      <w:r w:rsidR="000C735B">
        <w:t>307 </w:t>
      </w:r>
      <w:r w:rsidRPr="004E0BA5">
        <w:t xml:space="preserve">tisíc hostů, </w:t>
      </w:r>
      <w:r w:rsidR="00FB25B8" w:rsidRPr="004E0BA5">
        <w:t>z</w:t>
      </w:r>
      <w:r w:rsidR="00FB25B8">
        <w:t> </w:t>
      </w:r>
      <w:r w:rsidRPr="004E0BA5">
        <w:t xml:space="preserve">toho bylo </w:t>
      </w:r>
      <w:r w:rsidR="000C735B">
        <w:t>více než 73 </w:t>
      </w:r>
      <w:r w:rsidRPr="004E0BA5">
        <w:t xml:space="preserve">tisíc cizinců. Počet přenocování dosáhl </w:t>
      </w:r>
      <w:r w:rsidR="000C735B">
        <w:t xml:space="preserve">téměř </w:t>
      </w:r>
      <w:r w:rsidRPr="004E0BA5">
        <w:t>7</w:t>
      </w:r>
      <w:r w:rsidR="000C735B">
        <w:t>50 </w:t>
      </w:r>
      <w:r w:rsidRPr="004E0BA5">
        <w:t xml:space="preserve">tisíc nocí </w:t>
      </w:r>
      <w:r w:rsidR="00FB25B8" w:rsidRPr="004E0BA5">
        <w:t>a</w:t>
      </w:r>
      <w:r w:rsidR="00FB25B8">
        <w:t> </w:t>
      </w:r>
      <w:r w:rsidRPr="004E0BA5">
        <w:t>meziročně vzrostl o</w:t>
      </w:r>
      <w:r w:rsidR="000C735B">
        <w:t> 5,1 </w:t>
      </w:r>
      <w:r w:rsidRPr="004E0BA5">
        <w:t xml:space="preserve">%. Vyšší počet hostů </w:t>
      </w:r>
      <w:r w:rsidR="00FB25B8" w:rsidRPr="004E0BA5">
        <w:t>i</w:t>
      </w:r>
      <w:r w:rsidR="00FB25B8">
        <w:t> </w:t>
      </w:r>
      <w:r w:rsidRPr="004E0BA5">
        <w:t xml:space="preserve">strávených nocí ve srovnání se stejným obdobím předchozího roku byl vykázán </w:t>
      </w:r>
      <w:r w:rsidR="00FB25B8" w:rsidRPr="004E0BA5">
        <w:t>v</w:t>
      </w:r>
      <w:r w:rsidR="00FB25B8">
        <w:t> </w:t>
      </w:r>
      <w:r w:rsidRPr="004E0BA5">
        <w:t xml:space="preserve">případě domácí </w:t>
      </w:r>
      <w:r w:rsidR="00FB25B8">
        <w:t>i </w:t>
      </w:r>
      <w:r w:rsidR="000C735B">
        <w:t xml:space="preserve">zahraniční </w:t>
      </w:r>
      <w:r w:rsidRPr="004E0BA5">
        <w:t>klientely</w:t>
      </w:r>
      <w:r w:rsidR="000C735B">
        <w:t>.</w:t>
      </w:r>
    </w:p>
    <w:p w14:paraId="6D869FC3" w14:textId="76331B2E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Ve 2. čtvrtletí 202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přijelo do hromadných ubytovacích zařízení v Moravskoslezském kraji </w:t>
      </w:r>
      <w:r w:rsidR="0084075E">
        <w:rPr>
          <w:rFonts w:ascii="Arial" w:eastAsia="Calibri" w:hAnsi="Arial" w:cs="Arial"/>
          <w:bCs/>
          <w:kern w:val="0"/>
          <w:lang w:eastAsia="cs-CZ"/>
          <w14:ligatures w14:val="none"/>
        </w:rPr>
        <w:t>307 214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hostů, z nichž </w:t>
      </w:r>
      <w:r w:rsidR="0084075E">
        <w:rPr>
          <w:rFonts w:ascii="Arial" w:eastAsia="Calibri" w:hAnsi="Arial" w:cs="Arial"/>
          <w:bCs/>
          <w:kern w:val="0"/>
          <w:lang w:eastAsia="cs-CZ"/>
          <w14:ligatures w14:val="none"/>
        </w:rPr>
        <w:t>necelá čtvrtina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(</w:t>
      </w:r>
      <w:r w:rsidR="0084075E">
        <w:rPr>
          <w:rFonts w:ascii="Arial" w:eastAsia="Calibri" w:hAnsi="Arial" w:cs="Arial"/>
          <w:bCs/>
          <w:kern w:val="0"/>
          <w:lang w:eastAsia="cs-CZ"/>
          <w14:ligatures w14:val="none"/>
        </w:rPr>
        <w:t>73 359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hostů) byla ze zahraničí. Celkový počet hostů tak byl o </w:t>
      </w:r>
      <w:r w:rsidR="0084075E">
        <w:rPr>
          <w:rFonts w:ascii="Arial" w:eastAsia="Calibri" w:hAnsi="Arial" w:cs="Arial"/>
          <w:bCs/>
          <w:kern w:val="0"/>
          <w:lang w:eastAsia="cs-CZ"/>
          <w14:ligatures w14:val="none"/>
        </w:rPr>
        <w:t>20 889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osob (o </w:t>
      </w:r>
      <w:r w:rsidR="0084075E">
        <w:rPr>
          <w:rFonts w:ascii="Arial" w:eastAsia="Calibri" w:hAnsi="Arial" w:cs="Arial"/>
          <w:bCs/>
          <w:kern w:val="0"/>
          <w:lang w:eastAsia="cs-CZ"/>
          <w14:ligatures w14:val="none"/>
        </w:rPr>
        <w:t>7,3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%) větší než ve stejném období předchozího roku. Počet domácích klientů se meziročně zvýšil o </w:t>
      </w:r>
      <w:r w:rsidR="0084075E">
        <w:rPr>
          <w:rFonts w:ascii="Arial" w:eastAsia="Calibri" w:hAnsi="Arial" w:cs="Arial"/>
          <w:bCs/>
          <w:kern w:val="0"/>
          <w:lang w:eastAsia="cs-CZ"/>
          <w14:ligatures w14:val="none"/>
        </w:rPr>
        <w:t>2,6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%. </w:t>
      </w:r>
      <w:r w:rsidR="001A6DB3">
        <w:rPr>
          <w:rFonts w:ascii="Arial" w:eastAsia="Calibri" w:hAnsi="Arial" w:cs="Arial"/>
          <w:bCs/>
          <w:kern w:val="0"/>
          <w:lang w:eastAsia="cs-CZ"/>
          <w14:ligatures w14:val="none"/>
        </w:rPr>
        <w:t>Z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ahraničních hostů se ubytovalo o </w:t>
      </w:r>
      <w:r w:rsidR="001A6DB3">
        <w:rPr>
          <w:rFonts w:ascii="Arial" w:eastAsia="Calibri" w:hAnsi="Arial" w:cs="Arial"/>
          <w:bCs/>
          <w:kern w:val="0"/>
          <w:lang w:eastAsia="cs-CZ"/>
          <w14:ligatures w14:val="none"/>
        </w:rPr>
        <w:t>25,5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% </w:t>
      </w:r>
      <w:r w:rsidR="001A6DB3">
        <w:rPr>
          <w:rFonts w:ascii="Arial" w:eastAsia="Calibri" w:hAnsi="Arial" w:cs="Arial"/>
          <w:bCs/>
          <w:kern w:val="0"/>
          <w:lang w:eastAsia="cs-CZ"/>
          <w14:ligatures w14:val="none"/>
        </w:rPr>
        <w:t>více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a mezi kraji se jednalo o</w:t>
      </w:r>
      <w:r w:rsidR="001A6DB3">
        <w:rPr>
          <w:rFonts w:ascii="Arial" w:eastAsia="Calibri" w:hAnsi="Arial" w:cs="Arial"/>
          <w:bCs/>
          <w:kern w:val="0"/>
          <w:lang w:eastAsia="cs-CZ"/>
          <w14:ligatures w14:val="none"/>
        </w:rPr>
        <w:t> největší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meziroční </w:t>
      </w:r>
      <w:r w:rsidR="001A6DB3">
        <w:rPr>
          <w:rFonts w:ascii="Arial" w:eastAsia="Calibri" w:hAnsi="Arial" w:cs="Arial"/>
          <w:bCs/>
          <w:kern w:val="0"/>
          <w:lang w:eastAsia="cs-CZ"/>
          <w14:ligatures w14:val="none"/>
        </w:rPr>
        <w:t>nárůst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. Podíl Moravskoslezského kraje na počtu hostů v ubytovacích zařízeních celé</w:t>
      </w:r>
      <w:r w:rsidR="001A6DB3">
        <w:rPr>
          <w:rFonts w:ascii="Arial" w:eastAsia="Calibri" w:hAnsi="Arial" w:cs="Arial"/>
          <w:bCs/>
          <w:kern w:val="0"/>
          <w:lang w:eastAsia="cs-CZ"/>
          <w14:ligatures w14:val="none"/>
        </w:rPr>
        <w:t>ho Česka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činil 4,</w:t>
      </w:r>
      <w:r w:rsidR="001A6DB3">
        <w:rPr>
          <w:rFonts w:ascii="Arial" w:eastAsia="Calibri" w:hAnsi="Arial" w:cs="Arial"/>
          <w:bCs/>
          <w:kern w:val="0"/>
          <w:lang w:eastAsia="cs-CZ"/>
          <w14:ligatures w14:val="none"/>
        </w:rPr>
        <w:t>8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%, přičemž podíl kraje na domácí klientele byl 6,</w:t>
      </w:r>
      <w:r w:rsidR="001A6DB3">
        <w:rPr>
          <w:rFonts w:ascii="Arial" w:eastAsia="Calibri" w:hAnsi="Arial" w:cs="Arial"/>
          <w:bCs/>
          <w:kern w:val="0"/>
          <w:lang w:eastAsia="cs-CZ"/>
          <w14:ligatures w14:val="none"/>
        </w:rPr>
        <w:t>8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 a na zahraničních hostech 2,</w:t>
      </w:r>
      <w:r w:rsidR="001A6DB3">
        <w:rPr>
          <w:rFonts w:ascii="Arial" w:eastAsia="Calibri" w:hAnsi="Arial" w:cs="Arial"/>
          <w:bCs/>
          <w:kern w:val="0"/>
          <w:lang w:eastAsia="cs-CZ"/>
          <w14:ligatures w14:val="none"/>
        </w:rPr>
        <w:t>5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%.</w:t>
      </w:r>
    </w:p>
    <w:p w14:paraId="60ABE137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3CEBF20B" w14:textId="6A9A4E03" w:rsidR="004E0BA5" w:rsidRPr="004E0BA5" w:rsidRDefault="003C5077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3C507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Návštěvnost hromadných ubytovacích zařízení ve </w:t>
      </w:r>
      <w:r>
        <w:rPr>
          <w:rFonts w:ascii="Arial" w:eastAsia="Calibri" w:hAnsi="Arial" w:cs="Arial"/>
          <w:bCs/>
          <w:kern w:val="0"/>
          <w:lang w:eastAsia="cs-CZ"/>
          <w14:ligatures w14:val="none"/>
        </w:rPr>
        <w:t>2</w:t>
      </w:r>
      <w:r w:rsidRPr="003C5077">
        <w:rPr>
          <w:rFonts w:ascii="Arial" w:eastAsia="Calibri" w:hAnsi="Arial" w:cs="Arial"/>
          <w:bCs/>
          <w:kern w:val="0"/>
          <w:lang w:eastAsia="cs-CZ"/>
          <w14:ligatures w14:val="none"/>
        </w:rPr>
        <w:t>.</w:t>
      </w:r>
      <w:r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Pr="003C5077">
        <w:rPr>
          <w:rFonts w:ascii="Arial" w:eastAsia="Calibri" w:hAnsi="Arial" w:cs="Arial"/>
          <w:bCs/>
          <w:kern w:val="0"/>
          <w:lang w:eastAsia="cs-CZ"/>
          <w14:ligatures w14:val="none"/>
        </w:rPr>
        <w:t>čtvrtletí letošního roku se ve srovnání se stejným obdobím předchozího roku zvýšila v</w:t>
      </w:r>
      <w:r w:rsidR="00E01C41">
        <w:rPr>
          <w:rFonts w:ascii="Arial" w:eastAsia="Calibri" w:hAnsi="Arial" w:cs="Arial"/>
          <w:bCs/>
          <w:kern w:val="0"/>
          <w:lang w:eastAsia="cs-CZ"/>
          <w14:ligatures w14:val="none"/>
        </w:rPr>
        <w:t> polovině krajů</w:t>
      </w:r>
      <w:r w:rsidRPr="003C5077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Česka.</w:t>
      </w:r>
      <w:r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N</w:t>
      </w:r>
      <w:r w:rsidR="004E0BA5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ejvětší nárůst byl zaznamenán v </w:t>
      </w:r>
      <w:r w:rsidR="00E01C41">
        <w:rPr>
          <w:rFonts w:ascii="Arial" w:eastAsia="Calibri" w:hAnsi="Arial" w:cs="Arial"/>
          <w:bCs/>
          <w:kern w:val="0"/>
          <w:lang w:eastAsia="cs-CZ"/>
          <w14:ligatures w14:val="none"/>
        </w:rPr>
        <w:t>Moravskoslezském</w:t>
      </w:r>
      <w:r w:rsidR="004E0BA5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kraji</w:t>
      </w:r>
      <w:r w:rsidR="00E01C41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</w:t>
      </w:r>
      <w:r w:rsidR="00E01C41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(o </w:t>
      </w:r>
      <w:r w:rsidR="00E01C41">
        <w:rPr>
          <w:rFonts w:ascii="Arial" w:eastAsia="Calibri" w:hAnsi="Arial" w:cs="Arial"/>
          <w:bCs/>
          <w:kern w:val="0"/>
          <w:lang w:eastAsia="cs-CZ"/>
          <w14:ligatures w14:val="none"/>
        </w:rPr>
        <w:t>7,3</w:t>
      </w:r>
      <w:r w:rsidR="00E01C41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%)</w:t>
      </w:r>
      <w:r w:rsidR="00E01C41">
        <w:rPr>
          <w:rFonts w:ascii="Arial" w:eastAsia="Calibri" w:hAnsi="Arial" w:cs="Arial"/>
          <w:bCs/>
          <w:kern w:val="0"/>
          <w:lang w:eastAsia="cs-CZ"/>
          <w14:ligatures w14:val="none"/>
        </w:rPr>
        <w:t>, dále následovaly kraje Královéhradecký (o 5,</w:t>
      </w:r>
      <w:r w:rsidR="0084783B">
        <w:rPr>
          <w:rFonts w:ascii="Arial" w:eastAsia="Calibri" w:hAnsi="Arial" w:cs="Arial"/>
          <w:bCs/>
          <w:kern w:val="0"/>
          <w:lang w:eastAsia="cs-CZ"/>
          <w14:ligatures w14:val="none"/>
        </w:rPr>
        <w:t>4</w:t>
      </w:r>
      <w:r w:rsidR="00E01C41">
        <w:rPr>
          <w:rFonts w:ascii="Arial" w:eastAsia="Calibri" w:hAnsi="Arial" w:cs="Arial"/>
          <w:bCs/>
          <w:kern w:val="0"/>
          <w:lang w:eastAsia="cs-CZ"/>
          <w14:ligatures w14:val="none"/>
        </w:rPr>
        <w:t> %) a Liberecký (o 5,2 %)</w:t>
      </w:r>
      <w:r w:rsidR="004E0BA5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. </w:t>
      </w:r>
      <w:r w:rsidR="00E01C41" w:rsidRPr="00E01C41">
        <w:rPr>
          <w:rFonts w:ascii="Arial" w:eastAsia="Calibri" w:hAnsi="Arial" w:cs="Arial"/>
          <w:bCs/>
          <w:kern w:val="0"/>
          <w:lang w:eastAsia="cs-CZ"/>
          <w14:ligatures w14:val="none"/>
        </w:rPr>
        <w:t>Nejvyšší snížení počtu příjezdů bylo zaznamenáno v</w:t>
      </w:r>
      <w:r w:rsidR="00E01C41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E01C41" w:rsidRPr="00E01C41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Karlovarském kraji, </w:t>
      </w:r>
      <w:r w:rsidR="00FB25B8" w:rsidRPr="00E01C41">
        <w:rPr>
          <w:rFonts w:ascii="Arial" w:eastAsia="Calibri" w:hAnsi="Arial" w:cs="Arial"/>
          <w:bCs/>
          <w:kern w:val="0"/>
          <w:lang w:eastAsia="cs-CZ"/>
          <w14:ligatures w14:val="none"/>
        </w:rPr>
        <w:t>a</w:t>
      </w:r>
      <w:r w:rsidR="00FB25B8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E01C41" w:rsidRPr="00E01C41">
        <w:rPr>
          <w:rFonts w:ascii="Arial" w:eastAsia="Calibri" w:hAnsi="Arial" w:cs="Arial"/>
          <w:bCs/>
          <w:kern w:val="0"/>
          <w:lang w:eastAsia="cs-CZ"/>
          <w14:ligatures w14:val="none"/>
        </w:rPr>
        <w:t>to o</w:t>
      </w:r>
      <w:r w:rsidR="00E01C41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E01C41" w:rsidRPr="00E01C41">
        <w:rPr>
          <w:rFonts w:ascii="Arial" w:eastAsia="Calibri" w:hAnsi="Arial" w:cs="Arial"/>
          <w:bCs/>
          <w:kern w:val="0"/>
          <w:lang w:eastAsia="cs-CZ"/>
          <w14:ligatures w14:val="none"/>
        </w:rPr>
        <w:t>4,3</w:t>
      </w:r>
      <w:r w:rsidR="00E01C41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E01C41" w:rsidRPr="00E01C41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%. </w:t>
      </w:r>
      <w:r w:rsidR="004E0BA5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Nejnavštěvovanějším regionem byla s počtem 2,2 milionu hostů Praha</w:t>
      </w:r>
      <w:r w:rsidR="00463901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, více než půl milionu hostů dorazilo do Jihomoravského kraje (625 tisíc) </w:t>
      </w:r>
      <w:r w:rsidR="00FB25B8">
        <w:rPr>
          <w:rFonts w:ascii="Arial" w:eastAsia="Calibri" w:hAnsi="Arial" w:cs="Arial"/>
          <w:bCs/>
          <w:kern w:val="0"/>
          <w:lang w:eastAsia="cs-CZ"/>
          <w14:ligatures w14:val="none"/>
        </w:rPr>
        <w:t>a </w:t>
      </w:r>
      <w:r w:rsidR="00463901">
        <w:rPr>
          <w:rFonts w:ascii="Arial" w:eastAsia="Calibri" w:hAnsi="Arial" w:cs="Arial"/>
          <w:bCs/>
          <w:kern w:val="0"/>
          <w:lang w:eastAsia="cs-CZ"/>
          <w14:ligatures w14:val="none"/>
        </w:rPr>
        <w:t>Jihočeského kraje (503 tisíc).</w:t>
      </w:r>
    </w:p>
    <w:p w14:paraId="42B15B86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2911011E" w14:textId="204BA1F0" w:rsidR="004E0BA5" w:rsidRPr="004E0BA5" w:rsidRDefault="00AA2423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AA2423">
        <w:rPr>
          <w:rFonts w:ascii="Arial" w:eastAsia="Calibri" w:hAnsi="Arial" w:cs="Arial"/>
          <w:bCs/>
          <w:noProof/>
          <w:kern w:val="0"/>
          <w:lang w:eastAsia="cs-CZ"/>
          <w14:ligatures w14:val="none"/>
        </w:rPr>
        <w:drawing>
          <wp:inline distT="0" distB="0" distL="0" distR="0" wp14:anchorId="4E9C2A3E" wp14:editId="3C53CEAD">
            <wp:extent cx="5760085" cy="3046730"/>
            <wp:effectExtent l="0" t="0" r="0" b="1270"/>
            <wp:docPr id="20551091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A2C9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0BC5A60E" w14:textId="7C54832D" w:rsidR="004E0BA5" w:rsidRPr="004E0BA5" w:rsidRDefault="00AA2423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AA2423">
        <w:rPr>
          <w:rFonts w:ascii="Arial" w:eastAsia="Calibri" w:hAnsi="Arial" w:cs="Arial"/>
          <w:bCs/>
          <w:noProof/>
          <w:kern w:val="0"/>
          <w:lang w:eastAsia="cs-CZ"/>
          <w14:ligatures w14:val="none"/>
        </w:rPr>
        <w:lastRenderedPageBreak/>
        <w:drawing>
          <wp:inline distT="0" distB="0" distL="0" distR="0" wp14:anchorId="33B3D0BF" wp14:editId="6FE6CC5E">
            <wp:extent cx="5760085" cy="2856230"/>
            <wp:effectExtent l="0" t="0" r="0" b="1270"/>
            <wp:docPr id="159724765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020EE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267C2CFE" w14:textId="0D22E0B6" w:rsid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Návštěvnost z řad cizinců ve 2. čtvrtletí 202</w:t>
      </w:r>
      <w:r w:rsidR="00463901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</w:t>
      </w:r>
      <w:r w:rsidR="00463901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byla 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výrazně </w:t>
      </w:r>
      <w:r w:rsidR="00463901">
        <w:rPr>
          <w:rFonts w:ascii="Arial" w:eastAsia="Calibri" w:hAnsi="Arial" w:cs="Arial"/>
          <w:bCs/>
          <w:kern w:val="0"/>
          <w:lang w:eastAsia="cs-CZ"/>
          <w14:ligatures w14:val="none"/>
        </w:rPr>
        <w:t>vyšší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než ve stejném období předchozího roku</w:t>
      </w:r>
      <w:r w:rsidR="00463901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</w:t>
      </w:r>
      <w:r w:rsidR="00463901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(o </w:t>
      </w:r>
      <w:r w:rsidR="00463901">
        <w:rPr>
          <w:rFonts w:ascii="Arial" w:eastAsia="Calibri" w:hAnsi="Arial" w:cs="Arial"/>
          <w:bCs/>
          <w:kern w:val="0"/>
          <w:lang w:eastAsia="cs-CZ"/>
          <w14:ligatures w14:val="none"/>
        </w:rPr>
        <w:t>25,5</w:t>
      </w:r>
      <w:r w:rsidR="00463901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%)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. Nejvíce zahraničních hostů přijelo ve 2. čtvrtletí 202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do Moravskoslezského kraje z</w:t>
      </w:r>
      <w:r w:rsidR="00463901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Polska </w:t>
      </w:r>
      <w:r w:rsidR="00463901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(</w:t>
      </w:r>
      <w:r w:rsidR="0084783B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podíl </w:t>
      </w:r>
      <w:r w:rsidR="00463901">
        <w:rPr>
          <w:rFonts w:ascii="Arial" w:eastAsia="Calibri" w:hAnsi="Arial" w:cs="Arial"/>
          <w:bCs/>
          <w:kern w:val="0"/>
          <w:lang w:eastAsia="cs-CZ"/>
          <w14:ligatures w14:val="none"/>
        </w:rPr>
        <w:t>26,1</w:t>
      </w:r>
      <w:r w:rsidR="00463901"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%)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. Ve sledovaných zařízeních se jich ubytovalo 1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9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124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, což bylo o 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43,4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% 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více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než loni. Druhou nejpočetnější skupinu tvořilo 1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405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návštěvníků z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e Slovenska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(meziroční nárůst o 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13,5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%). Třetí se umístili návštěvníci z Německa (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5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865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hostů), jejichž počet vzrostl o 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11,8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%. Podíl hostů z uvedených zemí na všech zahraničních klientech v kraji činil 5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6,4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%.</w:t>
      </w:r>
    </w:p>
    <w:p w14:paraId="4BF9F165" w14:textId="77777777" w:rsidR="00AA2423" w:rsidRPr="004E0BA5" w:rsidRDefault="00AA2423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04D6E0A6" w14:textId="1D704988" w:rsidR="004E0BA5" w:rsidRDefault="00AA2423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AA2423">
        <w:rPr>
          <w:rFonts w:ascii="Arial" w:eastAsia="Calibri" w:hAnsi="Arial" w:cs="Arial"/>
          <w:bCs/>
          <w:noProof/>
          <w:kern w:val="0"/>
          <w:lang w:eastAsia="cs-CZ"/>
          <w14:ligatures w14:val="none"/>
        </w:rPr>
        <w:drawing>
          <wp:inline distT="0" distB="0" distL="0" distR="0" wp14:anchorId="2728F590" wp14:editId="40892A82">
            <wp:extent cx="5760085" cy="3284855"/>
            <wp:effectExtent l="0" t="0" r="0" b="0"/>
            <wp:docPr id="60322010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84121" w14:textId="77777777" w:rsidR="00AA2423" w:rsidRPr="004E0BA5" w:rsidRDefault="00AA2423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4274E1A6" w14:textId="4CFD1E8F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Počet přenocování hostů v hromadných ubytovacích zařízeních v Moravskoslezském kraji ve 2. čtvrtletí 202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dosáhl 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zhruba 750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tisíc nocí a byl o </w:t>
      </w:r>
      <w:r w:rsidR="00726933">
        <w:rPr>
          <w:rFonts w:ascii="Arial" w:eastAsia="Calibri" w:hAnsi="Arial" w:cs="Arial"/>
          <w:bCs/>
          <w:kern w:val="0"/>
          <w:lang w:eastAsia="cs-CZ"/>
          <w14:ligatures w14:val="none"/>
        </w:rPr>
        <w:t>5,1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% vyšší než ve stejném období minulého roku. </w:t>
      </w:r>
      <w:r w:rsidR="00726933" w:rsidRPr="00726933">
        <w:rPr>
          <w:rFonts w:ascii="Arial" w:eastAsia="Calibri" w:hAnsi="Arial" w:cs="Times New Roman"/>
          <w:kern w:val="0"/>
          <w14:ligatures w14:val="none"/>
        </w:rPr>
        <w:t>Na meziročním nárůstu celkového počtu přenocování se podílela jak domácí klientela (nárůst o </w:t>
      </w:r>
      <w:r w:rsidR="00726933">
        <w:rPr>
          <w:rFonts w:ascii="Arial" w:eastAsia="Calibri" w:hAnsi="Arial" w:cs="Times New Roman"/>
          <w:kern w:val="0"/>
          <w14:ligatures w14:val="none"/>
        </w:rPr>
        <w:t>1,3</w:t>
      </w:r>
      <w:r w:rsidR="00726933" w:rsidRPr="00726933">
        <w:rPr>
          <w:rFonts w:ascii="Arial" w:eastAsia="Calibri" w:hAnsi="Arial" w:cs="Times New Roman"/>
          <w:kern w:val="0"/>
          <w14:ligatures w14:val="none"/>
        </w:rPr>
        <w:t> %), tak hosté ze zahraničí (nárůst o </w:t>
      </w:r>
      <w:r w:rsidR="004F5547">
        <w:rPr>
          <w:rFonts w:ascii="Arial" w:eastAsia="Calibri" w:hAnsi="Arial" w:cs="Times New Roman"/>
          <w:kern w:val="0"/>
          <w14:ligatures w14:val="none"/>
        </w:rPr>
        <w:t>23,2</w:t>
      </w:r>
      <w:r w:rsidR="00726933" w:rsidRPr="00726933">
        <w:rPr>
          <w:rFonts w:ascii="Arial" w:eastAsia="Calibri" w:hAnsi="Arial" w:cs="Times New Roman"/>
          <w:kern w:val="0"/>
          <w14:ligatures w14:val="none"/>
        </w:rPr>
        <w:t> %).</w:t>
      </w:r>
    </w:p>
    <w:p w14:paraId="674A835D" w14:textId="309ECF25" w:rsidR="004E0BA5" w:rsidRPr="004E0BA5" w:rsidRDefault="00AA2423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AA2423">
        <w:rPr>
          <w:rFonts w:ascii="Arial" w:eastAsia="Calibri" w:hAnsi="Arial" w:cs="Arial"/>
          <w:bCs/>
          <w:noProof/>
          <w:kern w:val="0"/>
          <w:lang w:eastAsia="cs-CZ"/>
          <w14:ligatures w14:val="none"/>
        </w:rPr>
        <w:lastRenderedPageBreak/>
        <w:drawing>
          <wp:inline distT="0" distB="0" distL="0" distR="0" wp14:anchorId="31039D5B" wp14:editId="77D1ECD2">
            <wp:extent cx="5760085" cy="3199130"/>
            <wp:effectExtent l="0" t="0" r="0" b="1270"/>
            <wp:docPr id="75959288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E6D70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48D935AF" w14:textId="762ED74A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Přenocování celkem vzrostlo v</w:t>
      </w:r>
      <w:r w:rsidR="006635B9">
        <w:rPr>
          <w:rFonts w:ascii="Arial" w:eastAsia="Calibri" w:hAnsi="Arial" w:cs="Arial"/>
          <w:bCs/>
          <w:kern w:val="0"/>
          <w:lang w:eastAsia="cs-CZ"/>
          <w14:ligatures w14:val="none"/>
        </w:rPr>
        <w:t> sedmi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krajích, nejvíce pak v</w:t>
      </w:r>
      <w:r w:rsidR="00A4550E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krajích </w:t>
      </w:r>
      <w:r w:rsidR="00A4550E">
        <w:rPr>
          <w:rFonts w:ascii="Arial" w:eastAsia="Calibri" w:hAnsi="Arial" w:cs="Arial"/>
          <w:bCs/>
          <w:kern w:val="0"/>
          <w:lang w:eastAsia="cs-CZ"/>
          <w14:ligatures w14:val="none"/>
        </w:rPr>
        <w:t>Moravskoslezském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(o</w:t>
      </w:r>
      <w:r w:rsidR="00A4550E">
        <w:rPr>
          <w:rFonts w:ascii="Arial" w:eastAsia="Calibri" w:hAnsi="Arial" w:cs="Arial"/>
          <w:bCs/>
          <w:kern w:val="0"/>
          <w:lang w:eastAsia="cs-CZ"/>
          <w14:ligatures w14:val="none"/>
        </w:rPr>
        <w:t> 5,1 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%) a </w:t>
      </w:r>
      <w:r w:rsidR="00A4550E">
        <w:rPr>
          <w:rFonts w:ascii="Arial" w:eastAsia="Calibri" w:hAnsi="Arial" w:cs="Arial"/>
          <w:bCs/>
          <w:kern w:val="0"/>
          <w:lang w:eastAsia="cs-CZ"/>
          <w14:ligatures w14:val="none"/>
        </w:rPr>
        <w:t>Královéhradeckém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(o</w:t>
      </w:r>
      <w:r w:rsidR="00A4550E">
        <w:rPr>
          <w:rFonts w:ascii="Arial" w:eastAsia="Calibri" w:hAnsi="Arial" w:cs="Arial"/>
          <w:bCs/>
          <w:kern w:val="0"/>
          <w:lang w:eastAsia="cs-CZ"/>
          <w14:ligatures w14:val="none"/>
        </w:rPr>
        <w:t> 4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,1</w:t>
      </w:r>
      <w:r w:rsidR="00A4550E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%). </w:t>
      </w:r>
      <w:r w:rsidR="00A4550E" w:rsidRPr="00104545">
        <w:rPr>
          <w:color w:val="000000"/>
        </w:rPr>
        <w:t xml:space="preserve">Podobně jako v případě počtu hostů byla největší </w:t>
      </w:r>
      <w:r w:rsidR="00A4550E" w:rsidRPr="00104545">
        <w:t>poptávka po ubytování v</w:t>
      </w:r>
      <w:r w:rsidR="00A4550E">
        <w:t>e</w:t>
      </w:r>
      <w:r w:rsidR="00A4550E" w:rsidRPr="00104545">
        <w:t> </w:t>
      </w:r>
      <w:r w:rsidR="00A4550E">
        <w:t>2</w:t>
      </w:r>
      <w:r w:rsidR="00A4550E" w:rsidRPr="00104545">
        <w:t>. čtvrtletí 2026 v hlavním městě Praze (</w:t>
      </w:r>
      <w:r w:rsidR="00A4550E">
        <w:t>téměř 5 </w:t>
      </w:r>
      <w:r w:rsidR="00A4550E" w:rsidRPr="00104545">
        <w:t>milion</w:t>
      </w:r>
      <w:r w:rsidR="00A4550E">
        <w:t>ů</w:t>
      </w:r>
      <w:r w:rsidR="00A4550E" w:rsidRPr="00104545">
        <w:t xml:space="preserve"> přenocování), přes milion nocí strávili </w:t>
      </w:r>
      <w:r w:rsidR="00A4550E" w:rsidRPr="003C5223">
        <w:rPr>
          <w:rFonts w:cstheme="minorHAnsi"/>
          <w:iCs/>
        </w:rPr>
        <w:t>hosté také v</w:t>
      </w:r>
      <w:r w:rsidR="00A4550E">
        <w:rPr>
          <w:rFonts w:cstheme="minorHAnsi"/>
          <w:iCs/>
        </w:rPr>
        <w:t> </w:t>
      </w:r>
      <w:r w:rsidR="00A4550E" w:rsidRPr="003C5223">
        <w:rPr>
          <w:rFonts w:cstheme="minorHAnsi"/>
          <w:iCs/>
        </w:rPr>
        <w:t>Karlovarském,</w:t>
      </w:r>
      <w:r w:rsidR="00A4550E">
        <w:rPr>
          <w:rFonts w:cstheme="minorHAnsi"/>
          <w:iCs/>
        </w:rPr>
        <w:t xml:space="preserve"> </w:t>
      </w:r>
      <w:r w:rsidR="00A4550E" w:rsidRPr="003C5223">
        <w:rPr>
          <w:rFonts w:cstheme="minorHAnsi"/>
          <w:iCs/>
        </w:rPr>
        <w:t>Jihomoravském, Jihočeském a</w:t>
      </w:r>
      <w:r w:rsidR="00A4550E">
        <w:rPr>
          <w:rFonts w:cstheme="minorHAnsi"/>
          <w:iCs/>
        </w:rPr>
        <w:t> </w:t>
      </w:r>
      <w:r w:rsidR="00A4550E" w:rsidRPr="003C5223">
        <w:rPr>
          <w:rFonts w:cstheme="minorHAnsi"/>
          <w:iCs/>
        </w:rPr>
        <w:t>v</w:t>
      </w:r>
      <w:r w:rsidR="00A4550E">
        <w:rPr>
          <w:rFonts w:cstheme="minorHAnsi"/>
          <w:iCs/>
        </w:rPr>
        <w:t> </w:t>
      </w:r>
      <w:r w:rsidR="00A4550E" w:rsidRPr="003C5223">
        <w:rPr>
          <w:rFonts w:cstheme="minorHAnsi"/>
          <w:iCs/>
        </w:rPr>
        <w:t>Královéhradeckém kraji</w:t>
      </w:r>
      <w:r w:rsidR="00A4550E" w:rsidRPr="00104545">
        <w:t>. Rezidenti strávili nejvíce nocí v </w:t>
      </w:r>
      <w:r w:rsidR="00922437">
        <w:t>Jihočeském</w:t>
      </w:r>
      <w:r w:rsidR="00A4550E" w:rsidRPr="00104545">
        <w:t xml:space="preserve"> kraji (</w:t>
      </w:r>
      <w:r w:rsidR="00922437">
        <w:t>841</w:t>
      </w:r>
      <w:r w:rsidR="00A4550E" w:rsidRPr="00104545">
        <w:t> tisíc), nerezidenti již tradičně v Praze (</w:t>
      </w:r>
      <w:r w:rsidR="00C27B67">
        <w:t>4</w:t>
      </w:r>
      <w:r w:rsidR="00A4550E" w:rsidRPr="00104545">
        <w:t>,</w:t>
      </w:r>
      <w:r w:rsidR="00C27B67">
        <w:t>28</w:t>
      </w:r>
      <w:r w:rsidR="00A4550E" w:rsidRPr="00104545">
        <w:t> milionu).</w:t>
      </w:r>
    </w:p>
    <w:p w14:paraId="4FED45CD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5C9BB166" w14:textId="42C54AFF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Průměrný počet přenocování (2,</w:t>
      </w:r>
      <w:r w:rsidR="00DB1133">
        <w:rPr>
          <w:rFonts w:ascii="Arial" w:eastAsia="Calibri" w:hAnsi="Arial" w:cs="Arial"/>
          <w:bCs/>
          <w:kern w:val="0"/>
          <w:lang w:eastAsia="cs-CZ"/>
          <w14:ligatures w14:val="none"/>
        </w:rPr>
        <w:t>4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noci na jednoho hosta) řadí Moravskoslezský kraj na 6. místo pomyslného krajského žebříčku. První místo zaujímá lázeňský Karlovarský kraj s počtem 3,</w:t>
      </w:r>
      <w:r w:rsidR="00DB1133">
        <w:rPr>
          <w:rFonts w:ascii="Arial" w:eastAsia="Calibri" w:hAnsi="Arial" w:cs="Arial"/>
          <w:bCs/>
          <w:kern w:val="0"/>
          <w:lang w:eastAsia="cs-CZ"/>
          <w14:ligatures w14:val="none"/>
        </w:rPr>
        <w:t>8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noci. Průměrný počet přenocování domácích návštěvníků v Moravskoslezském kraji byl vyšší (2,6 noci) než v případě zahraničních hostů (2,1 noci).</w:t>
      </w:r>
    </w:p>
    <w:p w14:paraId="5BF16D6B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57FF9A21" w14:textId="1B6E1BFA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Lázeňská ubytovací zařízení v Moravskoslezském kraji zaznamenala 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lepší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výsledky než před rokem. V lázních se ve 2. čtvrtletí 202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6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ubytovalo celkem 7,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4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tisíce hostů, z toho 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2,9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 ze zahraničí. Proti stejnému období roku 202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5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se 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zvýšil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celkový počet lázeňských hostů o 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6,1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%. Zatímco domácích klientů dorazilo o 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6,7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 více, počet zahraničních návštěvníků se meziročně snížil o </w:t>
      </w:r>
      <w:r w:rsidR="00B5322E">
        <w:rPr>
          <w:rFonts w:ascii="Arial" w:eastAsia="Calibri" w:hAnsi="Arial" w:cs="Arial"/>
          <w:bCs/>
          <w:kern w:val="0"/>
          <w:lang w:eastAsia="cs-CZ"/>
          <w14:ligatures w14:val="none"/>
        </w:rPr>
        <w:t>10,3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%. Celkově dosáhl počet přenocování v lázeňských zařízeních v kraji 12</w:t>
      </w:r>
      <w:r w:rsidR="009E53EA">
        <w:rPr>
          <w:rFonts w:ascii="Arial" w:eastAsia="Calibri" w:hAnsi="Arial" w:cs="Arial"/>
          <w:bCs/>
          <w:kern w:val="0"/>
          <w:lang w:eastAsia="cs-CZ"/>
          <w14:ligatures w14:val="none"/>
        </w:rPr>
        <w:t>7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,4 tisíce nocí, což bylo o </w:t>
      </w:r>
      <w:r w:rsidR="009E53EA">
        <w:rPr>
          <w:rFonts w:ascii="Arial" w:eastAsia="Calibri" w:hAnsi="Arial" w:cs="Arial"/>
          <w:bCs/>
          <w:kern w:val="0"/>
          <w:lang w:eastAsia="cs-CZ"/>
          <w14:ligatures w14:val="none"/>
        </w:rPr>
        <w:t>3,3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% </w:t>
      </w:r>
      <w:r w:rsidR="009E53EA">
        <w:rPr>
          <w:rFonts w:ascii="Arial" w:eastAsia="Calibri" w:hAnsi="Arial" w:cs="Arial"/>
          <w:bCs/>
          <w:kern w:val="0"/>
          <w:lang w:eastAsia="cs-CZ"/>
          <w14:ligatures w14:val="none"/>
        </w:rPr>
        <w:t>více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než v předchozím roce. Meziročně strávili rezidenti v lázních o </w:t>
      </w:r>
      <w:r w:rsidR="009E53EA">
        <w:rPr>
          <w:rFonts w:ascii="Arial" w:eastAsia="Calibri" w:hAnsi="Arial" w:cs="Arial"/>
          <w:bCs/>
          <w:kern w:val="0"/>
          <w:lang w:eastAsia="cs-CZ"/>
          <w14:ligatures w14:val="none"/>
        </w:rPr>
        <w:t>3,7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% nocí </w:t>
      </w:r>
      <w:r w:rsidR="009E53EA">
        <w:rPr>
          <w:rFonts w:ascii="Arial" w:eastAsia="Calibri" w:hAnsi="Arial" w:cs="Arial"/>
          <w:bCs/>
          <w:kern w:val="0"/>
          <w:lang w:eastAsia="cs-CZ"/>
          <w14:ligatures w14:val="none"/>
        </w:rPr>
        <w:t>více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, v případě nerezidentů to bylo o </w:t>
      </w:r>
      <w:r w:rsidR="009E53EA">
        <w:rPr>
          <w:rFonts w:ascii="Arial" w:eastAsia="Calibri" w:hAnsi="Arial" w:cs="Arial"/>
          <w:bCs/>
          <w:kern w:val="0"/>
          <w:lang w:eastAsia="cs-CZ"/>
          <w14:ligatures w14:val="none"/>
        </w:rPr>
        <w:t>10,7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 % nocí </w:t>
      </w:r>
      <w:r w:rsidR="009E53EA">
        <w:rPr>
          <w:rFonts w:ascii="Arial" w:eastAsia="Calibri" w:hAnsi="Arial" w:cs="Arial"/>
          <w:bCs/>
          <w:kern w:val="0"/>
          <w:lang w:eastAsia="cs-CZ"/>
          <w14:ligatures w14:val="none"/>
        </w:rPr>
        <w:t>méně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. Průměrná délka pobytu v moravskoslezských lázních činila 17,</w:t>
      </w:r>
      <w:r w:rsidR="009E53EA">
        <w:rPr>
          <w:rFonts w:ascii="Arial" w:eastAsia="Calibri" w:hAnsi="Arial" w:cs="Arial"/>
          <w:bCs/>
          <w:kern w:val="0"/>
          <w:lang w:eastAsia="cs-CZ"/>
          <w14:ligatures w14:val="none"/>
        </w:rPr>
        <w:t>1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 noci.</w:t>
      </w:r>
    </w:p>
    <w:p w14:paraId="03C8D249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4A37FC62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60DA087A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/>
          <w:bCs/>
          <w:kern w:val="0"/>
          <w:lang w:eastAsia="cs-CZ"/>
          <w14:ligatures w14:val="none"/>
        </w:rPr>
        <w:t>Kontakt:</w:t>
      </w:r>
    </w:p>
    <w:p w14:paraId="27841819" w14:textId="480FDD49" w:rsidR="004E0BA5" w:rsidRPr="004E0BA5" w:rsidRDefault="00DB1133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>
        <w:rPr>
          <w:rFonts w:ascii="Arial" w:eastAsia="Calibri" w:hAnsi="Arial" w:cs="Arial"/>
          <w:bCs/>
          <w:kern w:val="0"/>
          <w:lang w:eastAsia="cs-CZ"/>
          <w14:ligatures w14:val="none"/>
        </w:rPr>
        <w:t>Jan Dehner</w:t>
      </w:r>
    </w:p>
    <w:p w14:paraId="119D4084" w14:textId="77777777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Krajská správa ČSÚ v Ostravě</w:t>
      </w:r>
    </w:p>
    <w:p w14:paraId="58C0BBBA" w14:textId="79031B48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Tel.: 595 131 2</w:t>
      </w:r>
      <w:r w:rsidR="000B0C43">
        <w:rPr>
          <w:rFonts w:ascii="Arial" w:eastAsia="Calibri" w:hAnsi="Arial" w:cs="Arial"/>
          <w:bCs/>
          <w:kern w:val="0"/>
          <w:lang w:eastAsia="cs-CZ"/>
          <w14:ligatures w14:val="none"/>
        </w:rPr>
        <w:t>32</w:t>
      </w:r>
    </w:p>
    <w:p w14:paraId="74EEBC1D" w14:textId="4F62D8E5" w:rsidR="004E0BA5" w:rsidRPr="004E0BA5" w:rsidRDefault="004E0BA5" w:rsidP="004E0BA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E-mail: </w:t>
      </w:r>
      <w:r w:rsidR="00DB1133">
        <w:rPr>
          <w:rFonts w:ascii="Arial" w:eastAsia="Calibri" w:hAnsi="Arial" w:cs="Arial"/>
          <w:bCs/>
          <w:kern w:val="0"/>
          <w:lang w:eastAsia="cs-CZ"/>
          <w14:ligatures w14:val="none"/>
        </w:rPr>
        <w:t>jan.dehner</w:t>
      </w:r>
      <w:r w:rsidRPr="004E0BA5">
        <w:rPr>
          <w:rFonts w:ascii="Arial" w:eastAsia="Calibri" w:hAnsi="Arial" w:cs="Arial"/>
          <w:bCs/>
          <w:kern w:val="0"/>
          <w:lang w:eastAsia="cs-CZ"/>
          <w14:ligatures w14:val="none"/>
        </w:rPr>
        <w:t>@csu.gov.cz</w:t>
      </w:r>
    </w:p>
    <w:sectPr w:rsidR="004E0BA5" w:rsidRPr="004E0BA5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D5DF0" w14:textId="77777777" w:rsidR="006D051F" w:rsidRDefault="006D051F" w:rsidP="004A01A7">
      <w:pPr>
        <w:spacing w:after="0" w:line="240" w:lineRule="auto"/>
      </w:pPr>
      <w:r>
        <w:separator/>
      </w:r>
    </w:p>
  </w:endnote>
  <w:endnote w:type="continuationSeparator" w:id="0">
    <w:p w14:paraId="78D41BDA" w14:textId="77777777" w:rsidR="006D051F" w:rsidRDefault="006D051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D70D" w14:textId="4F0B6A28" w:rsidR="006A57CC" w:rsidRDefault="006A57CC" w:rsidP="00F21B6A">
    <w:pPr>
      <w:pStyle w:val="Zpat"/>
    </w:pPr>
    <w:r w:rsidRPr="006A57CC">
      <w:t>Český statistický úřad</w:t>
    </w:r>
  </w:p>
  <w:p w14:paraId="545ED9D9" w14:textId="45411CB6" w:rsidR="00F21B6A" w:rsidRDefault="00126B1A" w:rsidP="00F21B6A">
    <w:pPr>
      <w:pStyle w:val="Zpat"/>
    </w:pPr>
    <w:r>
      <w:t xml:space="preserve">Krajská správa </w:t>
    </w:r>
    <w:r w:rsidR="00A77247">
      <w:t xml:space="preserve">ČSÚ </w:t>
    </w:r>
    <w:r w:rsidR="00FB25B8">
      <w:t>v </w:t>
    </w:r>
    <w:r w:rsidR="00A77247">
      <w:t>Ostravě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55D848A6" w14:textId="2699E9D0" w:rsidR="00F21B6A" w:rsidRPr="00AA0A3C" w:rsidRDefault="00A77247" w:rsidP="00F21B6A">
    <w:pPr>
      <w:pStyle w:val="Zpat"/>
      <w:tabs>
        <w:tab w:val="left" w:pos="4440"/>
      </w:tabs>
    </w:pPr>
    <w:r w:rsidRPr="00AA0A3C">
      <w:t>Repinova 17</w:t>
    </w:r>
    <w:r w:rsidR="006A57CC" w:rsidRPr="00AA0A3C">
      <w:t xml:space="preserve">, </w:t>
    </w:r>
    <w:r w:rsidRPr="00AA0A3C">
      <w:t>702 03 Ostrava</w:t>
    </w:r>
    <w:r w:rsidR="00F21B6A" w:rsidRPr="00AA0A3C">
      <w:tab/>
    </w:r>
    <w:r w:rsidR="00F21B6A" w:rsidRPr="00AA0A3C">
      <w:tab/>
    </w:r>
    <w:r w:rsidR="00F21B6A" w:rsidRPr="00AA0A3C">
      <w:tab/>
    </w:r>
  </w:p>
  <w:p w14:paraId="6567FAF1" w14:textId="769A7DE8" w:rsidR="004A01A7" w:rsidRPr="00F21B6A" w:rsidRDefault="006A57CC" w:rsidP="00F21B6A">
    <w:pPr>
      <w:pStyle w:val="Zpat"/>
    </w:pPr>
    <w:r w:rsidRPr="00AA0A3C">
      <w:t>T: +420 </w:t>
    </w:r>
    <w:r w:rsidR="00AA0A3C" w:rsidRPr="00AA0A3C">
      <w:t>595 131 230</w:t>
    </w:r>
    <w:r w:rsidRPr="00AA0A3C">
      <w:t xml:space="preserve">, E: </w:t>
    </w:r>
    <w:r w:rsidR="00126B1A" w:rsidRPr="00AA0A3C">
      <w:t>infoservis</w:t>
    </w:r>
    <w:r w:rsidR="00AA0A3C" w:rsidRPr="00AA0A3C">
      <w:t>ov</w:t>
    </w:r>
    <w:r w:rsidRPr="006A57CC">
      <w:t>@csu.gov.cz</w:t>
    </w:r>
    <w:r w:rsidR="00F21B6A">
      <w:tab/>
    </w:r>
    <w:r w:rsidR="00F21B6A">
      <w:tab/>
    </w:r>
    <w:hyperlink r:id="rId1" w:history="1">
      <w:r>
        <w:t>csu.gov.cz</w:t>
      </w:r>
    </w:hyperlink>
    <w:r w:rsidR="00126B1A">
      <w:t>/</w:t>
    </w:r>
    <w:proofErr w:type="spellStart"/>
    <w:r w:rsidR="00AA0A3C">
      <w:t>moravskoslezsky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5553E" w14:textId="77777777" w:rsidR="006D051F" w:rsidRDefault="006D051F" w:rsidP="004A01A7">
      <w:pPr>
        <w:spacing w:after="0" w:line="240" w:lineRule="auto"/>
      </w:pPr>
    </w:p>
  </w:footnote>
  <w:footnote w:type="continuationSeparator" w:id="0">
    <w:p w14:paraId="405C7B95" w14:textId="77777777" w:rsidR="006D051F" w:rsidRDefault="006D051F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D5BAD1D" w14:textId="77777777" w:rsidTr="00F21B6A">
      <w:trPr>
        <w:jc w:val="right"/>
      </w:trPr>
      <w:tc>
        <w:tcPr>
          <w:tcW w:w="4253" w:type="dxa"/>
        </w:tcPr>
        <w:p w14:paraId="6C35F743" w14:textId="77777777" w:rsidR="003208E6" w:rsidRDefault="00126B1A" w:rsidP="00C063DD">
          <w:pPr>
            <w:pStyle w:val="Nadpis3"/>
            <w:spacing w:before="0"/>
            <w:jc w:val="right"/>
          </w:pPr>
          <w:r>
            <w:t>Aktualita</w:t>
          </w:r>
        </w:p>
      </w:tc>
    </w:tr>
  </w:tbl>
  <w:p w14:paraId="710D2167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6182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47"/>
    <w:rsid w:val="0000166F"/>
    <w:rsid w:val="000106FE"/>
    <w:rsid w:val="000120B4"/>
    <w:rsid w:val="000254CC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0C43"/>
    <w:rsid w:val="000B4F0B"/>
    <w:rsid w:val="000C11F2"/>
    <w:rsid w:val="000C2452"/>
    <w:rsid w:val="000C67FA"/>
    <w:rsid w:val="000C68F4"/>
    <w:rsid w:val="000C735B"/>
    <w:rsid w:val="000D2954"/>
    <w:rsid w:val="000E00C3"/>
    <w:rsid w:val="000E3099"/>
    <w:rsid w:val="000F141D"/>
    <w:rsid w:val="000F5A54"/>
    <w:rsid w:val="00102994"/>
    <w:rsid w:val="00105C87"/>
    <w:rsid w:val="0010622A"/>
    <w:rsid w:val="00126B1A"/>
    <w:rsid w:val="00130B75"/>
    <w:rsid w:val="00134D21"/>
    <w:rsid w:val="00134F2B"/>
    <w:rsid w:val="00135EBB"/>
    <w:rsid w:val="001363A5"/>
    <w:rsid w:val="001377FD"/>
    <w:rsid w:val="00137B85"/>
    <w:rsid w:val="00140402"/>
    <w:rsid w:val="00141449"/>
    <w:rsid w:val="0014331D"/>
    <w:rsid w:val="00146A2A"/>
    <w:rsid w:val="0015074B"/>
    <w:rsid w:val="00160FEB"/>
    <w:rsid w:val="00164790"/>
    <w:rsid w:val="001712FE"/>
    <w:rsid w:val="00171B3E"/>
    <w:rsid w:val="00175680"/>
    <w:rsid w:val="00186B5E"/>
    <w:rsid w:val="001909FA"/>
    <w:rsid w:val="00195AE2"/>
    <w:rsid w:val="001A6DB3"/>
    <w:rsid w:val="001C5205"/>
    <w:rsid w:val="001D1E6D"/>
    <w:rsid w:val="001D719A"/>
    <w:rsid w:val="001E1B82"/>
    <w:rsid w:val="001E417F"/>
    <w:rsid w:val="001E513B"/>
    <w:rsid w:val="001E691A"/>
    <w:rsid w:val="001F493F"/>
    <w:rsid w:val="002000F6"/>
    <w:rsid w:val="002013B0"/>
    <w:rsid w:val="0020716F"/>
    <w:rsid w:val="00216463"/>
    <w:rsid w:val="00222610"/>
    <w:rsid w:val="002234D1"/>
    <w:rsid w:val="00227351"/>
    <w:rsid w:val="002363CA"/>
    <w:rsid w:val="00243A9D"/>
    <w:rsid w:val="0024676C"/>
    <w:rsid w:val="00256E43"/>
    <w:rsid w:val="00260DCA"/>
    <w:rsid w:val="00275B42"/>
    <w:rsid w:val="00280346"/>
    <w:rsid w:val="00280D21"/>
    <w:rsid w:val="0028101B"/>
    <w:rsid w:val="002826B4"/>
    <w:rsid w:val="00293F29"/>
    <w:rsid w:val="00297C33"/>
    <w:rsid w:val="002A61DA"/>
    <w:rsid w:val="002C1941"/>
    <w:rsid w:val="002D11B9"/>
    <w:rsid w:val="002D796B"/>
    <w:rsid w:val="002F7004"/>
    <w:rsid w:val="0030061B"/>
    <w:rsid w:val="00303A0E"/>
    <w:rsid w:val="00315185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80C3C"/>
    <w:rsid w:val="00392F53"/>
    <w:rsid w:val="00393EC0"/>
    <w:rsid w:val="003A2A49"/>
    <w:rsid w:val="003A3966"/>
    <w:rsid w:val="003A7E6A"/>
    <w:rsid w:val="003B49A2"/>
    <w:rsid w:val="003B6928"/>
    <w:rsid w:val="003C027F"/>
    <w:rsid w:val="003C3F6A"/>
    <w:rsid w:val="003C5077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3901"/>
    <w:rsid w:val="0046727D"/>
    <w:rsid w:val="004723B2"/>
    <w:rsid w:val="00493ED9"/>
    <w:rsid w:val="004977D7"/>
    <w:rsid w:val="004A01A7"/>
    <w:rsid w:val="004A09C5"/>
    <w:rsid w:val="004A33FC"/>
    <w:rsid w:val="004A38DD"/>
    <w:rsid w:val="004B4A94"/>
    <w:rsid w:val="004C7DCA"/>
    <w:rsid w:val="004E0BA5"/>
    <w:rsid w:val="004E7E0E"/>
    <w:rsid w:val="004F5547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27DF"/>
    <w:rsid w:val="005A4EC9"/>
    <w:rsid w:val="005A60C3"/>
    <w:rsid w:val="005C14EB"/>
    <w:rsid w:val="005C29C9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3CE7"/>
    <w:rsid w:val="00635189"/>
    <w:rsid w:val="00637E8B"/>
    <w:rsid w:val="00640E73"/>
    <w:rsid w:val="0064237D"/>
    <w:rsid w:val="00647757"/>
    <w:rsid w:val="00650D3D"/>
    <w:rsid w:val="006622FC"/>
    <w:rsid w:val="006635B9"/>
    <w:rsid w:val="0067042F"/>
    <w:rsid w:val="00682A38"/>
    <w:rsid w:val="0069631F"/>
    <w:rsid w:val="00696A2A"/>
    <w:rsid w:val="006A57CC"/>
    <w:rsid w:val="006C0860"/>
    <w:rsid w:val="006D051F"/>
    <w:rsid w:val="006E7273"/>
    <w:rsid w:val="006F4755"/>
    <w:rsid w:val="006F51DB"/>
    <w:rsid w:val="00702BED"/>
    <w:rsid w:val="007049E6"/>
    <w:rsid w:val="00710AC5"/>
    <w:rsid w:val="00713213"/>
    <w:rsid w:val="007141CA"/>
    <w:rsid w:val="0071455E"/>
    <w:rsid w:val="00716F0E"/>
    <w:rsid w:val="00723AF4"/>
    <w:rsid w:val="00724E67"/>
    <w:rsid w:val="00726933"/>
    <w:rsid w:val="0073040F"/>
    <w:rsid w:val="007371E0"/>
    <w:rsid w:val="007456C5"/>
    <w:rsid w:val="00746911"/>
    <w:rsid w:val="00765263"/>
    <w:rsid w:val="00786E42"/>
    <w:rsid w:val="00787190"/>
    <w:rsid w:val="007D6A0E"/>
    <w:rsid w:val="007D6F07"/>
    <w:rsid w:val="007E0D0B"/>
    <w:rsid w:val="00801CDD"/>
    <w:rsid w:val="00811964"/>
    <w:rsid w:val="00834A49"/>
    <w:rsid w:val="00837E45"/>
    <w:rsid w:val="0084075E"/>
    <w:rsid w:val="0084277E"/>
    <w:rsid w:val="0084463C"/>
    <w:rsid w:val="0084783B"/>
    <w:rsid w:val="00851074"/>
    <w:rsid w:val="00852511"/>
    <w:rsid w:val="008533DC"/>
    <w:rsid w:val="008541DA"/>
    <w:rsid w:val="00870D3E"/>
    <w:rsid w:val="00877CF1"/>
    <w:rsid w:val="00884306"/>
    <w:rsid w:val="008A4895"/>
    <w:rsid w:val="008B0E87"/>
    <w:rsid w:val="008B3038"/>
    <w:rsid w:val="008C4A49"/>
    <w:rsid w:val="008D405D"/>
    <w:rsid w:val="008D5575"/>
    <w:rsid w:val="008E418A"/>
    <w:rsid w:val="008F125B"/>
    <w:rsid w:val="008F533C"/>
    <w:rsid w:val="0091230B"/>
    <w:rsid w:val="009149E6"/>
    <w:rsid w:val="00916E60"/>
    <w:rsid w:val="00917C90"/>
    <w:rsid w:val="00922437"/>
    <w:rsid w:val="00945FB9"/>
    <w:rsid w:val="009475A7"/>
    <w:rsid w:val="00951930"/>
    <w:rsid w:val="009610E2"/>
    <w:rsid w:val="0096469E"/>
    <w:rsid w:val="0097303D"/>
    <w:rsid w:val="00984352"/>
    <w:rsid w:val="00985819"/>
    <w:rsid w:val="0098787C"/>
    <w:rsid w:val="009A31B0"/>
    <w:rsid w:val="009A389D"/>
    <w:rsid w:val="009B032C"/>
    <w:rsid w:val="009B0804"/>
    <w:rsid w:val="009C081A"/>
    <w:rsid w:val="009C0BC3"/>
    <w:rsid w:val="009C31A6"/>
    <w:rsid w:val="009D72AA"/>
    <w:rsid w:val="009E4B81"/>
    <w:rsid w:val="009E53EA"/>
    <w:rsid w:val="009F3E9D"/>
    <w:rsid w:val="00A15A28"/>
    <w:rsid w:val="00A274A1"/>
    <w:rsid w:val="00A3283F"/>
    <w:rsid w:val="00A4550E"/>
    <w:rsid w:val="00A47859"/>
    <w:rsid w:val="00A55A71"/>
    <w:rsid w:val="00A67463"/>
    <w:rsid w:val="00A77247"/>
    <w:rsid w:val="00A851CE"/>
    <w:rsid w:val="00A91166"/>
    <w:rsid w:val="00A91452"/>
    <w:rsid w:val="00A95D0B"/>
    <w:rsid w:val="00AA0A3C"/>
    <w:rsid w:val="00AA0C58"/>
    <w:rsid w:val="00AA2423"/>
    <w:rsid w:val="00AB4BE7"/>
    <w:rsid w:val="00AB5479"/>
    <w:rsid w:val="00AB7649"/>
    <w:rsid w:val="00AC0BF4"/>
    <w:rsid w:val="00AC1CEA"/>
    <w:rsid w:val="00AD40DD"/>
    <w:rsid w:val="00AD78BA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157"/>
    <w:rsid w:val="00B31BB1"/>
    <w:rsid w:val="00B43D9B"/>
    <w:rsid w:val="00B47092"/>
    <w:rsid w:val="00B51C8F"/>
    <w:rsid w:val="00B5322E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27B67"/>
    <w:rsid w:val="00C311A5"/>
    <w:rsid w:val="00C4391D"/>
    <w:rsid w:val="00C47D31"/>
    <w:rsid w:val="00C5077B"/>
    <w:rsid w:val="00C559EC"/>
    <w:rsid w:val="00C5725B"/>
    <w:rsid w:val="00C61C26"/>
    <w:rsid w:val="00C64568"/>
    <w:rsid w:val="00C659B4"/>
    <w:rsid w:val="00C678BE"/>
    <w:rsid w:val="00C744B6"/>
    <w:rsid w:val="00C74A09"/>
    <w:rsid w:val="00C81CB1"/>
    <w:rsid w:val="00C93B1D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1562"/>
    <w:rsid w:val="00CD784B"/>
    <w:rsid w:val="00CE0BC6"/>
    <w:rsid w:val="00CF328E"/>
    <w:rsid w:val="00CF6697"/>
    <w:rsid w:val="00D066AA"/>
    <w:rsid w:val="00D1311B"/>
    <w:rsid w:val="00D15B3B"/>
    <w:rsid w:val="00D20AC3"/>
    <w:rsid w:val="00D44739"/>
    <w:rsid w:val="00D50FAD"/>
    <w:rsid w:val="00D52321"/>
    <w:rsid w:val="00D63056"/>
    <w:rsid w:val="00D70040"/>
    <w:rsid w:val="00D7143F"/>
    <w:rsid w:val="00DA10DB"/>
    <w:rsid w:val="00DB1133"/>
    <w:rsid w:val="00DD3D93"/>
    <w:rsid w:val="00DD4E3E"/>
    <w:rsid w:val="00DD6689"/>
    <w:rsid w:val="00DF3F66"/>
    <w:rsid w:val="00E01C41"/>
    <w:rsid w:val="00E12747"/>
    <w:rsid w:val="00E14659"/>
    <w:rsid w:val="00E24FEA"/>
    <w:rsid w:val="00E34849"/>
    <w:rsid w:val="00E414DB"/>
    <w:rsid w:val="00E456D4"/>
    <w:rsid w:val="00E47767"/>
    <w:rsid w:val="00E62893"/>
    <w:rsid w:val="00E637CE"/>
    <w:rsid w:val="00E67257"/>
    <w:rsid w:val="00E679DB"/>
    <w:rsid w:val="00E704CC"/>
    <w:rsid w:val="00E721D1"/>
    <w:rsid w:val="00E72CDB"/>
    <w:rsid w:val="00E8736C"/>
    <w:rsid w:val="00E9571D"/>
    <w:rsid w:val="00E97FB6"/>
    <w:rsid w:val="00EB38B3"/>
    <w:rsid w:val="00EB5DA8"/>
    <w:rsid w:val="00EC2292"/>
    <w:rsid w:val="00ED2458"/>
    <w:rsid w:val="00EF1981"/>
    <w:rsid w:val="00EF4611"/>
    <w:rsid w:val="00F0418D"/>
    <w:rsid w:val="00F049CC"/>
    <w:rsid w:val="00F152C4"/>
    <w:rsid w:val="00F21784"/>
    <w:rsid w:val="00F21B6A"/>
    <w:rsid w:val="00F26AB3"/>
    <w:rsid w:val="00F30E1E"/>
    <w:rsid w:val="00F31F4E"/>
    <w:rsid w:val="00F34410"/>
    <w:rsid w:val="00F562EF"/>
    <w:rsid w:val="00F668A6"/>
    <w:rsid w:val="00F70F49"/>
    <w:rsid w:val="00F837DE"/>
    <w:rsid w:val="00F96106"/>
    <w:rsid w:val="00FA0FB3"/>
    <w:rsid w:val="00FA634C"/>
    <w:rsid w:val="00FA79CC"/>
    <w:rsid w:val="00FA7B77"/>
    <w:rsid w:val="00FB11FD"/>
    <w:rsid w:val="00FB25B8"/>
    <w:rsid w:val="00FB4F1B"/>
    <w:rsid w:val="00FB57B9"/>
    <w:rsid w:val="00FC186E"/>
    <w:rsid w:val="00FC2146"/>
    <w:rsid w:val="00FD5BC4"/>
    <w:rsid w:val="00FD5BEC"/>
    <w:rsid w:val="00FD5E47"/>
    <w:rsid w:val="00FD7332"/>
    <w:rsid w:val="00FE7E23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7490C"/>
  <w15:chartTrackingRefBased/>
  <w15:docId w15:val="{E6AB92B7-47F3-47C8-AAA8-71F39726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UstanoveniForm xmlns="8675fb2b-b414-4bad-b4c4-d9349268b5a1" xsi:nil="true"/>
    <Vazbanaproces xmlns="8675fb2b-b414-4bad-b4c4-d9349268b5a1">P4.2</Vazbanaproces>
    <UcinnostOdForm xmlns="8675fb2b-b414-4bad-b4c4-d9349268b5a1">2026-05-31T22:00:00+00:00</UcinnostOdForm>
    <Odkaz xmlns="8675fb2b-b414-4bad-b4c4-d9349268b5a1">
      <Url xsi:nil="true"/>
      <Description xsi:nil="true"/>
    </Odkaz>
    <Verzeform xmlns="8675fb2b-b414-4bad-b4c4-d9349268b5a1">v1.1</Verzeform>
    <Historieverze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Oznaceni xmlns="8675fb2b-b414-4bad-b4c4-d9349268b5a1" xsi:nil="true"/>
    <Platnost xmlns="8675fb2b-b414-4bad-b4c4-d9349268b5a1">true</Platnost>
    <Form_c xmlns="8675fb2b-b414-4bad-b4c4-d9349268b5a1">469</Form_c>
    <DomenaForm xmlns="8675fb2b-b414-4bad-b4c4-d9349268b5a1">
      <Value>P4 Komunikace a propagace</Value>
    </DomenaForm>
    <NazevForm xmlns="8675fb2b-b414-4bad-b4c4-d9349268b5a1">Tisková zpráva CZ</NazevForm>
    <PredpisForm xmlns="8675fb2b-b414-4bad-b4c4-d9349268b5a1">Manuál značky a jednotného vizuálního stylu Českého statistického úřadu </PredpisForm>
    <Forma xmlns="8675fb2b-b414-4bad-b4c4-d9349268b5a1">
      <Value>Elektronická</Value>
    </Forma>
    <UcinnostDoForm xmlns="8675fb2b-b414-4bad-b4c4-d9349268b5a1" xsi:nil="true"/>
    <PoznForm xmlns="8675fb2b-b414-4bad-b4c4-d9349268b5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38" ma:contentTypeDescription="Vytvoří nový dokument" ma:contentTypeScope="" ma:versionID="18df8e683ab13dadfa47fd29890f93d7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4c4ef50922101213f652a489c304285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2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F44C3-014C-43FE-BE9A-5A9D1B82D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597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Dehner Jan</dc:creator>
  <cp:keywords/>
  <dc:description/>
  <cp:lastModifiedBy>JD</cp:lastModifiedBy>
  <cp:revision>27</cp:revision>
  <cp:lastPrinted>2026-06-04T06:27:00Z</cp:lastPrinted>
  <dcterms:created xsi:type="dcterms:W3CDTF">2026-05-28T06:09:00Z</dcterms:created>
  <dcterms:modified xsi:type="dcterms:W3CDTF">2026-08-06T13:28:00Z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