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DBB0" w14:textId="1834276B" w:rsidR="00702BA0" w:rsidRDefault="00702BA0">
      <w:pPr>
        <w:rPr>
          <w:rFonts w:ascii="Arial" w:hAnsi="Arial" w:cs="Arial"/>
          <w:b/>
        </w:rPr>
      </w:pPr>
      <w:r>
        <w:rPr>
          <w:rFonts w:ascii="Arial" w:hAnsi="Arial" w:cs="Arial"/>
          <w:b/>
        </w:rPr>
        <w:t>Metodické vysvětlivky – německá část</w:t>
      </w:r>
    </w:p>
    <w:p w14:paraId="67FF0DCA" w14:textId="74993832" w:rsidR="00A20666" w:rsidRPr="00D42683" w:rsidRDefault="00D42683">
      <w:pPr>
        <w:rPr>
          <w:rFonts w:ascii="Arial" w:hAnsi="Arial" w:cs="Arial"/>
          <w:b/>
        </w:rPr>
      </w:pPr>
      <w:r w:rsidRPr="00D42683">
        <w:rPr>
          <w:rFonts w:ascii="Arial" w:hAnsi="Arial" w:cs="Arial"/>
          <w:b/>
        </w:rPr>
        <w:t xml:space="preserve">Počet obyvatel </w:t>
      </w:r>
    </w:p>
    <w:p w14:paraId="2E4F538E" w14:textId="77777777" w:rsidR="00D42683" w:rsidRDefault="00D42683" w:rsidP="00D42683">
      <w:pPr>
        <w:spacing w:after="120" w:line="276" w:lineRule="auto"/>
        <w:jc w:val="both"/>
        <w:rPr>
          <w:rFonts w:ascii="Arial" w:hAnsi="Arial" w:cs="Arial"/>
          <w:sz w:val="20"/>
          <w:szCs w:val="20"/>
        </w:rPr>
      </w:pPr>
      <w:r w:rsidRPr="0060548B">
        <w:rPr>
          <w:rFonts w:ascii="Arial" w:hAnsi="Arial" w:cs="Arial"/>
          <w:sz w:val="20"/>
          <w:szCs w:val="20"/>
        </w:rPr>
        <w:t xml:space="preserve">Obyvatelé obce jsou všechny osoby, které mají v obci obvyklé bydliště. Obvyklým bydlištěm osoby je místo, kde by měla být přihlášena k jedinému nebo hlavnímu pobytu podle předpisů o evidenci obyvatel (§ 2 </w:t>
      </w:r>
      <w:proofErr w:type="spellStart"/>
      <w:r w:rsidRPr="0060548B">
        <w:rPr>
          <w:rFonts w:ascii="Arial" w:hAnsi="Arial" w:cs="Arial"/>
          <w:sz w:val="20"/>
          <w:szCs w:val="20"/>
        </w:rPr>
        <w:t>ZensG</w:t>
      </w:r>
      <w:proofErr w:type="spellEnd"/>
      <w:r w:rsidRPr="0060548B">
        <w:rPr>
          <w:rFonts w:ascii="Arial" w:hAnsi="Arial" w:cs="Arial"/>
          <w:sz w:val="20"/>
          <w:szCs w:val="20"/>
        </w:rPr>
        <w:t xml:space="preserve"> 2022). Rozhodující je stav ke dni sčítání lid</w:t>
      </w:r>
      <w:r>
        <w:rPr>
          <w:rFonts w:ascii="Arial" w:hAnsi="Arial" w:cs="Arial"/>
          <w:sz w:val="20"/>
          <w:szCs w:val="20"/>
        </w:rPr>
        <w:t>u, tedy k 15. květnu 2022</w:t>
      </w:r>
      <w:r w:rsidRPr="0060548B">
        <w:rPr>
          <w:rFonts w:ascii="Arial" w:hAnsi="Arial" w:cs="Arial"/>
          <w:sz w:val="20"/>
          <w:szCs w:val="20"/>
        </w:rPr>
        <w:t>.</w:t>
      </w:r>
    </w:p>
    <w:p w14:paraId="429D8642" w14:textId="77777777" w:rsidR="00076B55" w:rsidRDefault="00076B55" w:rsidP="00076B55">
      <w:pPr>
        <w:spacing w:after="120" w:line="276" w:lineRule="auto"/>
        <w:jc w:val="both"/>
        <w:rPr>
          <w:rFonts w:ascii="Arial" w:hAnsi="Arial" w:cs="Arial"/>
          <w:b/>
          <w:bCs/>
        </w:rPr>
      </w:pPr>
      <w:r w:rsidRPr="00076B55">
        <w:rPr>
          <w:rFonts w:ascii="Arial" w:hAnsi="Arial" w:cs="Arial"/>
          <w:b/>
          <w:bCs/>
        </w:rPr>
        <w:t>Rodinný stav</w:t>
      </w:r>
    </w:p>
    <w:p w14:paraId="41468F7A" w14:textId="77777777" w:rsidR="00076B55" w:rsidRDefault="00076B55" w:rsidP="00076B55">
      <w:pPr>
        <w:spacing w:after="120" w:line="276" w:lineRule="auto"/>
        <w:jc w:val="both"/>
        <w:rPr>
          <w:rFonts w:ascii="Arial" w:hAnsi="Arial" w:cs="Arial"/>
          <w:sz w:val="20"/>
          <w:szCs w:val="20"/>
        </w:rPr>
      </w:pPr>
      <w:r w:rsidRPr="00EA6CC6">
        <w:rPr>
          <w:rFonts w:ascii="Arial" w:hAnsi="Arial" w:cs="Arial"/>
          <w:sz w:val="20"/>
          <w:szCs w:val="20"/>
        </w:rPr>
        <w:t>Tento ukazatel udává právní rodinný stav osoby starší 15 let. Rodinný stav podle osobního práva se uvádí podle zákona o osobním stavu a zákona o registrovaném partnerství.</w:t>
      </w:r>
    </w:p>
    <w:p w14:paraId="1EE22552" w14:textId="77777777" w:rsidR="00076B55" w:rsidRDefault="00076B55" w:rsidP="00076B55">
      <w:pPr>
        <w:spacing w:after="120" w:line="276" w:lineRule="auto"/>
        <w:jc w:val="both"/>
        <w:rPr>
          <w:rFonts w:ascii="Arial" w:hAnsi="Arial" w:cs="Arial"/>
          <w:b/>
        </w:rPr>
      </w:pPr>
      <w:r w:rsidRPr="00076B55">
        <w:rPr>
          <w:rFonts w:ascii="Arial" w:hAnsi="Arial" w:cs="Arial"/>
          <w:b/>
        </w:rPr>
        <w:t>Vzdělání</w:t>
      </w:r>
    </w:p>
    <w:p w14:paraId="39EF9DC7" w14:textId="77777777" w:rsidR="00BF6AC0" w:rsidRDefault="00BF6AC0" w:rsidP="00BF6AC0">
      <w:pPr>
        <w:spacing w:after="120" w:line="276" w:lineRule="auto"/>
        <w:jc w:val="both"/>
        <w:rPr>
          <w:rFonts w:ascii="Arial" w:hAnsi="Arial" w:cs="Arial"/>
          <w:sz w:val="20"/>
          <w:szCs w:val="20"/>
        </w:rPr>
      </w:pPr>
      <w:r w:rsidRPr="00EA6CC6">
        <w:rPr>
          <w:rFonts w:ascii="Arial" w:hAnsi="Arial" w:cs="Arial"/>
          <w:sz w:val="20"/>
          <w:szCs w:val="20"/>
        </w:rPr>
        <w:t>Údaje o nejvyšším ukončeném vzdělání a odborné kvalifikaci v Německu jsou k dispozici pro osoby starší 15 let.</w:t>
      </w:r>
      <w:r>
        <w:rPr>
          <w:rFonts w:ascii="Arial" w:hAnsi="Arial" w:cs="Arial"/>
          <w:sz w:val="20"/>
          <w:szCs w:val="20"/>
        </w:rPr>
        <w:t xml:space="preserve"> </w:t>
      </w:r>
    </w:p>
    <w:p w14:paraId="3884BFEC" w14:textId="77777777" w:rsidR="00BF6AC0" w:rsidRPr="00BF6AC0" w:rsidRDefault="00BF6AC0" w:rsidP="00BF6AC0">
      <w:pPr>
        <w:spacing w:after="120" w:line="276" w:lineRule="auto"/>
        <w:jc w:val="both"/>
        <w:rPr>
          <w:rFonts w:ascii="Arial" w:hAnsi="Arial" w:cs="Arial"/>
          <w:i/>
          <w:sz w:val="20"/>
          <w:szCs w:val="20"/>
        </w:rPr>
      </w:pPr>
      <w:r w:rsidRPr="002E195A">
        <w:rPr>
          <w:rFonts w:ascii="Arial" w:hAnsi="Arial" w:cs="Arial"/>
          <w:i/>
          <w:sz w:val="20"/>
          <w:szCs w:val="20"/>
        </w:rPr>
        <w:t>Kvalifikace pro ukončení školní docházky</w:t>
      </w:r>
      <w:r>
        <w:rPr>
          <w:rFonts w:ascii="Arial" w:hAnsi="Arial" w:cs="Arial"/>
          <w:i/>
          <w:sz w:val="20"/>
          <w:szCs w:val="20"/>
        </w:rPr>
        <w:t xml:space="preserve"> – </w:t>
      </w:r>
      <w:r w:rsidRPr="00BF6AC0">
        <w:rPr>
          <w:rFonts w:ascii="Arial" w:hAnsi="Arial" w:cs="Arial"/>
          <w:sz w:val="20"/>
          <w:szCs w:val="20"/>
        </w:rPr>
        <w:t>ten</w:t>
      </w:r>
      <w:r w:rsidRPr="00EA6CC6">
        <w:rPr>
          <w:rFonts w:ascii="Arial" w:hAnsi="Arial" w:cs="Arial"/>
          <w:sz w:val="20"/>
          <w:szCs w:val="20"/>
        </w:rPr>
        <w:t>to ukazatel udává nejvyšší dosažené všeobecné vzdělání s maturitou. Nezahrnuje osoby, které byly dotazovány ve sdíleném ubytování (např. zařízení pro osoby vyžadující péči).</w:t>
      </w:r>
    </w:p>
    <w:p w14:paraId="57C39866" w14:textId="77777777" w:rsidR="00BF6AC0" w:rsidRPr="00BF6AC0" w:rsidRDefault="00BF6AC0" w:rsidP="00BF6AC0">
      <w:pPr>
        <w:spacing w:after="120" w:line="276" w:lineRule="auto"/>
        <w:jc w:val="both"/>
        <w:rPr>
          <w:rFonts w:ascii="Arial" w:hAnsi="Arial" w:cs="Arial"/>
          <w:i/>
          <w:sz w:val="20"/>
          <w:szCs w:val="20"/>
        </w:rPr>
      </w:pPr>
      <w:r w:rsidRPr="002E195A">
        <w:rPr>
          <w:rFonts w:ascii="Arial" w:hAnsi="Arial" w:cs="Arial"/>
          <w:i/>
          <w:sz w:val="20"/>
          <w:szCs w:val="20"/>
        </w:rPr>
        <w:t>Odborná kvalifikace</w:t>
      </w:r>
      <w:r>
        <w:rPr>
          <w:rFonts w:ascii="Arial" w:hAnsi="Arial" w:cs="Arial"/>
          <w:i/>
          <w:sz w:val="20"/>
          <w:szCs w:val="20"/>
        </w:rPr>
        <w:t xml:space="preserve"> – </w:t>
      </w:r>
      <w:r w:rsidRPr="00BF6AC0">
        <w:rPr>
          <w:rFonts w:ascii="Arial" w:hAnsi="Arial" w:cs="Arial"/>
          <w:sz w:val="20"/>
          <w:szCs w:val="20"/>
        </w:rPr>
        <w:t xml:space="preserve">tento </w:t>
      </w:r>
      <w:r w:rsidRPr="00EA6CC6">
        <w:rPr>
          <w:rFonts w:ascii="Arial" w:hAnsi="Arial" w:cs="Arial"/>
          <w:sz w:val="20"/>
          <w:szCs w:val="20"/>
        </w:rPr>
        <w:t>ukazatel označuje nejvyšší odbornou kvalifikaci osoby.</w:t>
      </w:r>
    </w:p>
    <w:p w14:paraId="05BA6ED4" w14:textId="77777777" w:rsidR="00BF6AC0" w:rsidRPr="00EA6CC6" w:rsidRDefault="00BF6AC0" w:rsidP="00BF6AC0">
      <w:pPr>
        <w:spacing w:after="120" w:line="276" w:lineRule="auto"/>
        <w:jc w:val="both"/>
        <w:rPr>
          <w:rFonts w:ascii="Arial" w:hAnsi="Arial" w:cs="Arial"/>
          <w:sz w:val="20"/>
          <w:szCs w:val="20"/>
        </w:rPr>
      </w:pPr>
      <w:r w:rsidRPr="00EA6CC6">
        <w:rPr>
          <w:rFonts w:ascii="Arial" w:hAnsi="Arial" w:cs="Arial"/>
          <w:sz w:val="20"/>
          <w:szCs w:val="20"/>
        </w:rPr>
        <w:t>Ukazatel „vyučení, odborné vzdělávání v duálním systému“ zahrnuje také osoby, které absolvovaly přípravnou službu pro střední státní službu ve veřejné správě. Zahrnuje také osoby narozené před rokem 1954, které absolvovaly pouze učňovské vzdělání. Kategorie „kvalifikace na odborné škole“ zahrnuje také kvalifikaci mistra řemeslníka/technika, kvalifikaci na odborné škole v bývalé NDR a kvalifikaci na dvouleté nebo tříleté škole pro zdravotnické a sociální profese, jakož i kvalifikaci na škole pro učitele mateřských škol.</w:t>
      </w:r>
    </w:p>
    <w:p w14:paraId="5C3A7276" w14:textId="77777777" w:rsidR="00BF6AC0" w:rsidRDefault="00BF6AC0" w:rsidP="00BF6AC0">
      <w:pPr>
        <w:spacing w:after="120" w:line="276" w:lineRule="auto"/>
        <w:jc w:val="both"/>
        <w:rPr>
          <w:rFonts w:ascii="Arial" w:hAnsi="Arial" w:cs="Arial"/>
          <w:sz w:val="20"/>
          <w:szCs w:val="20"/>
        </w:rPr>
      </w:pPr>
      <w:r w:rsidRPr="00EA6CC6">
        <w:rPr>
          <w:rFonts w:ascii="Arial" w:hAnsi="Arial" w:cs="Arial"/>
          <w:sz w:val="20"/>
          <w:szCs w:val="20"/>
        </w:rPr>
        <w:t>Charakteristika „bez odborné kvalifikace“ zahrnuje osoby bez odborné kvalifikace a také osoby, které absolvovaly přípravný ročník a odbornou praxi, protože ty nevedou k žádné odborné kvalifikaci. Tento ukazatel se nevyplňuje pro soubory údajů pro krátké zjišťování o domácnostech (HH-1) a krátké zjišťování o ubytovnách (WH-1) a pro oddíl zjišťování o „sdíleném ubytování“.</w:t>
      </w:r>
    </w:p>
    <w:p w14:paraId="48261D48" w14:textId="77777777" w:rsidR="00BF6AC0" w:rsidRDefault="003B38F6" w:rsidP="00BF6AC0">
      <w:pPr>
        <w:spacing w:after="120" w:line="276" w:lineRule="auto"/>
        <w:jc w:val="both"/>
        <w:rPr>
          <w:rFonts w:ascii="Arial" w:hAnsi="Arial" w:cs="Arial"/>
          <w:b/>
        </w:rPr>
      </w:pPr>
      <w:r w:rsidRPr="003B38F6">
        <w:rPr>
          <w:rFonts w:ascii="Arial" w:hAnsi="Arial" w:cs="Arial"/>
          <w:b/>
        </w:rPr>
        <w:t>Státní občanství</w:t>
      </w:r>
      <w:r w:rsidR="00AA17A9">
        <w:rPr>
          <w:rFonts w:ascii="Arial" w:hAnsi="Arial" w:cs="Arial"/>
          <w:b/>
        </w:rPr>
        <w:t>/země narození</w:t>
      </w:r>
    </w:p>
    <w:p w14:paraId="0BAA4FC1" w14:textId="77777777" w:rsidR="00AA17A9" w:rsidRDefault="00AA17A9" w:rsidP="00AA17A9">
      <w:pPr>
        <w:spacing w:after="120" w:line="276" w:lineRule="auto"/>
        <w:jc w:val="both"/>
        <w:rPr>
          <w:rFonts w:ascii="Arial" w:hAnsi="Arial" w:cs="Arial"/>
          <w:sz w:val="20"/>
          <w:szCs w:val="20"/>
        </w:rPr>
      </w:pPr>
      <w:r>
        <w:rPr>
          <w:rFonts w:ascii="Arial" w:hAnsi="Arial" w:cs="Arial"/>
          <w:sz w:val="20"/>
          <w:szCs w:val="20"/>
        </w:rPr>
        <w:t>Země narození – o</w:t>
      </w:r>
      <w:r w:rsidRPr="00B3488C">
        <w:rPr>
          <w:rFonts w:ascii="Arial" w:hAnsi="Arial" w:cs="Arial"/>
          <w:sz w:val="20"/>
          <w:szCs w:val="20"/>
        </w:rPr>
        <w:t>soby, které se narodily do 2. srpna 1945 na bývalých německých východních územích v hranicích Německa v roce 1937, se nezapočítávají jako narozené v zahraničí, ale uvádí se jim německý státní kód. Pokud se místo narození nenachází v těchto hranicích, přidělí se aktuální státní kód. Místa narození nacházející se ve státech, které byly začleněny do jiných zemí, jako je Sovětský svaz nebo Jugoslávie, se pokud možno přiřazují ke státům existujícím k příslušnému datu sčítání.</w:t>
      </w:r>
    </w:p>
    <w:p w14:paraId="246EB374" w14:textId="77777777" w:rsidR="005906EB" w:rsidRPr="005906EB" w:rsidRDefault="005906EB" w:rsidP="00AA17A9">
      <w:pPr>
        <w:spacing w:after="120" w:line="276" w:lineRule="auto"/>
        <w:jc w:val="both"/>
        <w:rPr>
          <w:rFonts w:ascii="Arial" w:hAnsi="Arial" w:cs="Arial"/>
          <w:b/>
        </w:rPr>
      </w:pPr>
      <w:r w:rsidRPr="005906EB">
        <w:rPr>
          <w:rFonts w:ascii="Arial" w:hAnsi="Arial" w:cs="Arial"/>
          <w:b/>
        </w:rPr>
        <w:t>Venkovské a městské obyvatelstvo</w:t>
      </w:r>
    </w:p>
    <w:p w14:paraId="3805EDE9" w14:textId="77777777" w:rsidR="005906EB" w:rsidRPr="00B3488C" w:rsidRDefault="005906EB" w:rsidP="005906EB">
      <w:pPr>
        <w:spacing w:after="120" w:line="276" w:lineRule="auto"/>
        <w:jc w:val="both"/>
        <w:rPr>
          <w:rFonts w:ascii="Arial" w:hAnsi="Arial" w:cs="Arial"/>
          <w:sz w:val="20"/>
          <w:szCs w:val="20"/>
        </w:rPr>
      </w:pPr>
      <w:r w:rsidRPr="00B3488C">
        <w:rPr>
          <w:rFonts w:ascii="Arial" w:hAnsi="Arial" w:cs="Arial"/>
          <w:sz w:val="20"/>
          <w:szCs w:val="20"/>
        </w:rPr>
        <w:t>Obce s městskými právy (</w:t>
      </w:r>
      <w:r>
        <w:rPr>
          <w:rFonts w:ascii="Arial" w:hAnsi="Arial" w:cs="Arial"/>
          <w:sz w:val="20"/>
          <w:szCs w:val="20"/>
        </w:rPr>
        <w:t>p</w:t>
      </w:r>
      <w:r w:rsidRPr="005906EB">
        <w:rPr>
          <w:rFonts w:ascii="Arial" w:hAnsi="Arial" w:cs="Arial"/>
          <w:sz w:val="20"/>
          <w:szCs w:val="20"/>
        </w:rPr>
        <w:t xml:space="preserve">odle § 5 odst. 2 </w:t>
      </w:r>
      <w:proofErr w:type="spellStart"/>
      <w:r w:rsidRPr="005906EB">
        <w:rPr>
          <w:rFonts w:ascii="Arial" w:hAnsi="Arial" w:cs="Arial"/>
          <w:sz w:val="20"/>
          <w:szCs w:val="20"/>
        </w:rPr>
        <w:t>SächsGemO</w:t>
      </w:r>
      <w:proofErr w:type="spellEnd"/>
      <w:r w:rsidRPr="005906EB">
        <w:rPr>
          <w:rFonts w:ascii="Arial" w:hAnsi="Arial" w:cs="Arial"/>
          <w:sz w:val="20"/>
          <w:szCs w:val="20"/>
        </w:rPr>
        <w:t xml:space="preserve"> se označení „město“ uděluje obcí</w:t>
      </w:r>
      <w:r>
        <w:rPr>
          <w:rFonts w:ascii="Arial" w:hAnsi="Arial" w:cs="Arial"/>
          <w:sz w:val="20"/>
          <w:szCs w:val="20"/>
        </w:rPr>
        <w:t xml:space="preserve">m, které mají na toto označení </w:t>
      </w:r>
      <w:r w:rsidRPr="005906EB">
        <w:rPr>
          <w:rFonts w:ascii="Arial" w:hAnsi="Arial" w:cs="Arial"/>
          <w:sz w:val="20"/>
          <w:szCs w:val="20"/>
        </w:rPr>
        <w:t xml:space="preserve">nárok v okamžiku nabytí účinnosti zákona </w:t>
      </w:r>
      <w:proofErr w:type="spellStart"/>
      <w:r w:rsidRPr="005906EB">
        <w:rPr>
          <w:rFonts w:ascii="Arial" w:hAnsi="Arial" w:cs="Arial"/>
          <w:sz w:val="20"/>
          <w:szCs w:val="20"/>
        </w:rPr>
        <w:t>SächsGemO</w:t>
      </w:r>
      <w:proofErr w:type="spellEnd"/>
      <w:r w:rsidRPr="005906EB">
        <w:rPr>
          <w:rFonts w:ascii="Arial" w:hAnsi="Arial" w:cs="Arial"/>
          <w:sz w:val="20"/>
          <w:szCs w:val="20"/>
        </w:rPr>
        <w:t>. Obcím, které mají městský charak</w:t>
      </w:r>
      <w:r>
        <w:rPr>
          <w:rFonts w:ascii="Arial" w:hAnsi="Arial" w:cs="Arial"/>
          <w:sz w:val="20"/>
          <w:szCs w:val="20"/>
        </w:rPr>
        <w:t xml:space="preserve">ter z hlediska počtu obyvatel, </w:t>
      </w:r>
      <w:r w:rsidRPr="005906EB">
        <w:rPr>
          <w:rFonts w:ascii="Arial" w:hAnsi="Arial" w:cs="Arial"/>
          <w:sz w:val="20"/>
          <w:szCs w:val="20"/>
        </w:rPr>
        <w:t>formy osídlení a kulturních a hospodářských podmínek, může</w:t>
      </w:r>
      <w:r>
        <w:rPr>
          <w:rFonts w:ascii="Arial" w:hAnsi="Arial" w:cs="Arial"/>
          <w:sz w:val="20"/>
          <w:szCs w:val="20"/>
        </w:rPr>
        <w:t xml:space="preserve"> zemská vláda na žádost udělit označení „město“</w:t>
      </w:r>
      <w:r w:rsidRPr="00B3488C">
        <w:rPr>
          <w:rFonts w:ascii="Arial" w:hAnsi="Arial" w:cs="Arial"/>
          <w:sz w:val="20"/>
          <w:szCs w:val="20"/>
        </w:rPr>
        <w:t>) jsou přiřazeny k městské oblasti. Obce bez městských práv jsou přiřazeny k venkovským oblastem.</w:t>
      </w:r>
    </w:p>
    <w:p w14:paraId="5684CBB9" w14:textId="77777777" w:rsidR="005906EB" w:rsidRDefault="005906EB" w:rsidP="005906EB">
      <w:pPr>
        <w:spacing w:after="120" w:line="276" w:lineRule="auto"/>
        <w:jc w:val="both"/>
        <w:rPr>
          <w:rFonts w:ascii="Arial" w:hAnsi="Arial" w:cs="Arial"/>
          <w:sz w:val="20"/>
          <w:szCs w:val="20"/>
        </w:rPr>
      </w:pPr>
      <w:r w:rsidRPr="00B3488C">
        <w:rPr>
          <w:rFonts w:ascii="Arial" w:hAnsi="Arial" w:cs="Arial"/>
          <w:sz w:val="20"/>
          <w:szCs w:val="20"/>
        </w:rPr>
        <w:t>Obce</w:t>
      </w:r>
      <w:r>
        <w:rPr>
          <w:rFonts w:ascii="Arial" w:hAnsi="Arial" w:cs="Arial"/>
          <w:sz w:val="20"/>
          <w:szCs w:val="20"/>
        </w:rPr>
        <w:t xml:space="preserve"> (venkovské obce)</w:t>
      </w:r>
      <w:r w:rsidRPr="00B3488C">
        <w:rPr>
          <w:rFonts w:ascii="Arial" w:hAnsi="Arial" w:cs="Arial"/>
          <w:sz w:val="20"/>
          <w:szCs w:val="20"/>
        </w:rPr>
        <w:t>: Území obce tvoří pozemky, které jí náleží podle pl</w:t>
      </w:r>
      <w:r>
        <w:rPr>
          <w:rFonts w:ascii="Arial" w:hAnsi="Arial" w:cs="Arial"/>
          <w:sz w:val="20"/>
          <w:szCs w:val="20"/>
        </w:rPr>
        <w:t xml:space="preserve">atných právních předpisů. </w:t>
      </w:r>
      <w:r w:rsidRPr="00B3488C">
        <w:rPr>
          <w:rFonts w:ascii="Arial" w:hAnsi="Arial" w:cs="Arial"/>
          <w:sz w:val="20"/>
          <w:szCs w:val="20"/>
        </w:rPr>
        <w:t>Je veřejnoprávní korporac</w:t>
      </w:r>
      <w:r>
        <w:rPr>
          <w:rFonts w:ascii="Arial" w:hAnsi="Arial" w:cs="Arial"/>
          <w:sz w:val="20"/>
          <w:szCs w:val="20"/>
        </w:rPr>
        <w:t>í s právní subjektivitou. Jedná se o o</w:t>
      </w:r>
      <w:r w:rsidRPr="00B3488C">
        <w:rPr>
          <w:rFonts w:ascii="Arial" w:hAnsi="Arial" w:cs="Arial"/>
          <w:sz w:val="20"/>
          <w:szCs w:val="20"/>
        </w:rPr>
        <w:t xml:space="preserve">bce ve smyslu </w:t>
      </w:r>
      <w:proofErr w:type="spellStart"/>
      <w:r w:rsidRPr="00B3488C">
        <w:rPr>
          <w:rFonts w:ascii="Arial" w:hAnsi="Arial" w:cs="Arial"/>
          <w:sz w:val="20"/>
          <w:szCs w:val="20"/>
        </w:rPr>
        <w:t>SächsGemO</w:t>
      </w:r>
      <w:proofErr w:type="spellEnd"/>
      <w:r w:rsidRPr="00B3488C">
        <w:rPr>
          <w:rFonts w:ascii="Arial" w:hAnsi="Arial" w:cs="Arial"/>
          <w:sz w:val="20"/>
          <w:szCs w:val="20"/>
        </w:rPr>
        <w:t xml:space="preserve"> </w:t>
      </w:r>
      <w:r>
        <w:rPr>
          <w:rFonts w:ascii="Arial" w:hAnsi="Arial" w:cs="Arial"/>
          <w:sz w:val="20"/>
          <w:szCs w:val="20"/>
        </w:rPr>
        <w:t>kromě</w:t>
      </w:r>
      <w:r w:rsidRPr="00B3488C">
        <w:rPr>
          <w:rFonts w:ascii="Arial" w:hAnsi="Arial" w:cs="Arial"/>
          <w:sz w:val="20"/>
          <w:szCs w:val="20"/>
        </w:rPr>
        <w:t xml:space="preserve"> mě</w:t>
      </w:r>
      <w:r>
        <w:rPr>
          <w:rFonts w:ascii="Arial" w:hAnsi="Arial" w:cs="Arial"/>
          <w:sz w:val="20"/>
          <w:szCs w:val="20"/>
        </w:rPr>
        <w:t>st náležejících do okresu.</w:t>
      </w:r>
      <w:r>
        <w:rPr>
          <w:rFonts w:ascii="Arial" w:hAnsi="Arial" w:cs="Arial"/>
          <w:sz w:val="20"/>
          <w:szCs w:val="20"/>
        </w:rPr>
        <w:tab/>
      </w:r>
    </w:p>
    <w:p w14:paraId="2282A28F" w14:textId="77777777" w:rsidR="005906EB" w:rsidRPr="005906EB" w:rsidRDefault="005906EB" w:rsidP="005906EB">
      <w:pPr>
        <w:spacing w:after="120" w:line="276" w:lineRule="auto"/>
        <w:jc w:val="both"/>
        <w:rPr>
          <w:rFonts w:ascii="Arial" w:hAnsi="Arial" w:cs="Arial"/>
          <w:b/>
        </w:rPr>
      </w:pPr>
      <w:r w:rsidRPr="005906EB">
        <w:rPr>
          <w:rFonts w:ascii="Arial" w:hAnsi="Arial" w:cs="Arial"/>
          <w:b/>
        </w:rPr>
        <w:t>Domácnosti</w:t>
      </w:r>
    </w:p>
    <w:p w14:paraId="2F758275" w14:textId="77777777" w:rsidR="00C11C17" w:rsidRPr="00FA4FF5" w:rsidRDefault="00C11C17" w:rsidP="00C11C17">
      <w:pPr>
        <w:spacing w:after="120" w:line="276" w:lineRule="auto"/>
        <w:jc w:val="both"/>
        <w:rPr>
          <w:rFonts w:ascii="Arial" w:hAnsi="Arial" w:cs="Arial"/>
          <w:b/>
          <w:i/>
          <w:sz w:val="20"/>
          <w:szCs w:val="20"/>
        </w:rPr>
      </w:pPr>
      <w:r w:rsidRPr="00FA4FF5">
        <w:rPr>
          <w:rFonts w:ascii="Arial" w:hAnsi="Arial" w:cs="Arial"/>
          <w:b/>
          <w:i/>
          <w:sz w:val="20"/>
          <w:szCs w:val="20"/>
        </w:rPr>
        <w:t>Domácnost</w:t>
      </w:r>
    </w:p>
    <w:p w14:paraId="4A1A8843" w14:textId="77777777" w:rsidR="00C11C17" w:rsidRPr="00FA4FF5" w:rsidRDefault="00C11C17" w:rsidP="00C11C17">
      <w:pPr>
        <w:spacing w:after="120" w:line="276" w:lineRule="auto"/>
        <w:jc w:val="both"/>
        <w:rPr>
          <w:rFonts w:ascii="Arial" w:hAnsi="Arial" w:cs="Arial"/>
          <w:sz w:val="20"/>
          <w:szCs w:val="20"/>
        </w:rPr>
      </w:pPr>
      <w:r w:rsidRPr="00FA4FF5">
        <w:rPr>
          <w:rFonts w:ascii="Arial" w:hAnsi="Arial" w:cs="Arial"/>
          <w:sz w:val="20"/>
          <w:szCs w:val="20"/>
        </w:rPr>
        <w:t xml:space="preserve">Soukromou domácnost tvoří alespoň jedna osoba. </w:t>
      </w:r>
      <w:r>
        <w:rPr>
          <w:rFonts w:ascii="Arial" w:hAnsi="Arial" w:cs="Arial"/>
          <w:sz w:val="20"/>
          <w:szCs w:val="20"/>
        </w:rPr>
        <w:t>Tato skutečnost</w:t>
      </w:r>
      <w:r w:rsidRPr="00FA4FF5">
        <w:rPr>
          <w:rFonts w:ascii="Arial" w:hAnsi="Arial" w:cs="Arial"/>
          <w:sz w:val="20"/>
          <w:szCs w:val="20"/>
        </w:rPr>
        <w:t xml:space="preserve"> je založen</w:t>
      </w:r>
      <w:r>
        <w:rPr>
          <w:rFonts w:ascii="Arial" w:hAnsi="Arial" w:cs="Arial"/>
          <w:sz w:val="20"/>
          <w:szCs w:val="20"/>
        </w:rPr>
        <w:t>a</w:t>
      </w:r>
      <w:r w:rsidRPr="00FA4FF5">
        <w:rPr>
          <w:rFonts w:ascii="Arial" w:hAnsi="Arial" w:cs="Arial"/>
          <w:sz w:val="20"/>
          <w:szCs w:val="20"/>
        </w:rPr>
        <w:t xml:space="preserve"> na „koncepci společného bydlení“: všechny osoby, které žijí společně v obydlí, bez ohledu na jejich bytový status </w:t>
      </w:r>
      <w:r w:rsidRPr="00FA4FF5">
        <w:rPr>
          <w:rFonts w:ascii="Arial" w:hAnsi="Arial" w:cs="Arial"/>
          <w:sz w:val="20"/>
          <w:szCs w:val="20"/>
        </w:rPr>
        <w:lastRenderedPageBreak/>
        <w:t xml:space="preserve">(jediné bydliště, hlavní nebo vedlejší bydliště), jsou považovány za členy téže soukromé domácnosti, takže na jedno obydlené obydlí připadá jedna soukromá domácnost. V jedné domácnosti může existovat pouze jedna </w:t>
      </w:r>
      <w:r>
        <w:rPr>
          <w:rFonts w:ascii="Arial" w:hAnsi="Arial" w:cs="Arial"/>
          <w:sz w:val="20"/>
          <w:szCs w:val="20"/>
        </w:rPr>
        <w:t>úplná</w:t>
      </w:r>
      <w:r w:rsidRPr="00FA4FF5">
        <w:rPr>
          <w:rFonts w:ascii="Arial" w:hAnsi="Arial" w:cs="Arial"/>
          <w:sz w:val="20"/>
          <w:szCs w:val="20"/>
        </w:rPr>
        <w:t xml:space="preserve"> rodina.</w:t>
      </w:r>
    </w:p>
    <w:p w14:paraId="76EA504C" w14:textId="77777777" w:rsidR="00C11C17" w:rsidRDefault="00C11C17" w:rsidP="00C11C17">
      <w:pPr>
        <w:spacing w:after="120" w:line="276" w:lineRule="auto"/>
        <w:jc w:val="both"/>
        <w:rPr>
          <w:rFonts w:ascii="Arial" w:hAnsi="Arial" w:cs="Arial"/>
          <w:sz w:val="20"/>
          <w:szCs w:val="20"/>
        </w:rPr>
      </w:pPr>
      <w:r w:rsidRPr="00FA4FF5">
        <w:rPr>
          <w:rFonts w:ascii="Arial" w:hAnsi="Arial" w:cs="Arial"/>
          <w:sz w:val="20"/>
          <w:szCs w:val="20"/>
        </w:rPr>
        <w:t xml:space="preserve">Nejsou zde zahrnuty osoby ve společném bydlení, pouze osoby, které mají vlastní </w:t>
      </w:r>
      <w:r>
        <w:rPr>
          <w:rFonts w:ascii="Arial" w:hAnsi="Arial" w:cs="Arial"/>
          <w:sz w:val="20"/>
          <w:szCs w:val="20"/>
        </w:rPr>
        <w:t>domácnost</w:t>
      </w:r>
      <w:r w:rsidRPr="00FA4FF5">
        <w:rPr>
          <w:rFonts w:ascii="Arial" w:hAnsi="Arial" w:cs="Arial"/>
          <w:sz w:val="20"/>
          <w:szCs w:val="20"/>
        </w:rPr>
        <w:t>.</w:t>
      </w:r>
    </w:p>
    <w:p w14:paraId="16176B46" w14:textId="77777777" w:rsidR="00C11C17" w:rsidRPr="00FA4FF5" w:rsidRDefault="00C11C17" w:rsidP="00C11C17">
      <w:pPr>
        <w:spacing w:after="120" w:line="276" w:lineRule="auto"/>
        <w:jc w:val="both"/>
        <w:rPr>
          <w:rFonts w:ascii="Arial" w:hAnsi="Arial" w:cs="Arial"/>
          <w:b/>
          <w:i/>
          <w:sz w:val="20"/>
          <w:szCs w:val="20"/>
        </w:rPr>
      </w:pPr>
      <w:r w:rsidRPr="00FA4FF5">
        <w:rPr>
          <w:rFonts w:ascii="Arial" w:hAnsi="Arial" w:cs="Arial"/>
          <w:b/>
          <w:i/>
          <w:sz w:val="20"/>
          <w:szCs w:val="20"/>
        </w:rPr>
        <w:t>Rodina</w:t>
      </w:r>
    </w:p>
    <w:p w14:paraId="1B7B130E" w14:textId="77777777" w:rsidR="00C11C17" w:rsidRPr="00FA4FF5" w:rsidRDefault="00C11C17" w:rsidP="00C11C17">
      <w:pPr>
        <w:spacing w:after="120" w:line="276" w:lineRule="auto"/>
        <w:jc w:val="both"/>
        <w:rPr>
          <w:rFonts w:ascii="Arial" w:hAnsi="Arial" w:cs="Arial"/>
          <w:sz w:val="20"/>
          <w:szCs w:val="20"/>
        </w:rPr>
      </w:pPr>
      <w:r w:rsidRPr="00FA4FF5">
        <w:rPr>
          <w:rFonts w:ascii="Arial" w:hAnsi="Arial" w:cs="Arial"/>
          <w:sz w:val="20"/>
          <w:szCs w:val="20"/>
        </w:rPr>
        <w:t xml:space="preserve">Rodinu tvoří dvě nebo více osob, které patří do jedné soukromé domácnosti. </w:t>
      </w:r>
      <w:r>
        <w:rPr>
          <w:rFonts w:ascii="Arial" w:hAnsi="Arial" w:cs="Arial"/>
          <w:sz w:val="20"/>
          <w:szCs w:val="20"/>
        </w:rPr>
        <w:t>Hlavní</w:t>
      </w:r>
      <w:r w:rsidRPr="00FA4FF5">
        <w:rPr>
          <w:rFonts w:ascii="Arial" w:hAnsi="Arial" w:cs="Arial"/>
          <w:sz w:val="20"/>
          <w:szCs w:val="20"/>
        </w:rPr>
        <w:t xml:space="preserve"> rodinu tvoří referenční osoba soukromé domácnosti - ústřední osoba soukromé domácnosti definovaná věkem, rodinným stavem a pohlavím - a alespoň jedna další osoba, např. partner nebo alespoň jedno dítě referenční osoby. Tento pojem rodiny je omezen na vztahy prvního stupně (mezi rodiči a dětmi). V jedné domácnosti může existovat pouze jedna </w:t>
      </w:r>
      <w:r>
        <w:rPr>
          <w:rFonts w:ascii="Arial" w:hAnsi="Arial" w:cs="Arial"/>
          <w:sz w:val="20"/>
          <w:szCs w:val="20"/>
        </w:rPr>
        <w:t>základní</w:t>
      </w:r>
      <w:r w:rsidRPr="00FA4FF5">
        <w:rPr>
          <w:rFonts w:ascii="Arial" w:hAnsi="Arial" w:cs="Arial"/>
          <w:sz w:val="20"/>
          <w:szCs w:val="20"/>
        </w:rPr>
        <w:t xml:space="preserve"> rodina. Ostatní osoby žijící v domácnosti se do </w:t>
      </w:r>
      <w:r>
        <w:rPr>
          <w:rFonts w:ascii="Arial" w:hAnsi="Arial" w:cs="Arial"/>
          <w:sz w:val="20"/>
          <w:szCs w:val="20"/>
        </w:rPr>
        <w:t xml:space="preserve">základní </w:t>
      </w:r>
      <w:r w:rsidRPr="00FA4FF5">
        <w:rPr>
          <w:rFonts w:ascii="Arial" w:hAnsi="Arial" w:cs="Arial"/>
          <w:sz w:val="20"/>
          <w:szCs w:val="20"/>
        </w:rPr>
        <w:t>rodiny nezařazují.</w:t>
      </w:r>
    </w:p>
    <w:p w14:paraId="5B96C385" w14:textId="77777777" w:rsidR="00C11C17" w:rsidRDefault="00C11C17" w:rsidP="00C11C17">
      <w:pPr>
        <w:spacing w:after="120" w:line="276" w:lineRule="auto"/>
        <w:jc w:val="both"/>
        <w:rPr>
          <w:rFonts w:ascii="Arial" w:hAnsi="Arial" w:cs="Arial"/>
          <w:sz w:val="20"/>
          <w:szCs w:val="20"/>
        </w:rPr>
      </w:pPr>
      <w:r w:rsidRPr="00FA4FF5">
        <w:rPr>
          <w:rFonts w:ascii="Arial" w:hAnsi="Arial" w:cs="Arial"/>
          <w:sz w:val="20"/>
          <w:szCs w:val="20"/>
        </w:rPr>
        <w:t xml:space="preserve">Nejsou zde zahrnuty osoby ve společném bydlení, ale pouze osoby, které mají vlastní </w:t>
      </w:r>
      <w:r>
        <w:rPr>
          <w:rFonts w:ascii="Arial" w:hAnsi="Arial" w:cs="Arial"/>
          <w:sz w:val="20"/>
          <w:szCs w:val="20"/>
        </w:rPr>
        <w:t>domácnost</w:t>
      </w:r>
      <w:r w:rsidRPr="00FA4FF5">
        <w:rPr>
          <w:rFonts w:ascii="Arial" w:hAnsi="Arial" w:cs="Arial"/>
          <w:sz w:val="20"/>
          <w:szCs w:val="20"/>
        </w:rPr>
        <w:t>.</w:t>
      </w:r>
    </w:p>
    <w:p w14:paraId="2CB39C64" w14:textId="77777777" w:rsidR="00C11C17" w:rsidRDefault="00C11C17" w:rsidP="00584362">
      <w:pPr>
        <w:spacing w:after="120" w:line="276" w:lineRule="auto"/>
        <w:jc w:val="both"/>
        <w:rPr>
          <w:rFonts w:ascii="Arial" w:hAnsi="Arial" w:cs="Arial"/>
          <w:b/>
        </w:rPr>
      </w:pPr>
      <w:r w:rsidRPr="00C11C17">
        <w:rPr>
          <w:rFonts w:ascii="Arial" w:hAnsi="Arial" w:cs="Arial"/>
          <w:b/>
        </w:rPr>
        <w:t>Domy</w:t>
      </w:r>
    </w:p>
    <w:p w14:paraId="22CDBC4A" w14:textId="77777777" w:rsidR="00977EFD" w:rsidRPr="004A36C0" w:rsidRDefault="00977EFD" w:rsidP="00977EFD">
      <w:pPr>
        <w:spacing w:after="120" w:line="276" w:lineRule="auto"/>
        <w:jc w:val="both"/>
        <w:rPr>
          <w:rFonts w:ascii="Arial" w:hAnsi="Arial" w:cs="Arial"/>
          <w:sz w:val="20"/>
          <w:szCs w:val="20"/>
        </w:rPr>
      </w:pPr>
      <w:r w:rsidRPr="004A36C0">
        <w:rPr>
          <w:rFonts w:ascii="Arial" w:hAnsi="Arial" w:cs="Arial"/>
          <w:sz w:val="20"/>
          <w:szCs w:val="20"/>
        </w:rPr>
        <w:t>Budova</w:t>
      </w:r>
      <w:r>
        <w:rPr>
          <w:rFonts w:ascii="Arial" w:hAnsi="Arial" w:cs="Arial"/>
          <w:sz w:val="20"/>
          <w:szCs w:val="20"/>
        </w:rPr>
        <w:t>/dům</w:t>
      </w:r>
      <w:r w:rsidRPr="004A36C0">
        <w:rPr>
          <w:rFonts w:ascii="Arial" w:hAnsi="Arial" w:cs="Arial"/>
          <w:sz w:val="20"/>
          <w:szCs w:val="20"/>
        </w:rPr>
        <w:t xml:space="preserve"> s obytným prostorem je každá stavba postavená na delší dobu s alespoň jedním obydlím a vlastním přístupem (vstupní dveře, schodiště). Požární stěny v rámci sousedících budov (dvojdomy, řadové domy, uzavřená bloková zástavba), které sahají od sklepa až po střechu, vždy oddělují budovy. Pokud požární stěna neexistuje, považují se spojené stavební jednotky za samostatné budovy, pokud mají vlastní přístupový systém, tj. mají vlastní vchod (vstupní dveře, schodiště) a vlastní systém zásobování a odvádění odpadních vod. Budovy s obytným prostorem jsou také administrativní a komerčně využívané budovy s alespoň jedním bytem a všechny neobydlené budovy s byty.</w:t>
      </w:r>
    </w:p>
    <w:p w14:paraId="49BD2173" w14:textId="77777777" w:rsidR="00977EFD" w:rsidRDefault="00977EFD" w:rsidP="00977EFD">
      <w:pPr>
        <w:spacing w:after="120" w:line="276" w:lineRule="auto"/>
        <w:jc w:val="both"/>
        <w:rPr>
          <w:rFonts w:ascii="Arial" w:hAnsi="Arial" w:cs="Arial"/>
          <w:sz w:val="20"/>
          <w:szCs w:val="20"/>
        </w:rPr>
      </w:pPr>
      <w:r w:rsidRPr="004A36C0">
        <w:rPr>
          <w:rFonts w:ascii="Arial" w:hAnsi="Arial" w:cs="Arial"/>
          <w:sz w:val="20"/>
          <w:szCs w:val="20"/>
        </w:rPr>
        <w:t>Obytné budovy jsou budovy, v nichž je alespoň polovina celkové podlahové plochy využívána k bydlení a které nejsou obytnými domy.</w:t>
      </w:r>
    </w:p>
    <w:p w14:paraId="77B905F3" w14:textId="77777777" w:rsidR="00977EFD" w:rsidRPr="003D5361" w:rsidRDefault="00977EFD" w:rsidP="00977EFD">
      <w:pPr>
        <w:spacing w:after="120" w:line="276" w:lineRule="auto"/>
        <w:jc w:val="both"/>
        <w:rPr>
          <w:rFonts w:ascii="Arial" w:hAnsi="Arial" w:cs="Arial"/>
          <w:sz w:val="20"/>
          <w:szCs w:val="20"/>
        </w:rPr>
      </w:pPr>
      <w:r w:rsidRPr="003D5361">
        <w:rPr>
          <w:rFonts w:ascii="Arial" w:hAnsi="Arial" w:cs="Arial"/>
          <w:sz w:val="20"/>
          <w:szCs w:val="20"/>
        </w:rPr>
        <w:t>Počet bytů určuje velikost budovy bez ohledu na typ obytného využití.</w:t>
      </w:r>
    </w:p>
    <w:p w14:paraId="10263EEE" w14:textId="77777777" w:rsidR="00977EFD" w:rsidRPr="003D5361" w:rsidRDefault="00977EFD" w:rsidP="00977EFD">
      <w:pPr>
        <w:spacing w:after="120" w:line="276" w:lineRule="auto"/>
        <w:jc w:val="both"/>
        <w:rPr>
          <w:rFonts w:ascii="Arial" w:hAnsi="Arial" w:cs="Arial"/>
          <w:b/>
          <w:i/>
          <w:sz w:val="20"/>
          <w:szCs w:val="20"/>
        </w:rPr>
      </w:pPr>
      <w:r w:rsidRPr="003D5361">
        <w:rPr>
          <w:rFonts w:ascii="Arial" w:hAnsi="Arial" w:cs="Arial"/>
          <w:b/>
          <w:i/>
          <w:sz w:val="20"/>
          <w:szCs w:val="20"/>
        </w:rPr>
        <w:t>Období výstavby</w:t>
      </w:r>
    </w:p>
    <w:p w14:paraId="2648E97C" w14:textId="77777777" w:rsidR="00977EFD" w:rsidRPr="003D5361" w:rsidRDefault="00977EFD" w:rsidP="00977EFD">
      <w:pPr>
        <w:spacing w:after="120" w:line="276" w:lineRule="auto"/>
        <w:jc w:val="both"/>
        <w:rPr>
          <w:rFonts w:ascii="Arial" w:hAnsi="Arial" w:cs="Arial"/>
          <w:sz w:val="20"/>
          <w:szCs w:val="20"/>
        </w:rPr>
      </w:pPr>
      <w:r w:rsidRPr="003D5361">
        <w:rPr>
          <w:rFonts w:ascii="Arial" w:hAnsi="Arial" w:cs="Arial"/>
          <w:sz w:val="20"/>
          <w:szCs w:val="20"/>
        </w:rPr>
        <w:t>Rok výstavby je rok, ve kterém byla budova dokončena. U zcela zničených a přestavěných budov platí rok přestavby.</w:t>
      </w:r>
    </w:p>
    <w:p w14:paraId="5631F64A" w14:textId="77777777" w:rsidR="00977EFD" w:rsidRPr="003D5361" w:rsidRDefault="00977EFD" w:rsidP="00977EFD">
      <w:pPr>
        <w:spacing w:after="120" w:line="276" w:lineRule="auto"/>
        <w:jc w:val="both"/>
        <w:rPr>
          <w:rFonts w:ascii="Arial" w:hAnsi="Arial" w:cs="Arial"/>
          <w:b/>
          <w:i/>
          <w:sz w:val="20"/>
          <w:szCs w:val="20"/>
        </w:rPr>
      </w:pPr>
      <w:r w:rsidRPr="003D5361">
        <w:rPr>
          <w:rFonts w:ascii="Arial" w:hAnsi="Arial" w:cs="Arial"/>
          <w:b/>
          <w:i/>
          <w:sz w:val="20"/>
          <w:szCs w:val="20"/>
        </w:rPr>
        <w:t>Vlastník</w:t>
      </w:r>
      <w:r>
        <w:rPr>
          <w:rFonts w:ascii="Arial" w:hAnsi="Arial" w:cs="Arial"/>
          <w:b/>
          <w:i/>
          <w:sz w:val="20"/>
          <w:szCs w:val="20"/>
        </w:rPr>
        <w:t xml:space="preserve"> budovy/bytu</w:t>
      </w:r>
    </w:p>
    <w:p w14:paraId="55C25038" w14:textId="77777777" w:rsidR="00977EFD" w:rsidRDefault="00977EFD" w:rsidP="00977EFD">
      <w:pPr>
        <w:spacing w:after="120" w:line="276" w:lineRule="auto"/>
        <w:jc w:val="both"/>
        <w:rPr>
          <w:rFonts w:ascii="Arial" w:hAnsi="Arial" w:cs="Arial"/>
          <w:sz w:val="20"/>
          <w:szCs w:val="20"/>
        </w:rPr>
      </w:pPr>
      <w:r w:rsidRPr="003D5361">
        <w:rPr>
          <w:rFonts w:ascii="Arial" w:hAnsi="Arial" w:cs="Arial"/>
          <w:sz w:val="20"/>
          <w:szCs w:val="20"/>
        </w:rPr>
        <w:t>„Vlastníci“ jsou osoby, které mají právní nárok na vlastnictví budovy nebo bytu, např. na základě zápisu v katastru nemovitostí. Vlastníci se d</w:t>
      </w:r>
      <w:r>
        <w:rPr>
          <w:rFonts w:ascii="Arial" w:hAnsi="Arial" w:cs="Arial"/>
          <w:sz w:val="20"/>
          <w:szCs w:val="20"/>
        </w:rPr>
        <w:t xml:space="preserve">ělí do následujících kategorií: Soukromá osoba/osoby, společenství vlastníků bytů, obec nebo obecní bytový podnik, soukromý bytový podnik - </w:t>
      </w:r>
      <w:r w:rsidRPr="003D5361">
        <w:rPr>
          <w:rFonts w:ascii="Arial" w:hAnsi="Arial" w:cs="Arial"/>
          <w:sz w:val="20"/>
          <w:szCs w:val="20"/>
        </w:rPr>
        <w:t>bytové družstvo</w:t>
      </w:r>
      <w:r>
        <w:rPr>
          <w:rFonts w:ascii="Arial" w:hAnsi="Arial" w:cs="Arial"/>
          <w:sz w:val="20"/>
          <w:szCs w:val="20"/>
        </w:rPr>
        <w:t>, jiný podnik soukromého sektoru, n</w:t>
      </w:r>
      <w:r w:rsidRPr="003D5361">
        <w:rPr>
          <w:rFonts w:ascii="Arial" w:hAnsi="Arial" w:cs="Arial"/>
          <w:sz w:val="20"/>
          <w:szCs w:val="20"/>
        </w:rPr>
        <w:t>ezis</w:t>
      </w:r>
      <w:r>
        <w:rPr>
          <w:rFonts w:ascii="Arial" w:hAnsi="Arial" w:cs="Arial"/>
          <w:sz w:val="20"/>
          <w:szCs w:val="20"/>
        </w:rPr>
        <w:t>ková organizace (např. církev), s</w:t>
      </w:r>
      <w:r w:rsidRPr="003D5361">
        <w:rPr>
          <w:rFonts w:ascii="Arial" w:hAnsi="Arial" w:cs="Arial"/>
          <w:sz w:val="20"/>
          <w:szCs w:val="20"/>
        </w:rPr>
        <w:t>polková vláda, stát</w:t>
      </w:r>
      <w:r>
        <w:rPr>
          <w:rFonts w:ascii="Arial" w:hAnsi="Arial" w:cs="Arial"/>
          <w:sz w:val="20"/>
          <w:szCs w:val="20"/>
        </w:rPr>
        <w:t>.</w:t>
      </w:r>
    </w:p>
    <w:p w14:paraId="52520D17" w14:textId="77777777" w:rsidR="00A97177" w:rsidRPr="00A97177" w:rsidRDefault="00A97177" w:rsidP="006507A0">
      <w:pPr>
        <w:spacing w:after="120" w:line="276" w:lineRule="auto"/>
        <w:jc w:val="both"/>
        <w:rPr>
          <w:rFonts w:ascii="Arial" w:hAnsi="Arial" w:cs="Arial"/>
          <w:b/>
        </w:rPr>
      </w:pPr>
      <w:r w:rsidRPr="00A97177">
        <w:rPr>
          <w:rFonts w:ascii="Arial" w:hAnsi="Arial" w:cs="Arial"/>
          <w:b/>
        </w:rPr>
        <w:t>Byty</w:t>
      </w:r>
    </w:p>
    <w:p w14:paraId="074CB5F7" w14:textId="77777777" w:rsidR="00A97177" w:rsidRDefault="00A97177" w:rsidP="00A97177">
      <w:pPr>
        <w:spacing w:after="120" w:line="276" w:lineRule="auto"/>
        <w:jc w:val="both"/>
        <w:rPr>
          <w:rFonts w:ascii="Arial" w:hAnsi="Arial" w:cs="Arial"/>
          <w:sz w:val="20"/>
          <w:szCs w:val="20"/>
        </w:rPr>
      </w:pPr>
      <w:r w:rsidRPr="004173D3">
        <w:rPr>
          <w:rFonts w:ascii="Arial" w:hAnsi="Arial" w:cs="Arial"/>
          <w:sz w:val="20"/>
          <w:szCs w:val="20"/>
        </w:rPr>
        <w:t xml:space="preserve">Byty mají místnosti, které jsou zvenčí uzavřené, jsou určeny k bydlení a jsou obvykle umístěny pohromadě, což umožňuje vést samostatnou domácnost. Mají vlastní vchod přímo zvenčí, ze schodiště nebo z předsíně. Součástí bytu však mohou být i sklepní nebo patrové místnosti (např. půda), které jsou zastavěny pro obytné účely a nacházejí se mimo </w:t>
      </w:r>
      <w:r>
        <w:rPr>
          <w:rFonts w:ascii="Arial" w:hAnsi="Arial" w:cs="Arial"/>
          <w:sz w:val="20"/>
          <w:szCs w:val="20"/>
        </w:rPr>
        <w:t>byt</w:t>
      </w:r>
      <w:r w:rsidRPr="004173D3">
        <w:rPr>
          <w:rFonts w:ascii="Arial" w:hAnsi="Arial" w:cs="Arial"/>
          <w:sz w:val="20"/>
          <w:szCs w:val="20"/>
        </w:rPr>
        <w:t>. Nemusí zde být kuchyň nebo kuchyňský kout.</w:t>
      </w:r>
    </w:p>
    <w:p w14:paraId="24ED877E" w14:textId="77777777" w:rsidR="00A97177" w:rsidRPr="004173D3" w:rsidRDefault="00A97177" w:rsidP="00A97177">
      <w:pPr>
        <w:spacing w:after="120" w:line="276" w:lineRule="auto"/>
        <w:jc w:val="both"/>
        <w:rPr>
          <w:rFonts w:ascii="Arial" w:hAnsi="Arial" w:cs="Arial"/>
          <w:b/>
          <w:sz w:val="20"/>
          <w:szCs w:val="20"/>
        </w:rPr>
      </w:pPr>
      <w:r w:rsidRPr="004173D3">
        <w:rPr>
          <w:rFonts w:ascii="Arial" w:hAnsi="Arial" w:cs="Arial"/>
          <w:b/>
          <w:sz w:val="20"/>
          <w:szCs w:val="20"/>
        </w:rPr>
        <w:t>Obydlené byty</w:t>
      </w:r>
    </w:p>
    <w:p w14:paraId="4773C08B" w14:textId="77777777" w:rsidR="00A97177" w:rsidRDefault="00A97177" w:rsidP="00A97177">
      <w:pPr>
        <w:spacing w:after="120" w:line="276" w:lineRule="auto"/>
        <w:jc w:val="both"/>
        <w:rPr>
          <w:rFonts w:ascii="Arial" w:hAnsi="Arial" w:cs="Arial"/>
          <w:sz w:val="20"/>
          <w:szCs w:val="20"/>
        </w:rPr>
      </w:pPr>
      <w:r w:rsidRPr="004173D3">
        <w:rPr>
          <w:rFonts w:ascii="Arial" w:hAnsi="Arial" w:cs="Arial"/>
          <w:sz w:val="20"/>
          <w:szCs w:val="20"/>
        </w:rPr>
        <w:t>Obydlené byty jsou buď obývány vla</w:t>
      </w:r>
      <w:r>
        <w:rPr>
          <w:rFonts w:ascii="Arial" w:hAnsi="Arial" w:cs="Arial"/>
          <w:sz w:val="20"/>
          <w:szCs w:val="20"/>
        </w:rPr>
        <w:t xml:space="preserve">stníkem, nebo jsou pronajímány. </w:t>
      </w:r>
      <w:r w:rsidRPr="004173D3">
        <w:rPr>
          <w:rFonts w:ascii="Arial" w:hAnsi="Arial" w:cs="Arial"/>
          <w:sz w:val="20"/>
          <w:szCs w:val="20"/>
        </w:rPr>
        <w:t>V bytech obývaných vlastníkem je alespoň jeden z nájemníků vlastníkem bytu. Kromě vlastníka moho</w:t>
      </w:r>
      <w:r>
        <w:rPr>
          <w:rFonts w:ascii="Arial" w:hAnsi="Arial" w:cs="Arial"/>
          <w:sz w:val="20"/>
          <w:szCs w:val="20"/>
        </w:rPr>
        <w:t xml:space="preserve">u v bytě bydlet i podnájemníci. </w:t>
      </w:r>
      <w:r w:rsidRPr="004173D3">
        <w:rPr>
          <w:rFonts w:ascii="Arial" w:hAnsi="Arial" w:cs="Arial"/>
          <w:sz w:val="20"/>
          <w:szCs w:val="20"/>
        </w:rPr>
        <w:t>Nájemní byty jsou byty, které jsou pronajímány k bydlení nebo jsou poskytovány bez nájemného. Patří sem také užívací práva a jiná práva k bydlení.</w:t>
      </w:r>
    </w:p>
    <w:p w14:paraId="3EAE712F" w14:textId="77777777" w:rsidR="00A97177" w:rsidRPr="004173D3" w:rsidRDefault="00A97177" w:rsidP="00A97177">
      <w:pPr>
        <w:spacing w:after="120" w:line="276" w:lineRule="auto"/>
        <w:jc w:val="both"/>
        <w:rPr>
          <w:rFonts w:ascii="Arial" w:hAnsi="Arial" w:cs="Arial"/>
          <w:b/>
          <w:sz w:val="20"/>
          <w:szCs w:val="20"/>
        </w:rPr>
      </w:pPr>
      <w:r w:rsidRPr="004173D3">
        <w:rPr>
          <w:rFonts w:ascii="Arial" w:hAnsi="Arial" w:cs="Arial"/>
          <w:b/>
          <w:sz w:val="20"/>
          <w:szCs w:val="20"/>
        </w:rPr>
        <w:t>Neobydlené byty</w:t>
      </w:r>
    </w:p>
    <w:p w14:paraId="4538E600" w14:textId="77777777" w:rsidR="00A97177" w:rsidRDefault="00A97177" w:rsidP="00A97177">
      <w:pPr>
        <w:spacing w:after="120" w:line="276" w:lineRule="auto"/>
        <w:jc w:val="both"/>
        <w:rPr>
          <w:rFonts w:ascii="Arial" w:hAnsi="Arial" w:cs="Arial"/>
          <w:sz w:val="20"/>
          <w:szCs w:val="20"/>
        </w:rPr>
      </w:pPr>
      <w:r w:rsidRPr="004173D3">
        <w:rPr>
          <w:rFonts w:ascii="Arial" w:hAnsi="Arial" w:cs="Arial"/>
          <w:sz w:val="20"/>
          <w:szCs w:val="20"/>
        </w:rPr>
        <w:t xml:space="preserve">Neobydlené byty jsou buď prázdné, nebo soukromě užívané rekreační a rekreační domy. Neobydlený byt není ke dni šetření pronajímán ani užíván vlastníkem a není ani rekreačním nebo rekreačním </w:t>
      </w:r>
      <w:r w:rsidRPr="004173D3">
        <w:rPr>
          <w:rFonts w:ascii="Arial" w:hAnsi="Arial" w:cs="Arial"/>
          <w:sz w:val="20"/>
          <w:szCs w:val="20"/>
        </w:rPr>
        <w:lastRenderedPageBreak/>
        <w:t>obydlím. Pokud se vlastník/nájemce musí dočasně přestěhovat do náhradního obydlí z důvodu rekonstrukce/modernizace - zatímco nájemní vztah trvá - obydlí se nezapočítává jako neobydlené obydlí. Soukromě užívané rekreační a rekreační byty jsou byty, ve kterých osoba trvale tráví svůj volný čas pro soukromé účely (např. o víkendech). Rekreační byty, které jsou pronajímány střídajícím se osobám, se nezapočítávají.</w:t>
      </w:r>
    </w:p>
    <w:p w14:paraId="32DC643E" w14:textId="77777777" w:rsidR="00A97177" w:rsidRPr="004173D3" w:rsidRDefault="00A97177" w:rsidP="00A97177">
      <w:pPr>
        <w:spacing w:after="120" w:line="276" w:lineRule="auto"/>
        <w:jc w:val="both"/>
        <w:rPr>
          <w:rFonts w:ascii="Arial" w:hAnsi="Arial" w:cs="Arial"/>
          <w:b/>
          <w:i/>
          <w:sz w:val="20"/>
          <w:szCs w:val="20"/>
        </w:rPr>
      </w:pPr>
      <w:r w:rsidRPr="004173D3">
        <w:rPr>
          <w:rFonts w:ascii="Arial" w:hAnsi="Arial" w:cs="Arial"/>
          <w:b/>
          <w:i/>
          <w:sz w:val="20"/>
          <w:szCs w:val="20"/>
        </w:rPr>
        <w:t>Obytná plocha</w:t>
      </w:r>
    </w:p>
    <w:p w14:paraId="4BFE7AFC" w14:textId="77777777" w:rsidR="00A97177" w:rsidRPr="004173D3" w:rsidRDefault="00A97177" w:rsidP="00A97177">
      <w:pPr>
        <w:spacing w:after="120" w:line="276" w:lineRule="auto"/>
        <w:jc w:val="both"/>
        <w:rPr>
          <w:rFonts w:ascii="Arial" w:hAnsi="Arial" w:cs="Arial"/>
          <w:sz w:val="20"/>
          <w:szCs w:val="20"/>
        </w:rPr>
      </w:pPr>
      <w:r w:rsidRPr="004173D3">
        <w:rPr>
          <w:rFonts w:ascii="Arial" w:hAnsi="Arial" w:cs="Arial"/>
          <w:sz w:val="20"/>
          <w:szCs w:val="20"/>
        </w:rPr>
        <w:t>Obytnou plochou se rozumí podlahová plocha celého bytu. Do bytu se započítávají i místnosti, které se nacházejí mimo bytu (např. půda), a také sklepní a patrové místnosti upravené k obytným účelům.</w:t>
      </w:r>
    </w:p>
    <w:p w14:paraId="7CC0F4ED" w14:textId="77777777" w:rsidR="00A97177" w:rsidRPr="004173D3" w:rsidRDefault="00A97177" w:rsidP="00A97177">
      <w:pPr>
        <w:spacing w:after="120" w:line="276" w:lineRule="auto"/>
        <w:jc w:val="both"/>
        <w:rPr>
          <w:rFonts w:ascii="Arial" w:hAnsi="Arial" w:cs="Arial"/>
          <w:b/>
          <w:i/>
          <w:sz w:val="20"/>
          <w:szCs w:val="20"/>
        </w:rPr>
      </w:pPr>
      <w:r w:rsidRPr="004173D3">
        <w:rPr>
          <w:rFonts w:ascii="Arial" w:hAnsi="Arial" w:cs="Arial"/>
          <w:b/>
          <w:i/>
          <w:sz w:val="20"/>
          <w:szCs w:val="20"/>
        </w:rPr>
        <w:t>Místnosti</w:t>
      </w:r>
    </w:p>
    <w:p w14:paraId="11813112" w14:textId="77777777" w:rsidR="00A97177" w:rsidRDefault="00A97177" w:rsidP="00A97177">
      <w:pPr>
        <w:spacing w:after="120" w:line="276" w:lineRule="auto"/>
        <w:jc w:val="both"/>
        <w:rPr>
          <w:rFonts w:ascii="Arial" w:hAnsi="Arial" w:cs="Arial"/>
          <w:sz w:val="20"/>
          <w:szCs w:val="20"/>
        </w:rPr>
      </w:pPr>
      <w:r w:rsidRPr="004173D3">
        <w:rPr>
          <w:rFonts w:ascii="Arial" w:hAnsi="Arial" w:cs="Arial"/>
          <w:sz w:val="20"/>
          <w:szCs w:val="20"/>
        </w:rPr>
        <w:t>Do počtu místností se započítávají všechny obytné místnosti, jídelny, ložnice a další samostatné místnosti (např. obytné sklepní a etážové místnosti) o velikosti nejméně 6 m², jakož i samostatné kuchyně bez ohledu na jejich velikost. Koupelny, toalety, chodby a technické místnosti se obecně nezapočítávají.</w:t>
      </w:r>
    </w:p>
    <w:p w14:paraId="24443484" w14:textId="77777777" w:rsidR="00A97177" w:rsidRPr="003D5361" w:rsidRDefault="00A97177" w:rsidP="00A97177">
      <w:pPr>
        <w:spacing w:after="120" w:line="276" w:lineRule="auto"/>
        <w:jc w:val="both"/>
        <w:rPr>
          <w:rFonts w:ascii="Arial" w:hAnsi="Arial" w:cs="Arial"/>
          <w:b/>
          <w:i/>
          <w:sz w:val="20"/>
          <w:szCs w:val="20"/>
        </w:rPr>
      </w:pPr>
      <w:r w:rsidRPr="003D5361">
        <w:rPr>
          <w:rFonts w:ascii="Arial" w:hAnsi="Arial" w:cs="Arial"/>
          <w:b/>
          <w:i/>
          <w:sz w:val="20"/>
          <w:szCs w:val="20"/>
        </w:rPr>
        <w:t>Vlastník</w:t>
      </w:r>
      <w:r>
        <w:rPr>
          <w:rFonts w:ascii="Arial" w:hAnsi="Arial" w:cs="Arial"/>
          <w:b/>
          <w:i/>
          <w:sz w:val="20"/>
          <w:szCs w:val="20"/>
        </w:rPr>
        <w:t xml:space="preserve"> bytu</w:t>
      </w:r>
    </w:p>
    <w:p w14:paraId="679F6F89" w14:textId="77777777" w:rsidR="00A97177" w:rsidRDefault="00A97177" w:rsidP="00A97177">
      <w:pPr>
        <w:spacing w:after="120" w:line="276" w:lineRule="auto"/>
        <w:jc w:val="both"/>
        <w:rPr>
          <w:rFonts w:ascii="Arial" w:hAnsi="Arial" w:cs="Arial"/>
          <w:sz w:val="20"/>
          <w:szCs w:val="20"/>
        </w:rPr>
      </w:pPr>
      <w:r w:rsidRPr="003D5361">
        <w:rPr>
          <w:rFonts w:ascii="Arial" w:hAnsi="Arial" w:cs="Arial"/>
          <w:sz w:val="20"/>
          <w:szCs w:val="20"/>
        </w:rPr>
        <w:t>„Vlastníci“ jsou osoby, které mají právní nárok na vlastnictví budovy nebo bytu, např. na základě zápisu v katastru nemovitostí. Vlastníci se d</w:t>
      </w:r>
      <w:r>
        <w:rPr>
          <w:rFonts w:ascii="Arial" w:hAnsi="Arial" w:cs="Arial"/>
          <w:sz w:val="20"/>
          <w:szCs w:val="20"/>
        </w:rPr>
        <w:t xml:space="preserve">ělí do následujících kategorií: Soukromá osoba/osoby, společenství vlastníků bytů, obec nebo obecní bytový podnik, soukromý bytový podnik - </w:t>
      </w:r>
      <w:r w:rsidRPr="003D5361">
        <w:rPr>
          <w:rFonts w:ascii="Arial" w:hAnsi="Arial" w:cs="Arial"/>
          <w:sz w:val="20"/>
          <w:szCs w:val="20"/>
        </w:rPr>
        <w:t>bytové družstvo</w:t>
      </w:r>
      <w:r>
        <w:rPr>
          <w:rFonts w:ascii="Arial" w:hAnsi="Arial" w:cs="Arial"/>
          <w:sz w:val="20"/>
          <w:szCs w:val="20"/>
        </w:rPr>
        <w:t>, jiný podnik soukromého sektoru, n</w:t>
      </w:r>
      <w:r w:rsidRPr="003D5361">
        <w:rPr>
          <w:rFonts w:ascii="Arial" w:hAnsi="Arial" w:cs="Arial"/>
          <w:sz w:val="20"/>
          <w:szCs w:val="20"/>
        </w:rPr>
        <w:t>ezis</w:t>
      </w:r>
      <w:r>
        <w:rPr>
          <w:rFonts w:ascii="Arial" w:hAnsi="Arial" w:cs="Arial"/>
          <w:sz w:val="20"/>
          <w:szCs w:val="20"/>
        </w:rPr>
        <w:t>ková organizace (např. církev), s</w:t>
      </w:r>
      <w:r w:rsidRPr="003D5361">
        <w:rPr>
          <w:rFonts w:ascii="Arial" w:hAnsi="Arial" w:cs="Arial"/>
          <w:sz w:val="20"/>
          <w:szCs w:val="20"/>
        </w:rPr>
        <w:t>polková vláda, stát</w:t>
      </w:r>
      <w:r>
        <w:rPr>
          <w:rFonts w:ascii="Arial" w:hAnsi="Arial" w:cs="Arial"/>
          <w:sz w:val="20"/>
          <w:szCs w:val="20"/>
        </w:rPr>
        <w:t>.</w:t>
      </w:r>
    </w:p>
    <w:p w14:paraId="6A86D4D3" w14:textId="77777777" w:rsidR="00A97177" w:rsidRPr="004173D3" w:rsidRDefault="00A97177" w:rsidP="00A97177">
      <w:pPr>
        <w:spacing w:after="120" w:line="276" w:lineRule="auto"/>
        <w:jc w:val="both"/>
        <w:rPr>
          <w:rFonts w:ascii="Arial" w:hAnsi="Arial" w:cs="Arial"/>
          <w:b/>
          <w:i/>
          <w:sz w:val="20"/>
          <w:szCs w:val="20"/>
        </w:rPr>
      </w:pPr>
      <w:r w:rsidRPr="004173D3">
        <w:rPr>
          <w:rFonts w:ascii="Arial" w:hAnsi="Arial" w:cs="Arial"/>
          <w:b/>
          <w:i/>
          <w:sz w:val="20"/>
          <w:szCs w:val="20"/>
        </w:rPr>
        <w:t>Typ vytápění</w:t>
      </w:r>
    </w:p>
    <w:p w14:paraId="519F9EBC" w14:textId="77777777" w:rsidR="00A97177" w:rsidRPr="004173D3" w:rsidRDefault="00A97177" w:rsidP="00A97177">
      <w:pPr>
        <w:spacing w:after="120" w:line="276" w:lineRule="auto"/>
        <w:jc w:val="both"/>
        <w:rPr>
          <w:rFonts w:ascii="Arial" w:hAnsi="Arial" w:cs="Arial"/>
          <w:sz w:val="20"/>
          <w:szCs w:val="20"/>
        </w:rPr>
      </w:pPr>
      <w:r>
        <w:rPr>
          <w:rFonts w:ascii="Arial" w:hAnsi="Arial" w:cs="Arial"/>
          <w:sz w:val="20"/>
          <w:szCs w:val="20"/>
        </w:rPr>
        <w:t xml:space="preserve">Rozhodující je </w:t>
      </w:r>
      <w:r w:rsidRPr="004173D3">
        <w:rPr>
          <w:rFonts w:ascii="Arial" w:hAnsi="Arial" w:cs="Arial"/>
          <w:sz w:val="20"/>
          <w:szCs w:val="20"/>
        </w:rPr>
        <w:t>typ vytápění, který se používá k vytápění většiny obytných prostor v budově. Byly zjišťo</w:t>
      </w:r>
      <w:r>
        <w:rPr>
          <w:rFonts w:ascii="Arial" w:hAnsi="Arial" w:cs="Arial"/>
          <w:sz w:val="20"/>
          <w:szCs w:val="20"/>
        </w:rPr>
        <w:t>vány následující typy vytápění: dálkové, blokové, ústřední, podlahové vytápění a kamna pro jeden a více pokojů.</w:t>
      </w:r>
    </w:p>
    <w:p w14:paraId="73996457" w14:textId="77777777" w:rsidR="00A97177" w:rsidRDefault="00A97177" w:rsidP="00A97177">
      <w:pPr>
        <w:spacing w:after="120" w:line="276" w:lineRule="auto"/>
        <w:jc w:val="both"/>
        <w:rPr>
          <w:rFonts w:ascii="Arial" w:hAnsi="Arial" w:cs="Arial"/>
          <w:sz w:val="20"/>
          <w:szCs w:val="20"/>
        </w:rPr>
      </w:pPr>
      <w:r w:rsidRPr="001443C3">
        <w:rPr>
          <w:rFonts w:ascii="Arial" w:hAnsi="Arial" w:cs="Arial"/>
          <w:sz w:val="20"/>
          <w:szCs w:val="20"/>
        </w:rPr>
        <w:t>U pasivních domů jsou systémy rekuperace tepla/regulovaného větrání považovány za „vytápění“ a musí být odpovídajícím způsobem přiřazeny (obvykle ústřední vytápění).</w:t>
      </w:r>
    </w:p>
    <w:p w14:paraId="5EAB59D6" w14:textId="77777777" w:rsidR="00A97177" w:rsidRPr="001443C3" w:rsidRDefault="00A97177" w:rsidP="00A97177">
      <w:pPr>
        <w:spacing w:after="120" w:line="276" w:lineRule="auto"/>
        <w:jc w:val="both"/>
        <w:rPr>
          <w:rFonts w:ascii="Arial" w:hAnsi="Arial" w:cs="Arial"/>
          <w:b/>
          <w:i/>
          <w:sz w:val="20"/>
          <w:szCs w:val="20"/>
        </w:rPr>
      </w:pPr>
      <w:r w:rsidRPr="001443C3">
        <w:rPr>
          <w:rFonts w:ascii="Arial" w:hAnsi="Arial" w:cs="Arial"/>
          <w:b/>
          <w:i/>
          <w:sz w:val="20"/>
          <w:szCs w:val="20"/>
        </w:rPr>
        <w:t>Zdroj energie</w:t>
      </w:r>
    </w:p>
    <w:p w14:paraId="6EA246DF" w14:textId="77777777" w:rsidR="00A97177" w:rsidRDefault="00A97177" w:rsidP="00A97177">
      <w:pPr>
        <w:spacing w:after="120" w:line="276" w:lineRule="auto"/>
        <w:jc w:val="both"/>
        <w:rPr>
          <w:rFonts w:ascii="Arial" w:hAnsi="Arial" w:cs="Arial"/>
          <w:sz w:val="20"/>
          <w:szCs w:val="20"/>
        </w:rPr>
      </w:pPr>
      <w:r w:rsidRPr="001443C3">
        <w:rPr>
          <w:rFonts w:ascii="Arial" w:hAnsi="Arial" w:cs="Arial"/>
          <w:sz w:val="20"/>
          <w:szCs w:val="20"/>
        </w:rPr>
        <w:t xml:space="preserve">Zdroj energie používaný k vytápění je ten, který vytápí většinu obytného prostoru v budově. Byly </w:t>
      </w:r>
      <w:r>
        <w:rPr>
          <w:rFonts w:ascii="Arial" w:hAnsi="Arial" w:cs="Arial"/>
          <w:sz w:val="20"/>
          <w:szCs w:val="20"/>
        </w:rPr>
        <w:t xml:space="preserve">sledovány tyto zdroje energie: </w:t>
      </w:r>
      <w:r w:rsidRPr="001443C3">
        <w:rPr>
          <w:rFonts w:ascii="Arial" w:hAnsi="Arial" w:cs="Arial"/>
          <w:sz w:val="20"/>
          <w:szCs w:val="20"/>
        </w:rPr>
        <w:t>plyn</w:t>
      </w:r>
      <w:r>
        <w:rPr>
          <w:rFonts w:ascii="Arial" w:hAnsi="Arial" w:cs="Arial"/>
          <w:sz w:val="20"/>
          <w:szCs w:val="20"/>
        </w:rPr>
        <w:t>, topný olej, dřevo/dřevěné pelety, biomasa (bez dřeva), bioplyn, solární/geotermální energie, teplo z prostředí, teplo z odpadního vzduchu, elektřina (bez tepelného čerpadla), uhlí.</w:t>
      </w:r>
    </w:p>
    <w:sectPr w:rsidR="00A97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F2A"/>
    <w:multiLevelType w:val="hybridMultilevel"/>
    <w:tmpl w:val="9056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166EF"/>
    <w:multiLevelType w:val="hybridMultilevel"/>
    <w:tmpl w:val="7FE4E9FA"/>
    <w:lvl w:ilvl="0" w:tplc="04050001">
      <w:start w:val="1"/>
      <w:numFmt w:val="bullet"/>
      <w:lvlText w:val=""/>
      <w:lvlJc w:val="left"/>
      <w:pPr>
        <w:ind w:left="720" w:hanging="360"/>
      </w:pPr>
      <w:rPr>
        <w:rFonts w:ascii="Symbol" w:hAnsi="Symbol" w:hint="default"/>
      </w:rPr>
    </w:lvl>
    <w:lvl w:ilvl="1" w:tplc="BC8A7466">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8862E7"/>
    <w:multiLevelType w:val="hybridMultilevel"/>
    <w:tmpl w:val="B3541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B467FA"/>
    <w:multiLevelType w:val="hybridMultilevel"/>
    <w:tmpl w:val="627CB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F372D3"/>
    <w:multiLevelType w:val="hybridMultilevel"/>
    <w:tmpl w:val="637AD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032A0F"/>
    <w:multiLevelType w:val="hybridMultilevel"/>
    <w:tmpl w:val="0FC69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281143"/>
    <w:multiLevelType w:val="hybridMultilevel"/>
    <w:tmpl w:val="7FE87452"/>
    <w:lvl w:ilvl="0" w:tplc="A69E68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D4326E"/>
    <w:multiLevelType w:val="hybridMultilevel"/>
    <w:tmpl w:val="4B568D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8F47CD"/>
    <w:multiLevelType w:val="multilevel"/>
    <w:tmpl w:val="73DE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062DE"/>
    <w:multiLevelType w:val="multilevel"/>
    <w:tmpl w:val="782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852019">
    <w:abstractNumId w:val="7"/>
  </w:num>
  <w:num w:numId="2" w16cid:durableId="586035932">
    <w:abstractNumId w:val="3"/>
  </w:num>
  <w:num w:numId="3" w16cid:durableId="1907644080">
    <w:abstractNumId w:val="6"/>
  </w:num>
  <w:num w:numId="4" w16cid:durableId="1696999819">
    <w:abstractNumId w:val="5"/>
  </w:num>
  <w:num w:numId="5" w16cid:durableId="2105570137">
    <w:abstractNumId w:val="1"/>
  </w:num>
  <w:num w:numId="6" w16cid:durableId="670379576">
    <w:abstractNumId w:val="8"/>
  </w:num>
  <w:num w:numId="7" w16cid:durableId="325986373">
    <w:abstractNumId w:val="9"/>
  </w:num>
  <w:num w:numId="8" w16cid:durableId="884633638">
    <w:abstractNumId w:val="4"/>
  </w:num>
  <w:num w:numId="9" w16cid:durableId="766847427">
    <w:abstractNumId w:val="0"/>
  </w:num>
  <w:num w:numId="10" w16cid:durableId="711223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83"/>
    <w:rsid w:val="00076B55"/>
    <w:rsid w:val="000B3AC7"/>
    <w:rsid w:val="000B68CB"/>
    <w:rsid w:val="00100002"/>
    <w:rsid w:val="00162BD6"/>
    <w:rsid w:val="003B38F6"/>
    <w:rsid w:val="00401883"/>
    <w:rsid w:val="00493BB5"/>
    <w:rsid w:val="004D77C7"/>
    <w:rsid w:val="004E6D48"/>
    <w:rsid w:val="00580A4F"/>
    <w:rsid w:val="00584362"/>
    <w:rsid w:val="005906EB"/>
    <w:rsid w:val="006507A0"/>
    <w:rsid w:val="006D6561"/>
    <w:rsid w:val="00702BA0"/>
    <w:rsid w:val="00977EFD"/>
    <w:rsid w:val="00A20666"/>
    <w:rsid w:val="00A55B2C"/>
    <w:rsid w:val="00A97177"/>
    <w:rsid w:val="00AA17A9"/>
    <w:rsid w:val="00BF6AC0"/>
    <w:rsid w:val="00C11C17"/>
    <w:rsid w:val="00C611D6"/>
    <w:rsid w:val="00D42683"/>
    <w:rsid w:val="00E442B7"/>
    <w:rsid w:val="00E51515"/>
    <w:rsid w:val="00F32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692B"/>
  <w15:chartTrackingRefBased/>
  <w15:docId w15:val="{21ACA852-BAC4-4387-843A-F77B0A4A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2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1252</Words>
  <Characters>7390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Koťátková Hana</dc:creator>
  <cp:keywords/>
  <dc:description/>
  <cp:lastModifiedBy>Koťátková Hana</cp:lastModifiedBy>
  <cp:revision>3</cp:revision>
  <dcterms:created xsi:type="dcterms:W3CDTF">2025-12-05T13:38:00Z</dcterms:created>
  <dcterms:modified xsi:type="dcterms:W3CDTF">2025-12-05T13:44:00Z</dcterms:modified>
</cp:coreProperties>
</file>