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5E" w:rsidRPr="003D4943" w:rsidRDefault="00AF165E" w:rsidP="00595C7A">
      <w:pPr>
        <w:pStyle w:val="Nadpis1"/>
        <w:spacing w:line="360" w:lineRule="auto"/>
        <w:jc w:val="center"/>
        <w:rPr>
          <w:rFonts w:ascii="Arial" w:hAnsi="Arial" w:cs="Arial"/>
        </w:rPr>
      </w:pPr>
      <w:bookmarkStart w:id="0" w:name="_Toc403372669"/>
      <w:proofErr w:type="spellStart"/>
      <w:r w:rsidRPr="003D4943">
        <w:rPr>
          <w:rFonts w:ascii="Arial" w:hAnsi="Arial" w:cs="Arial"/>
        </w:rPr>
        <w:t>Multikriteriální</w:t>
      </w:r>
      <w:proofErr w:type="spellEnd"/>
      <w:r w:rsidRPr="003D4943">
        <w:rPr>
          <w:rFonts w:ascii="Arial" w:hAnsi="Arial" w:cs="Arial"/>
        </w:rPr>
        <w:t xml:space="preserve"> srovnání </w:t>
      </w:r>
      <w:r w:rsidR="00595C7A">
        <w:rPr>
          <w:rFonts w:ascii="Arial" w:hAnsi="Arial" w:cs="Arial"/>
        </w:rPr>
        <w:t>správních obvodů obcí s rozšířenou působností</w:t>
      </w:r>
      <w:r w:rsidRPr="003D4943">
        <w:rPr>
          <w:rFonts w:ascii="Arial" w:hAnsi="Arial" w:cs="Arial"/>
        </w:rPr>
        <w:t xml:space="preserve"> Jihočeského kraje</w:t>
      </w:r>
      <w:bookmarkEnd w:id="0"/>
    </w:p>
    <w:p w:rsidR="00C60209" w:rsidRDefault="00C60209" w:rsidP="00C60209">
      <w:pPr>
        <w:spacing w:before="0"/>
        <w:ind w:left="720"/>
        <w:jc w:val="left"/>
        <w:rPr>
          <w:rFonts w:cs="Arial"/>
          <w:sz w:val="22"/>
        </w:rPr>
      </w:pPr>
    </w:p>
    <w:p w:rsidR="001400EA" w:rsidRDefault="001400EA" w:rsidP="001400EA">
      <w:pPr>
        <w:pStyle w:val="Obsah1"/>
        <w:tabs>
          <w:tab w:val="right" w:leader="dot" w:pos="9630"/>
        </w:tabs>
        <w:ind w:left="200"/>
        <w:rPr>
          <w:rFonts w:cs="Arial"/>
          <w:szCs w:val="20"/>
        </w:rPr>
      </w:pPr>
    </w:p>
    <w:p w:rsidR="001400EA" w:rsidRDefault="001400EA" w:rsidP="001400EA">
      <w:pPr>
        <w:pStyle w:val="Obsah1"/>
        <w:tabs>
          <w:tab w:val="right" w:leader="dot" w:pos="9630"/>
        </w:tabs>
        <w:ind w:left="200"/>
        <w:rPr>
          <w:rFonts w:cs="Arial"/>
          <w:szCs w:val="20"/>
        </w:rPr>
      </w:pPr>
    </w:p>
    <w:p w:rsidR="001400EA" w:rsidRDefault="001400EA" w:rsidP="001400EA">
      <w:pPr>
        <w:pStyle w:val="Obsah1"/>
        <w:tabs>
          <w:tab w:val="right" w:leader="dot" w:pos="9630"/>
        </w:tabs>
        <w:ind w:left="200"/>
        <w:rPr>
          <w:rFonts w:cs="Arial"/>
          <w:szCs w:val="20"/>
        </w:rPr>
      </w:pPr>
    </w:p>
    <w:p w:rsidR="00113E61" w:rsidRDefault="003D4943" w:rsidP="001400EA">
      <w:pPr>
        <w:pStyle w:val="Obsah1"/>
        <w:tabs>
          <w:tab w:val="right" w:leader="dot" w:pos="9630"/>
        </w:tabs>
        <w:ind w:left="200"/>
        <w:rPr>
          <w:rFonts w:asciiTheme="minorHAnsi" w:eastAsiaTheme="minorEastAsia" w:hAnsiTheme="minorHAnsi" w:cstheme="minorBidi"/>
          <w:noProof/>
          <w:sz w:val="22"/>
          <w:szCs w:val="22"/>
        </w:rPr>
      </w:pPr>
      <w:r>
        <w:rPr>
          <w:rFonts w:cs="Arial"/>
          <w:szCs w:val="20"/>
        </w:rPr>
        <w:t>O b s a h</w:t>
      </w:r>
      <w:r w:rsidR="008F570F">
        <w:rPr>
          <w:rFonts w:cs="Arial"/>
          <w:szCs w:val="20"/>
        </w:rPr>
        <w:fldChar w:fldCharType="begin"/>
      </w:r>
      <w:r w:rsidR="00113E61">
        <w:rPr>
          <w:rFonts w:cs="Arial"/>
          <w:szCs w:val="20"/>
        </w:rPr>
        <w:instrText xml:space="preserve"> TOC \o "1-3" \h \z \t "StylORP;4;Stylhodnoceni;4" </w:instrText>
      </w:r>
      <w:r w:rsidR="008F570F">
        <w:rPr>
          <w:rFonts w:cs="Arial"/>
          <w:szCs w:val="20"/>
        </w:rPr>
        <w:fldChar w:fldCharType="separate"/>
      </w:r>
    </w:p>
    <w:p w:rsidR="00113E61" w:rsidRDefault="008F570F" w:rsidP="001400EA">
      <w:pPr>
        <w:pStyle w:val="Obsah2"/>
        <w:tabs>
          <w:tab w:val="left" w:pos="600"/>
          <w:tab w:val="right" w:leader="dot" w:pos="9630"/>
        </w:tabs>
        <w:ind w:left="400"/>
        <w:rPr>
          <w:rFonts w:asciiTheme="minorHAnsi" w:eastAsiaTheme="minorEastAsia" w:hAnsiTheme="minorHAnsi" w:cstheme="minorBidi"/>
          <w:noProof/>
          <w:sz w:val="22"/>
          <w:szCs w:val="22"/>
        </w:rPr>
      </w:pPr>
      <w:hyperlink w:anchor="_Toc403372670" w:history="1">
        <w:r w:rsidR="00113E61" w:rsidRPr="002A2F2D">
          <w:rPr>
            <w:rStyle w:val="Hypertextovodkaz"/>
            <w:rFonts w:eastAsiaTheme="majorEastAsia"/>
            <w:noProof/>
          </w:rPr>
          <w:t>1.</w:t>
        </w:r>
        <w:r w:rsidR="00113E61">
          <w:rPr>
            <w:rFonts w:asciiTheme="minorHAnsi" w:eastAsiaTheme="minorEastAsia" w:hAnsiTheme="minorHAnsi" w:cstheme="minorBidi"/>
            <w:noProof/>
            <w:sz w:val="22"/>
            <w:szCs w:val="22"/>
          </w:rPr>
          <w:tab/>
        </w:r>
        <w:r w:rsidR="00113E61" w:rsidRPr="002A2F2D">
          <w:rPr>
            <w:rStyle w:val="Hypertextovodkaz"/>
            <w:rFonts w:eastAsiaTheme="majorEastAsia"/>
            <w:noProof/>
          </w:rPr>
          <w:t>Analyzované oblasti, výběr a váha ukazatelů</w:t>
        </w:r>
        <w:r w:rsidR="00113E61">
          <w:rPr>
            <w:noProof/>
            <w:webHidden/>
          </w:rPr>
          <w:tab/>
        </w:r>
        <w:r>
          <w:rPr>
            <w:noProof/>
            <w:webHidden/>
          </w:rPr>
          <w:fldChar w:fldCharType="begin"/>
        </w:r>
        <w:r w:rsidR="00113E61">
          <w:rPr>
            <w:noProof/>
            <w:webHidden/>
          </w:rPr>
          <w:instrText xml:space="preserve"> PAGEREF _Toc403372670 \h </w:instrText>
        </w:r>
        <w:r>
          <w:rPr>
            <w:noProof/>
            <w:webHidden/>
          </w:rPr>
        </w:r>
        <w:r>
          <w:rPr>
            <w:noProof/>
            <w:webHidden/>
          </w:rPr>
          <w:fldChar w:fldCharType="separate"/>
        </w:r>
        <w:r w:rsidR="005A393D">
          <w:rPr>
            <w:noProof/>
            <w:webHidden/>
          </w:rPr>
          <w:t>2</w:t>
        </w:r>
        <w:r>
          <w:rPr>
            <w:noProof/>
            <w:webHidden/>
          </w:rPr>
          <w:fldChar w:fldCharType="end"/>
        </w:r>
      </w:hyperlink>
    </w:p>
    <w:p w:rsidR="00113E61" w:rsidRDefault="008F570F" w:rsidP="001400EA">
      <w:pPr>
        <w:pStyle w:val="Obsah2"/>
        <w:tabs>
          <w:tab w:val="left" w:pos="600"/>
          <w:tab w:val="right" w:leader="dot" w:pos="9630"/>
        </w:tabs>
        <w:ind w:left="400"/>
        <w:rPr>
          <w:rFonts w:asciiTheme="minorHAnsi" w:eastAsiaTheme="minorEastAsia" w:hAnsiTheme="minorHAnsi" w:cstheme="minorBidi"/>
          <w:noProof/>
          <w:sz w:val="22"/>
          <w:szCs w:val="22"/>
        </w:rPr>
      </w:pPr>
      <w:hyperlink w:anchor="_Toc403372671" w:history="1">
        <w:r w:rsidR="00113E61" w:rsidRPr="002A2F2D">
          <w:rPr>
            <w:rStyle w:val="Hypertextovodkaz"/>
            <w:rFonts w:eastAsiaTheme="majorEastAsia"/>
            <w:noProof/>
          </w:rPr>
          <w:t>2.</w:t>
        </w:r>
        <w:r w:rsidR="00113E61">
          <w:rPr>
            <w:rFonts w:asciiTheme="minorHAnsi" w:eastAsiaTheme="minorEastAsia" w:hAnsiTheme="minorHAnsi" w:cstheme="minorBidi"/>
            <w:noProof/>
            <w:sz w:val="22"/>
            <w:szCs w:val="22"/>
          </w:rPr>
          <w:tab/>
        </w:r>
        <w:r w:rsidR="00113E61" w:rsidRPr="002A2F2D">
          <w:rPr>
            <w:rStyle w:val="Hypertextovodkaz"/>
            <w:rFonts w:eastAsiaTheme="majorEastAsia"/>
            <w:noProof/>
          </w:rPr>
          <w:t>Popis indikátorů</w:t>
        </w:r>
        <w:r w:rsidR="00113E61">
          <w:rPr>
            <w:noProof/>
            <w:webHidden/>
          </w:rPr>
          <w:tab/>
        </w:r>
        <w:r>
          <w:rPr>
            <w:noProof/>
            <w:webHidden/>
          </w:rPr>
          <w:fldChar w:fldCharType="begin"/>
        </w:r>
        <w:r w:rsidR="00113E61">
          <w:rPr>
            <w:noProof/>
            <w:webHidden/>
          </w:rPr>
          <w:instrText xml:space="preserve"> PAGEREF _Toc403372671 \h </w:instrText>
        </w:r>
        <w:r>
          <w:rPr>
            <w:noProof/>
            <w:webHidden/>
          </w:rPr>
        </w:r>
        <w:r>
          <w:rPr>
            <w:noProof/>
            <w:webHidden/>
          </w:rPr>
          <w:fldChar w:fldCharType="separate"/>
        </w:r>
        <w:r w:rsidR="005A393D">
          <w:rPr>
            <w:noProof/>
            <w:webHidden/>
          </w:rPr>
          <w:t>2</w:t>
        </w:r>
        <w:r>
          <w:rPr>
            <w:noProof/>
            <w:webHidden/>
          </w:rPr>
          <w:fldChar w:fldCharType="end"/>
        </w:r>
      </w:hyperlink>
    </w:p>
    <w:p w:rsidR="00113E61" w:rsidRDefault="008F570F" w:rsidP="001400EA">
      <w:pPr>
        <w:pStyle w:val="Obsah2"/>
        <w:tabs>
          <w:tab w:val="left" w:pos="600"/>
          <w:tab w:val="right" w:leader="dot" w:pos="9630"/>
        </w:tabs>
        <w:ind w:left="400"/>
        <w:rPr>
          <w:rFonts w:asciiTheme="minorHAnsi" w:eastAsiaTheme="minorEastAsia" w:hAnsiTheme="minorHAnsi" w:cstheme="minorBidi"/>
          <w:noProof/>
          <w:sz w:val="22"/>
          <w:szCs w:val="22"/>
        </w:rPr>
      </w:pPr>
      <w:hyperlink w:anchor="_Toc403372691" w:history="1">
        <w:r w:rsidR="00113E61" w:rsidRPr="002A2F2D">
          <w:rPr>
            <w:rStyle w:val="Hypertextovodkaz"/>
            <w:rFonts w:eastAsiaTheme="majorEastAsia"/>
            <w:noProof/>
          </w:rPr>
          <w:t>3.</w:t>
        </w:r>
        <w:r w:rsidR="00113E61">
          <w:rPr>
            <w:rFonts w:asciiTheme="minorHAnsi" w:eastAsiaTheme="minorEastAsia" w:hAnsiTheme="minorHAnsi" w:cstheme="minorBidi"/>
            <w:noProof/>
            <w:sz w:val="22"/>
            <w:szCs w:val="22"/>
          </w:rPr>
          <w:tab/>
        </w:r>
        <w:r w:rsidR="00113E61" w:rsidRPr="002A2F2D">
          <w:rPr>
            <w:rStyle w:val="Hypertextovodkaz"/>
            <w:rFonts w:eastAsiaTheme="majorEastAsia"/>
            <w:noProof/>
          </w:rPr>
          <w:t>Způsob výpočtu</w:t>
        </w:r>
        <w:r w:rsidR="00113E61">
          <w:rPr>
            <w:noProof/>
            <w:webHidden/>
          </w:rPr>
          <w:tab/>
        </w:r>
        <w:r>
          <w:rPr>
            <w:noProof/>
            <w:webHidden/>
          </w:rPr>
          <w:fldChar w:fldCharType="begin"/>
        </w:r>
        <w:r w:rsidR="00113E61">
          <w:rPr>
            <w:noProof/>
            <w:webHidden/>
          </w:rPr>
          <w:instrText xml:space="preserve"> PAGEREF _Toc403372691 \h </w:instrText>
        </w:r>
        <w:r>
          <w:rPr>
            <w:noProof/>
            <w:webHidden/>
          </w:rPr>
        </w:r>
        <w:r>
          <w:rPr>
            <w:noProof/>
            <w:webHidden/>
          </w:rPr>
          <w:fldChar w:fldCharType="separate"/>
        </w:r>
        <w:r w:rsidR="005A393D">
          <w:rPr>
            <w:noProof/>
            <w:webHidden/>
          </w:rPr>
          <w:t>6</w:t>
        </w:r>
        <w:r>
          <w:rPr>
            <w:noProof/>
            <w:webHidden/>
          </w:rPr>
          <w:fldChar w:fldCharType="end"/>
        </w:r>
      </w:hyperlink>
    </w:p>
    <w:p w:rsidR="00113E61" w:rsidRDefault="008F570F" w:rsidP="001400EA">
      <w:pPr>
        <w:pStyle w:val="Obsah2"/>
        <w:tabs>
          <w:tab w:val="left" w:pos="600"/>
          <w:tab w:val="right" w:leader="dot" w:pos="9630"/>
        </w:tabs>
        <w:ind w:left="400"/>
        <w:rPr>
          <w:rFonts w:asciiTheme="minorHAnsi" w:eastAsiaTheme="minorEastAsia" w:hAnsiTheme="minorHAnsi" w:cstheme="minorBidi"/>
          <w:noProof/>
          <w:sz w:val="22"/>
          <w:szCs w:val="22"/>
        </w:rPr>
      </w:pPr>
      <w:hyperlink w:anchor="_Toc403372692" w:history="1">
        <w:r w:rsidR="00113E61" w:rsidRPr="002A2F2D">
          <w:rPr>
            <w:rStyle w:val="Hypertextovodkaz"/>
            <w:rFonts w:eastAsiaTheme="majorEastAsia"/>
            <w:noProof/>
          </w:rPr>
          <w:t>4.</w:t>
        </w:r>
        <w:r w:rsidR="00113E61">
          <w:rPr>
            <w:rFonts w:asciiTheme="minorHAnsi" w:eastAsiaTheme="minorEastAsia" w:hAnsiTheme="minorHAnsi" w:cstheme="minorBidi"/>
            <w:noProof/>
            <w:sz w:val="22"/>
            <w:szCs w:val="22"/>
          </w:rPr>
          <w:tab/>
        </w:r>
        <w:r w:rsidR="00113E61" w:rsidRPr="002A2F2D">
          <w:rPr>
            <w:rStyle w:val="Hypertextovodkaz"/>
            <w:rFonts w:eastAsiaTheme="majorEastAsia"/>
            <w:noProof/>
          </w:rPr>
          <w:t>Interpretace výsledků</w:t>
        </w:r>
        <w:r w:rsidR="00113E61">
          <w:rPr>
            <w:noProof/>
            <w:webHidden/>
          </w:rPr>
          <w:tab/>
        </w:r>
        <w:r>
          <w:rPr>
            <w:noProof/>
            <w:webHidden/>
          </w:rPr>
          <w:fldChar w:fldCharType="begin"/>
        </w:r>
        <w:r w:rsidR="00113E61">
          <w:rPr>
            <w:noProof/>
            <w:webHidden/>
          </w:rPr>
          <w:instrText xml:space="preserve"> PAGEREF _Toc403372692 \h </w:instrText>
        </w:r>
        <w:r>
          <w:rPr>
            <w:noProof/>
            <w:webHidden/>
          </w:rPr>
        </w:r>
        <w:r>
          <w:rPr>
            <w:noProof/>
            <w:webHidden/>
          </w:rPr>
          <w:fldChar w:fldCharType="separate"/>
        </w:r>
        <w:r w:rsidR="005A393D">
          <w:rPr>
            <w:noProof/>
            <w:webHidden/>
          </w:rPr>
          <w:t>6</w:t>
        </w:r>
        <w:r>
          <w:rPr>
            <w:noProof/>
            <w:webHidden/>
          </w:rPr>
          <w:fldChar w:fldCharType="end"/>
        </w:r>
      </w:hyperlink>
    </w:p>
    <w:p w:rsidR="00113E61" w:rsidRDefault="008F570F" w:rsidP="001400EA">
      <w:pPr>
        <w:pStyle w:val="Obsah2"/>
        <w:tabs>
          <w:tab w:val="left" w:pos="600"/>
          <w:tab w:val="right" w:leader="dot" w:pos="9630"/>
        </w:tabs>
        <w:ind w:left="400"/>
        <w:rPr>
          <w:rFonts w:asciiTheme="minorHAnsi" w:eastAsiaTheme="minorEastAsia" w:hAnsiTheme="minorHAnsi" w:cstheme="minorBidi"/>
          <w:noProof/>
          <w:sz w:val="22"/>
          <w:szCs w:val="22"/>
        </w:rPr>
      </w:pPr>
      <w:hyperlink w:anchor="_Toc403372693" w:history="1">
        <w:r w:rsidR="00113E61" w:rsidRPr="002A2F2D">
          <w:rPr>
            <w:rStyle w:val="Hypertextovodkaz"/>
            <w:rFonts w:eastAsiaTheme="majorEastAsia"/>
            <w:noProof/>
          </w:rPr>
          <w:t>5.</w:t>
        </w:r>
        <w:r w:rsidR="00113E61">
          <w:rPr>
            <w:rFonts w:asciiTheme="minorHAnsi" w:eastAsiaTheme="minorEastAsia" w:hAnsiTheme="minorHAnsi" w:cstheme="minorBidi"/>
            <w:noProof/>
            <w:sz w:val="22"/>
            <w:szCs w:val="22"/>
          </w:rPr>
          <w:tab/>
        </w:r>
        <w:r w:rsidR="00113E61" w:rsidRPr="002A2F2D">
          <w:rPr>
            <w:rStyle w:val="Hypertextovodkaz"/>
            <w:rFonts w:eastAsiaTheme="majorEastAsia"/>
            <w:noProof/>
          </w:rPr>
          <w:t>Postavení jednotlivých SO ORP</w:t>
        </w:r>
        <w:r w:rsidR="00113E61">
          <w:rPr>
            <w:noProof/>
            <w:webHidden/>
          </w:rPr>
          <w:tab/>
        </w:r>
        <w:r>
          <w:rPr>
            <w:noProof/>
            <w:webHidden/>
          </w:rPr>
          <w:fldChar w:fldCharType="begin"/>
        </w:r>
        <w:r w:rsidR="00113E61">
          <w:rPr>
            <w:noProof/>
            <w:webHidden/>
          </w:rPr>
          <w:instrText xml:space="preserve"> PAGEREF _Toc403372693 \h </w:instrText>
        </w:r>
        <w:r>
          <w:rPr>
            <w:noProof/>
            <w:webHidden/>
          </w:rPr>
        </w:r>
        <w:r>
          <w:rPr>
            <w:noProof/>
            <w:webHidden/>
          </w:rPr>
          <w:fldChar w:fldCharType="separate"/>
        </w:r>
        <w:r w:rsidR="005A393D">
          <w:rPr>
            <w:noProof/>
            <w:webHidden/>
          </w:rPr>
          <w:t>7</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694" w:history="1">
        <w:r w:rsidR="00113E61" w:rsidRPr="002A2F2D">
          <w:rPr>
            <w:rStyle w:val="Hypertextovodkaz"/>
            <w:rFonts w:eastAsiaTheme="majorEastAsia"/>
            <w:noProof/>
          </w:rPr>
          <w:t>SO ORP Blatná</w:t>
        </w:r>
        <w:r w:rsidR="00113E61">
          <w:rPr>
            <w:noProof/>
            <w:webHidden/>
          </w:rPr>
          <w:tab/>
        </w:r>
        <w:r>
          <w:rPr>
            <w:noProof/>
            <w:webHidden/>
          </w:rPr>
          <w:fldChar w:fldCharType="begin"/>
        </w:r>
        <w:r w:rsidR="00113E61">
          <w:rPr>
            <w:noProof/>
            <w:webHidden/>
          </w:rPr>
          <w:instrText xml:space="preserve"> PAGEREF _Toc403372694 \h </w:instrText>
        </w:r>
        <w:r>
          <w:rPr>
            <w:noProof/>
            <w:webHidden/>
          </w:rPr>
        </w:r>
        <w:r>
          <w:rPr>
            <w:noProof/>
            <w:webHidden/>
          </w:rPr>
          <w:fldChar w:fldCharType="separate"/>
        </w:r>
        <w:r w:rsidR="005A393D">
          <w:rPr>
            <w:noProof/>
            <w:webHidden/>
          </w:rPr>
          <w:t>7</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695" w:history="1">
        <w:r w:rsidR="00113E61" w:rsidRPr="002A2F2D">
          <w:rPr>
            <w:rStyle w:val="Hypertextovodkaz"/>
            <w:rFonts w:eastAsiaTheme="majorEastAsia"/>
            <w:noProof/>
          </w:rPr>
          <w:t>SO ORP České Budějovice</w:t>
        </w:r>
        <w:r w:rsidR="00113E61">
          <w:rPr>
            <w:noProof/>
            <w:webHidden/>
          </w:rPr>
          <w:tab/>
        </w:r>
        <w:r>
          <w:rPr>
            <w:noProof/>
            <w:webHidden/>
          </w:rPr>
          <w:fldChar w:fldCharType="begin"/>
        </w:r>
        <w:r w:rsidR="00113E61">
          <w:rPr>
            <w:noProof/>
            <w:webHidden/>
          </w:rPr>
          <w:instrText xml:space="preserve"> PAGEREF _Toc403372695 \h </w:instrText>
        </w:r>
        <w:r>
          <w:rPr>
            <w:noProof/>
            <w:webHidden/>
          </w:rPr>
        </w:r>
        <w:r>
          <w:rPr>
            <w:noProof/>
            <w:webHidden/>
          </w:rPr>
          <w:fldChar w:fldCharType="separate"/>
        </w:r>
        <w:r w:rsidR="005A393D">
          <w:rPr>
            <w:noProof/>
            <w:webHidden/>
          </w:rPr>
          <w:t>7</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696" w:history="1">
        <w:r w:rsidR="00113E61" w:rsidRPr="002A2F2D">
          <w:rPr>
            <w:rStyle w:val="Hypertextovodkaz"/>
            <w:rFonts w:eastAsiaTheme="majorEastAsia"/>
            <w:noProof/>
          </w:rPr>
          <w:t>SO ORP Český Krumlov</w:t>
        </w:r>
        <w:r w:rsidR="00113E61">
          <w:rPr>
            <w:noProof/>
            <w:webHidden/>
          </w:rPr>
          <w:tab/>
        </w:r>
        <w:r>
          <w:rPr>
            <w:noProof/>
            <w:webHidden/>
          </w:rPr>
          <w:fldChar w:fldCharType="begin"/>
        </w:r>
        <w:r w:rsidR="00113E61">
          <w:rPr>
            <w:noProof/>
            <w:webHidden/>
          </w:rPr>
          <w:instrText xml:space="preserve"> PAGEREF _Toc403372696 \h </w:instrText>
        </w:r>
        <w:r>
          <w:rPr>
            <w:noProof/>
            <w:webHidden/>
          </w:rPr>
        </w:r>
        <w:r>
          <w:rPr>
            <w:noProof/>
            <w:webHidden/>
          </w:rPr>
          <w:fldChar w:fldCharType="separate"/>
        </w:r>
        <w:r w:rsidR="005A393D">
          <w:rPr>
            <w:noProof/>
            <w:webHidden/>
          </w:rPr>
          <w:t>7</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697" w:history="1">
        <w:r w:rsidR="00113E61" w:rsidRPr="002A2F2D">
          <w:rPr>
            <w:rStyle w:val="Hypertextovodkaz"/>
            <w:rFonts w:eastAsiaTheme="majorEastAsia"/>
            <w:noProof/>
          </w:rPr>
          <w:t>SO ORP Dačice</w:t>
        </w:r>
        <w:r w:rsidR="00113E61">
          <w:rPr>
            <w:noProof/>
            <w:webHidden/>
          </w:rPr>
          <w:tab/>
        </w:r>
        <w:r>
          <w:rPr>
            <w:noProof/>
            <w:webHidden/>
          </w:rPr>
          <w:fldChar w:fldCharType="begin"/>
        </w:r>
        <w:r w:rsidR="00113E61">
          <w:rPr>
            <w:noProof/>
            <w:webHidden/>
          </w:rPr>
          <w:instrText xml:space="preserve"> PAGEREF _Toc403372697 \h </w:instrText>
        </w:r>
        <w:r>
          <w:rPr>
            <w:noProof/>
            <w:webHidden/>
          </w:rPr>
        </w:r>
        <w:r>
          <w:rPr>
            <w:noProof/>
            <w:webHidden/>
          </w:rPr>
          <w:fldChar w:fldCharType="separate"/>
        </w:r>
        <w:r w:rsidR="005A393D">
          <w:rPr>
            <w:noProof/>
            <w:webHidden/>
          </w:rPr>
          <w:t>7</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698" w:history="1">
        <w:r w:rsidR="00113E61" w:rsidRPr="002A2F2D">
          <w:rPr>
            <w:rStyle w:val="Hypertextovodkaz"/>
            <w:rFonts w:eastAsiaTheme="majorEastAsia"/>
            <w:noProof/>
          </w:rPr>
          <w:t>SO ORP Jindřichův Hradec</w:t>
        </w:r>
        <w:r w:rsidR="00113E61">
          <w:rPr>
            <w:noProof/>
            <w:webHidden/>
          </w:rPr>
          <w:tab/>
        </w:r>
        <w:r>
          <w:rPr>
            <w:noProof/>
            <w:webHidden/>
          </w:rPr>
          <w:fldChar w:fldCharType="begin"/>
        </w:r>
        <w:r w:rsidR="00113E61">
          <w:rPr>
            <w:noProof/>
            <w:webHidden/>
          </w:rPr>
          <w:instrText xml:space="preserve"> PAGEREF _Toc403372698 \h </w:instrText>
        </w:r>
        <w:r>
          <w:rPr>
            <w:noProof/>
            <w:webHidden/>
          </w:rPr>
        </w:r>
        <w:r>
          <w:rPr>
            <w:noProof/>
            <w:webHidden/>
          </w:rPr>
          <w:fldChar w:fldCharType="separate"/>
        </w:r>
        <w:r w:rsidR="005A393D">
          <w:rPr>
            <w:noProof/>
            <w:webHidden/>
          </w:rPr>
          <w:t>8</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699" w:history="1">
        <w:r w:rsidR="00113E61" w:rsidRPr="002A2F2D">
          <w:rPr>
            <w:rStyle w:val="Hypertextovodkaz"/>
            <w:rFonts w:eastAsiaTheme="majorEastAsia"/>
            <w:noProof/>
          </w:rPr>
          <w:t>SO ORP Kaplice</w:t>
        </w:r>
        <w:r w:rsidR="00113E61">
          <w:rPr>
            <w:noProof/>
            <w:webHidden/>
          </w:rPr>
          <w:tab/>
        </w:r>
        <w:r>
          <w:rPr>
            <w:noProof/>
            <w:webHidden/>
          </w:rPr>
          <w:fldChar w:fldCharType="begin"/>
        </w:r>
        <w:r w:rsidR="00113E61">
          <w:rPr>
            <w:noProof/>
            <w:webHidden/>
          </w:rPr>
          <w:instrText xml:space="preserve"> PAGEREF _Toc403372699 \h </w:instrText>
        </w:r>
        <w:r>
          <w:rPr>
            <w:noProof/>
            <w:webHidden/>
          </w:rPr>
        </w:r>
        <w:r>
          <w:rPr>
            <w:noProof/>
            <w:webHidden/>
          </w:rPr>
          <w:fldChar w:fldCharType="separate"/>
        </w:r>
        <w:r w:rsidR="005A393D">
          <w:rPr>
            <w:noProof/>
            <w:webHidden/>
          </w:rPr>
          <w:t>8</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0" w:history="1">
        <w:r w:rsidR="00113E61" w:rsidRPr="002A2F2D">
          <w:rPr>
            <w:rStyle w:val="Hypertextovodkaz"/>
            <w:rFonts w:eastAsiaTheme="majorEastAsia"/>
            <w:noProof/>
          </w:rPr>
          <w:t>SO ORP Milevsko</w:t>
        </w:r>
        <w:r w:rsidR="00113E61">
          <w:rPr>
            <w:noProof/>
            <w:webHidden/>
          </w:rPr>
          <w:tab/>
        </w:r>
        <w:r>
          <w:rPr>
            <w:noProof/>
            <w:webHidden/>
          </w:rPr>
          <w:fldChar w:fldCharType="begin"/>
        </w:r>
        <w:r w:rsidR="00113E61">
          <w:rPr>
            <w:noProof/>
            <w:webHidden/>
          </w:rPr>
          <w:instrText xml:space="preserve"> PAGEREF _Toc403372700 \h </w:instrText>
        </w:r>
        <w:r>
          <w:rPr>
            <w:noProof/>
            <w:webHidden/>
          </w:rPr>
        </w:r>
        <w:r>
          <w:rPr>
            <w:noProof/>
            <w:webHidden/>
          </w:rPr>
          <w:fldChar w:fldCharType="separate"/>
        </w:r>
        <w:r w:rsidR="005A393D">
          <w:rPr>
            <w:noProof/>
            <w:webHidden/>
          </w:rPr>
          <w:t>8</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1" w:history="1">
        <w:r w:rsidR="00113E61" w:rsidRPr="002A2F2D">
          <w:rPr>
            <w:rStyle w:val="Hypertextovodkaz"/>
            <w:rFonts w:eastAsiaTheme="majorEastAsia"/>
            <w:noProof/>
          </w:rPr>
          <w:t>SO ORP Písek</w:t>
        </w:r>
        <w:r w:rsidR="00113E61">
          <w:rPr>
            <w:noProof/>
            <w:webHidden/>
          </w:rPr>
          <w:tab/>
        </w:r>
        <w:r>
          <w:rPr>
            <w:noProof/>
            <w:webHidden/>
          </w:rPr>
          <w:fldChar w:fldCharType="begin"/>
        </w:r>
        <w:r w:rsidR="00113E61">
          <w:rPr>
            <w:noProof/>
            <w:webHidden/>
          </w:rPr>
          <w:instrText xml:space="preserve"> PAGEREF _Toc403372701 \h </w:instrText>
        </w:r>
        <w:r>
          <w:rPr>
            <w:noProof/>
            <w:webHidden/>
          </w:rPr>
        </w:r>
        <w:r>
          <w:rPr>
            <w:noProof/>
            <w:webHidden/>
          </w:rPr>
          <w:fldChar w:fldCharType="separate"/>
        </w:r>
        <w:r w:rsidR="005A393D">
          <w:rPr>
            <w:noProof/>
            <w:webHidden/>
          </w:rPr>
          <w:t>9</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2" w:history="1">
        <w:r w:rsidR="00113E61" w:rsidRPr="002A2F2D">
          <w:rPr>
            <w:rStyle w:val="Hypertextovodkaz"/>
            <w:rFonts w:eastAsiaTheme="majorEastAsia"/>
            <w:noProof/>
          </w:rPr>
          <w:t>SO ORP Prachatice</w:t>
        </w:r>
        <w:r w:rsidR="00113E61">
          <w:rPr>
            <w:noProof/>
            <w:webHidden/>
          </w:rPr>
          <w:tab/>
        </w:r>
        <w:r>
          <w:rPr>
            <w:noProof/>
            <w:webHidden/>
          </w:rPr>
          <w:fldChar w:fldCharType="begin"/>
        </w:r>
        <w:r w:rsidR="00113E61">
          <w:rPr>
            <w:noProof/>
            <w:webHidden/>
          </w:rPr>
          <w:instrText xml:space="preserve"> PAGEREF _Toc403372702 \h </w:instrText>
        </w:r>
        <w:r>
          <w:rPr>
            <w:noProof/>
            <w:webHidden/>
          </w:rPr>
        </w:r>
        <w:r>
          <w:rPr>
            <w:noProof/>
            <w:webHidden/>
          </w:rPr>
          <w:fldChar w:fldCharType="separate"/>
        </w:r>
        <w:r w:rsidR="005A393D">
          <w:rPr>
            <w:noProof/>
            <w:webHidden/>
          </w:rPr>
          <w:t>9</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3" w:history="1">
        <w:r w:rsidR="00113E61" w:rsidRPr="002A2F2D">
          <w:rPr>
            <w:rStyle w:val="Hypertextovodkaz"/>
            <w:rFonts w:eastAsiaTheme="majorEastAsia"/>
            <w:noProof/>
          </w:rPr>
          <w:t>SO ORP Soběslav</w:t>
        </w:r>
        <w:r w:rsidR="00113E61">
          <w:rPr>
            <w:noProof/>
            <w:webHidden/>
          </w:rPr>
          <w:tab/>
        </w:r>
        <w:r>
          <w:rPr>
            <w:noProof/>
            <w:webHidden/>
          </w:rPr>
          <w:fldChar w:fldCharType="begin"/>
        </w:r>
        <w:r w:rsidR="00113E61">
          <w:rPr>
            <w:noProof/>
            <w:webHidden/>
          </w:rPr>
          <w:instrText xml:space="preserve"> PAGEREF _Toc403372703 \h </w:instrText>
        </w:r>
        <w:r>
          <w:rPr>
            <w:noProof/>
            <w:webHidden/>
          </w:rPr>
        </w:r>
        <w:r>
          <w:rPr>
            <w:noProof/>
            <w:webHidden/>
          </w:rPr>
          <w:fldChar w:fldCharType="separate"/>
        </w:r>
        <w:r w:rsidR="005A393D">
          <w:rPr>
            <w:noProof/>
            <w:webHidden/>
          </w:rPr>
          <w:t>9</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4" w:history="1">
        <w:r w:rsidR="00113E61" w:rsidRPr="002A2F2D">
          <w:rPr>
            <w:rStyle w:val="Hypertextovodkaz"/>
            <w:rFonts w:eastAsiaTheme="majorEastAsia"/>
            <w:noProof/>
          </w:rPr>
          <w:t>SO ORP Strakonice</w:t>
        </w:r>
        <w:r w:rsidR="00113E61">
          <w:rPr>
            <w:noProof/>
            <w:webHidden/>
          </w:rPr>
          <w:tab/>
        </w:r>
        <w:r>
          <w:rPr>
            <w:noProof/>
            <w:webHidden/>
          </w:rPr>
          <w:fldChar w:fldCharType="begin"/>
        </w:r>
        <w:r w:rsidR="00113E61">
          <w:rPr>
            <w:noProof/>
            <w:webHidden/>
          </w:rPr>
          <w:instrText xml:space="preserve"> PAGEREF _Toc403372704 \h </w:instrText>
        </w:r>
        <w:r>
          <w:rPr>
            <w:noProof/>
            <w:webHidden/>
          </w:rPr>
        </w:r>
        <w:r>
          <w:rPr>
            <w:noProof/>
            <w:webHidden/>
          </w:rPr>
          <w:fldChar w:fldCharType="separate"/>
        </w:r>
        <w:r w:rsidR="005A393D">
          <w:rPr>
            <w:noProof/>
            <w:webHidden/>
          </w:rPr>
          <w:t>9</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5" w:history="1">
        <w:r w:rsidR="00113E61" w:rsidRPr="002A2F2D">
          <w:rPr>
            <w:rStyle w:val="Hypertextovodkaz"/>
            <w:rFonts w:eastAsiaTheme="majorEastAsia"/>
            <w:noProof/>
          </w:rPr>
          <w:t>SO ORP Tábor</w:t>
        </w:r>
        <w:r w:rsidR="00113E61">
          <w:rPr>
            <w:noProof/>
            <w:webHidden/>
          </w:rPr>
          <w:tab/>
        </w:r>
        <w:r>
          <w:rPr>
            <w:noProof/>
            <w:webHidden/>
          </w:rPr>
          <w:fldChar w:fldCharType="begin"/>
        </w:r>
        <w:r w:rsidR="00113E61">
          <w:rPr>
            <w:noProof/>
            <w:webHidden/>
          </w:rPr>
          <w:instrText xml:space="preserve"> PAGEREF _Toc403372705 \h </w:instrText>
        </w:r>
        <w:r>
          <w:rPr>
            <w:noProof/>
            <w:webHidden/>
          </w:rPr>
        </w:r>
        <w:r>
          <w:rPr>
            <w:noProof/>
            <w:webHidden/>
          </w:rPr>
          <w:fldChar w:fldCharType="separate"/>
        </w:r>
        <w:r w:rsidR="005A393D">
          <w:rPr>
            <w:noProof/>
            <w:webHidden/>
          </w:rPr>
          <w:t>10</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6" w:history="1">
        <w:r w:rsidR="00113E61" w:rsidRPr="002A2F2D">
          <w:rPr>
            <w:rStyle w:val="Hypertextovodkaz"/>
            <w:rFonts w:eastAsiaTheme="majorEastAsia"/>
            <w:noProof/>
          </w:rPr>
          <w:t>SO ORP Trhové Sviny</w:t>
        </w:r>
        <w:r w:rsidR="00113E61">
          <w:rPr>
            <w:noProof/>
            <w:webHidden/>
          </w:rPr>
          <w:tab/>
        </w:r>
        <w:r>
          <w:rPr>
            <w:noProof/>
            <w:webHidden/>
          </w:rPr>
          <w:fldChar w:fldCharType="begin"/>
        </w:r>
        <w:r w:rsidR="00113E61">
          <w:rPr>
            <w:noProof/>
            <w:webHidden/>
          </w:rPr>
          <w:instrText xml:space="preserve"> PAGEREF _Toc403372706 \h </w:instrText>
        </w:r>
        <w:r>
          <w:rPr>
            <w:noProof/>
            <w:webHidden/>
          </w:rPr>
        </w:r>
        <w:r>
          <w:rPr>
            <w:noProof/>
            <w:webHidden/>
          </w:rPr>
          <w:fldChar w:fldCharType="separate"/>
        </w:r>
        <w:r w:rsidR="005A393D">
          <w:rPr>
            <w:noProof/>
            <w:webHidden/>
          </w:rPr>
          <w:t>10</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7" w:history="1">
        <w:r w:rsidR="00113E61" w:rsidRPr="002A2F2D">
          <w:rPr>
            <w:rStyle w:val="Hypertextovodkaz"/>
            <w:rFonts w:eastAsiaTheme="majorEastAsia"/>
            <w:noProof/>
          </w:rPr>
          <w:t>SO ORP Třeboň</w:t>
        </w:r>
        <w:r w:rsidR="00113E61">
          <w:rPr>
            <w:noProof/>
            <w:webHidden/>
          </w:rPr>
          <w:tab/>
        </w:r>
        <w:r>
          <w:rPr>
            <w:noProof/>
            <w:webHidden/>
          </w:rPr>
          <w:fldChar w:fldCharType="begin"/>
        </w:r>
        <w:r w:rsidR="00113E61">
          <w:rPr>
            <w:noProof/>
            <w:webHidden/>
          </w:rPr>
          <w:instrText xml:space="preserve"> PAGEREF _Toc403372707 \h </w:instrText>
        </w:r>
        <w:r>
          <w:rPr>
            <w:noProof/>
            <w:webHidden/>
          </w:rPr>
        </w:r>
        <w:r>
          <w:rPr>
            <w:noProof/>
            <w:webHidden/>
          </w:rPr>
          <w:fldChar w:fldCharType="separate"/>
        </w:r>
        <w:r w:rsidR="005A393D">
          <w:rPr>
            <w:noProof/>
            <w:webHidden/>
          </w:rPr>
          <w:t>10</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8" w:history="1">
        <w:r w:rsidR="00113E61" w:rsidRPr="002A2F2D">
          <w:rPr>
            <w:rStyle w:val="Hypertextovodkaz"/>
            <w:rFonts w:eastAsiaTheme="majorEastAsia"/>
            <w:noProof/>
          </w:rPr>
          <w:t>SO ORP Týn nad Vltavou</w:t>
        </w:r>
        <w:r w:rsidR="00113E61">
          <w:rPr>
            <w:noProof/>
            <w:webHidden/>
          </w:rPr>
          <w:tab/>
        </w:r>
        <w:r>
          <w:rPr>
            <w:noProof/>
            <w:webHidden/>
          </w:rPr>
          <w:fldChar w:fldCharType="begin"/>
        </w:r>
        <w:r w:rsidR="00113E61">
          <w:rPr>
            <w:noProof/>
            <w:webHidden/>
          </w:rPr>
          <w:instrText xml:space="preserve"> PAGEREF _Toc403372708 \h </w:instrText>
        </w:r>
        <w:r>
          <w:rPr>
            <w:noProof/>
            <w:webHidden/>
          </w:rPr>
        </w:r>
        <w:r>
          <w:rPr>
            <w:noProof/>
            <w:webHidden/>
          </w:rPr>
          <w:fldChar w:fldCharType="separate"/>
        </w:r>
        <w:r w:rsidR="005A393D">
          <w:rPr>
            <w:noProof/>
            <w:webHidden/>
          </w:rPr>
          <w:t>11</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09" w:history="1">
        <w:r w:rsidR="00113E61" w:rsidRPr="002A2F2D">
          <w:rPr>
            <w:rStyle w:val="Hypertextovodkaz"/>
            <w:rFonts w:eastAsiaTheme="majorEastAsia"/>
            <w:noProof/>
          </w:rPr>
          <w:t>SO ORP Vimperk</w:t>
        </w:r>
        <w:r w:rsidR="00113E61">
          <w:rPr>
            <w:noProof/>
            <w:webHidden/>
          </w:rPr>
          <w:tab/>
        </w:r>
        <w:r>
          <w:rPr>
            <w:noProof/>
            <w:webHidden/>
          </w:rPr>
          <w:fldChar w:fldCharType="begin"/>
        </w:r>
        <w:r w:rsidR="00113E61">
          <w:rPr>
            <w:noProof/>
            <w:webHidden/>
          </w:rPr>
          <w:instrText xml:space="preserve"> PAGEREF _Toc403372709 \h </w:instrText>
        </w:r>
        <w:r>
          <w:rPr>
            <w:noProof/>
            <w:webHidden/>
          </w:rPr>
        </w:r>
        <w:r>
          <w:rPr>
            <w:noProof/>
            <w:webHidden/>
          </w:rPr>
          <w:fldChar w:fldCharType="separate"/>
        </w:r>
        <w:r w:rsidR="005A393D">
          <w:rPr>
            <w:noProof/>
            <w:webHidden/>
          </w:rPr>
          <w:t>11</w:t>
        </w:r>
        <w:r>
          <w:rPr>
            <w:noProof/>
            <w:webHidden/>
          </w:rPr>
          <w:fldChar w:fldCharType="end"/>
        </w:r>
      </w:hyperlink>
    </w:p>
    <w:p w:rsidR="00113E61" w:rsidRDefault="008F570F" w:rsidP="001400EA">
      <w:pPr>
        <w:pStyle w:val="Obsah4"/>
        <w:tabs>
          <w:tab w:val="right" w:leader="dot" w:pos="9630"/>
        </w:tabs>
        <w:ind w:left="800"/>
        <w:rPr>
          <w:rFonts w:asciiTheme="minorHAnsi" w:eastAsiaTheme="minorEastAsia" w:hAnsiTheme="minorHAnsi" w:cstheme="minorBidi"/>
          <w:noProof/>
          <w:sz w:val="22"/>
          <w:szCs w:val="22"/>
        </w:rPr>
      </w:pPr>
      <w:hyperlink w:anchor="_Toc403372710" w:history="1">
        <w:r w:rsidR="00113E61" w:rsidRPr="002A2F2D">
          <w:rPr>
            <w:rStyle w:val="Hypertextovodkaz"/>
            <w:rFonts w:eastAsiaTheme="majorEastAsia"/>
            <w:noProof/>
          </w:rPr>
          <w:t>SO ORP Vodňany</w:t>
        </w:r>
        <w:r w:rsidR="00113E61">
          <w:rPr>
            <w:noProof/>
            <w:webHidden/>
          </w:rPr>
          <w:tab/>
        </w:r>
        <w:r>
          <w:rPr>
            <w:noProof/>
            <w:webHidden/>
          </w:rPr>
          <w:fldChar w:fldCharType="begin"/>
        </w:r>
        <w:r w:rsidR="00113E61">
          <w:rPr>
            <w:noProof/>
            <w:webHidden/>
          </w:rPr>
          <w:instrText xml:space="preserve"> PAGEREF _Toc403372710 \h </w:instrText>
        </w:r>
        <w:r>
          <w:rPr>
            <w:noProof/>
            <w:webHidden/>
          </w:rPr>
        </w:r>
        <w:r>
          <w:rPr>
            <w:noProof/>
            <w:webHidden/>
          </w:rPr>
          <w:fldChar w:fldCharType="separate"/>
        </w:r>
        <w:r w:rsidR="005A393D">
          <w:rPr>
            <w:noProof/>
            <w:webHidden/>
          </w:rPr>
          <w:t>11</w:t>
        </w:r>
        <w:r>
          <w:rPr>
            <w:noProof/>
            <w:webHidden/>
          </w:rPr>
          <w:fldChar w:fldCharType="end"/>
        </w:r>
      </w:hyperlink>
    </w:p>
    <w:p w:rsidR="00113E61" w:rsidRDefault="008F570F">
      <w:pPr>
        <w:pStyle w:val="Obsah2"/>
        <w:tabs>
          <w:tab w:val="left" w:pos="600"/>
          <w:tab w:val="right" w:leader="dot" w:pos="9630"/>
        </w:tabs>
        <w:rPr>
          <w:rFonts w:asciiTheme="minorHAnsi" w:eastAsiaTheme="minorEastAsia" w:hAnsiTheme="minorHAnsi" w:cstheme="minorBidi"/>
          <w:noProof/>
          <w:sz w:val="22"/>
          <w:szCs w:val="22"/>
        </w:rPr>
      </w:pPr>
      <w:hyperlink w:anchor="_Toc403372711" w:history="1">
        <w:r w:rsidR="00113E61" w:rsidRPr="002A2F2D">
          <w:rPr>
            <w:rStyle w:val="Hypertextovodkaz"/>
            <w:rFonts w:eastAsiaTheme="majorEastAsia"/>
            <w:noProof/>
          </w:rPr>
          <w:t>6.</w:t>
        </w:r>
        <w:r w:rsidR="001400EA">
          <w:rPr>
            <w:rFonts w:asciiTheme="minorHAnsi" w:eastAsiaTheme="minorEastAsia" w:hAnsiTheme="minorHAnsi" w:cstheme="minorBidi"/>
            <w:noProof/>
            <w:sz w:val="22"/>
            <w:szCs w:val="22"/>
          </w:rPr>
          <w:t xml:space="preserve"> </w:t>
        </w:r>
        <w:r w:rsidR="00113E61" w:rsidRPr="002A2F2D">
          <w:rPr>
            <w:rStyle w:val="Hypertextovodkaz"/>
            <w:rFonts w:eastAsiaTheme="majorEastAsia"/>
            <w:noProof/>
          </w:rPr>
          <w:t>Souhrnné vyhodnocení výsledků</w:t>
        </w:r>
        <w:r w:rsidR="00113E61">
          <w:rPr>
            <w:noProof/>
            <w:webHidden/>
          </w:rPr>
          <w:tab/>
        </w:r>
        <w:r>
          <w:rPr>
            <w:noProof/>
            <w:webHidden/>
          </w:rPr>
          <w:fldChar w:fldCharType="begin"/>
        </w:r>
        <w:r w:rsidR="00113E61">
          <w:rPr>
            <w:noProof/>
            <w:webHidden/>
          </w:rPr>
          <w:instrText xml:space="preserve"> PAGEREF _Toc403372711 \h </w:instrText>
        </w:r>
        <w:r>
          <w:rPr>
            <w:noProof/>
            <w:webHidden/>
          </w:rPr>
        </w:r>
        <w:r>
          <w:rPr>
            <w:noProof/>
            <w:webHidden/>
          </w:rPr>
          <w:fldChar w:fldCharType="separate"/>
        </w:r>
        <w:r w:rsidR="005A393D">
          <w:rPr>
            <w:noProof/>
            <w:webHidden/>
          </w:rPr>
          <w:t>12</w:t>
        </w:r>
        <w:r>
          <w:rPr>
            <w:noProof/>
            <w:webHidden/>
          </w:rPr>
          <w:fldChar w:fldCharType="end"/>
        </w:r>
      </w:hyperlink>
    </w:p>
    <w:p w:rsidR="00113E61" w:rsidRDefault="008F570F" w:rsidP="001400EA">
      <w:pPr>
        <w:pStyle w:val="Obsah4"/>
        <w:tabs>
          <w:tab w:val="right" w:leader="dot" w:pos="9630"/>
        </w:tabs>
        <w:ind w:left="708"/>
        <w:rPr>
          <w:rFonts w:asciiTheme="minorHAnsi" w:eastAsiaTheme="minorEastAsia" w:hAnsiTheme="minorHAnsi" w:cstheme="minorBidi"/>
          <w:noProof/>
          <w:sz w:val="22"/>
          <w:szCs w:val="22"/>
        </w:rPr>
      </w:pPr>
      <w:hyperlink w:anchor="_Toc403372712" w:history="1">
        <w:r w:rsidR="00113E61" w:rsidRPr="002A2F2D">
          <w:rPr>
            <w:rStyle w:val="Hypertextovodkaz"/>
            <w:rFonts w:eastAsiaTheme="majorEastAsia"/>
            <w:noProof/>
          </w:rPr>
          <w:t>Demografická oblast</w:t>
        </w:r>
        <w:r w:rsidR="00113E61">
          <w:rPr>
            <w:noProof/>
            <w:webHidden/>
          </w:rPr>
          <w:tab/>
        </w:r>
        <w:r>
          <w:rPr>
            <w:noProof/>
            <w:webHidden/>
          </w:rPr>
          <w:fldChar w:fldCharType="begin"/>
        </w:r>
        <w:r w:rsidR="00113E61">
          <w:rPr>
            <w:noProof/>
            <w:webHidden/>
          </w:rPr>
          <w:instrText xml:space="preserve"> PAGEREF _Toc403372712 \h </w:instrText>
        </w:r>
        <w:r>
          <w:rPr>
            <w:noProof/>
            <w:webHidden/>
          </w:rPr>
        </w:r>
        <w:r>
          <w:rPr>
            <w:noProof/>
            <w:webHidden/>
          </w:rPr>
          <w:fldChar w:fldCharType="separate"/>
        </w:r>
        <w:r w:rsidR="005A393D">
          <w:rPr>
            <w:noProof/>
            <w:webHidden/>
          </w:rPr>
          <w:t>12</w:t>
        </w:r>
        <w:r>
          <w:rPr>
            <w:noProof/>
            <w:webHidden/>
          </w:rPr>
          <w:fldChar w:fldCharType="end"/>
        </w:r>
      </w:hyperlink>
    </w:p>
    <w:p w:rsidR="00113E61" w:rsidRDefault="008F570F" w:rsidP="001400EA">
      <w:pPr>
        <w:pStyle w:val="Obsah4"/>
        <w:tabs>
          <w:tab w:val="right" w:leader="dot" w:pos="9630"/>
        </w:tabs>
        <w:ind w:left="708"/>
        <w:rPr>
          <w:rFonts w:asciiTheme="minorHAnsi" w:eastAsiaTheme="minorEastAsia" w:hAnsiTheme="minorHAnsi" w:cstheme="minorBidi"/>
          <w:noProof/>
          <w:sz w:val="22"/>
          <w:szCs w:val="22"/>
        </w:rPr>
      </w:pPr>
      <w:hyperlink w:anchor="_Toc403372713" w:history="1">
        <w:r w:rsidR="00113E61" w:rsidRPr="002A2F2D">
          <w:rPr>
            <w:rStyle w:val="Hypertextovodkaz"/>
            <w:rFonts w:eastAsiaTheme="majorEastAsia"/>
            <w:noProof/>
          </w:rPr>
          <w:t>Ekonomická oblast</w:t>
        </w:r>
        <w:r w:rsidR="00113E61">
          <w:rPr>
            <w:noProof/>
            <w:webHidden/>
          </w:rPr>
          <w:tab/>
        </w:r>
        <w:r>
          <w:rPr>
            <w:noProof/>
            <w:webHidden/>
          </w:rPr>
          <w:fldChar w:fldCharType="begin"/>
        </w:r>
        <w:r w:rsidR="00113E61">
          <w:rPr>
            <w:noProof/>
            <w:webHidden/>
          </w:rPr>
          <w:instrText xml:space="preserve"> PAGEREF _Toc403372713 \h </w:instrText>
        </w:r>
        <w:r>
          <w:rPr>
            <w:noProof/>
            <w:webHidden/>
          </w:rPr>
        </w:r>
        <w:r>
          <w:rPr>
            <w:noProof/>
            <w:webHidden/>
          </w:rPr>
          <w:fldChar w:fldCharType="separate"/>
        </w:r>
        <w:r w:rsidR="005A393D">
          <w:rPr>
            <w:noProof/>
            <w:webHidden/>
          </w:rPr>
          <w:t>13</w:t>
        </w:r>
        <w:r>
          <w:rPr>
            <w:noProof/>
            <w:webHidden/>
          </w:rPr>
          <w:fldChar w:fldCharType="end"/>
        </w:r>
      </w:hyperlink>
    </w:p>
    <w:p w:rsidR="00113E61" w:rsidRDefault="008F570F" w:rsidP="001400EA">
      <w:pPr>
        <w:pStyle w:val="Obsah4"/>
        <w:tabs>
          <w:tab w:val="right" w:leader="dot" w:pos="9630"/>
        </w:tabs>
        <w:ind w:left="708"/>
        <w:rPr>
          <w:rFonts w:asciiTheme="minorHAnsi" w:eastAsiaTheme="minorEastAsia" w:hAnsiTheme="minorHAnsi" w:cstheme="minorBidi"/>
          <w:noProof/>
          <w:sz w:val="22"/>
          <w:szCs w:val="22"/>
        </w:rPr>
      </w:pPr>
      <w:hyperlink w:anchor="_Toc403372714" w:history="1">
        <w:r w:rsidR="00113E61" w:rsidRPr="002A2F2D">
          <w:rPr>
            <w:rStyle w:val="Hypertextovodkaz"/>
            <w:rFonts w:eastAsiaTheme="majorEastAsia"/>
            <w:noProof/>
          </w:rPr>
          <w:t>Sociální oblast</w:t>
        </w:r>
        <w:r w:rsidR="00113E61">
          <w:rPr>
            <w:noProof/>
            <w:webHidden/>
          </w:rPr>
          <w:tab/>
        </w:r>
        <w:r>
          <w:rPr>
            <w:noProof/>
            <w:webHidden/>
          </w:rPr>
          <w:fldChar w:fldCharType="begin"/>
        </w:r>
        <w:r w:rsidR="00113E61">
          <w:rPr>
            <w:noProof/>
            <w:webHidden/>
          </w:rPr>
          <w:instrText xml:space="preserve"> PAGEREF _Toc403372714 \h </w:instrText>
        </w:r>
        <w:r>
          <w:rPr>
            <w:noProof/>
            <w:webHidden/>
          </w:rPr>
        </w:r>
        <w:r>
          <w:rPr>
            <w:noProof/>
            <w:webHidden/>
          </w:rPr>
          <w:fldChar w:fldCharType="separate"/>
        </w:r>
        <w:r w:rsidR="005A393D">
          <w:rPr>
            <w:noProof/>
            <w:webHidden/>
          </w:rPr>
          <w:t>14</w:t>
        </w:r>
        <w:r>
          <w:rPr>
            <w:noProof/>
            <w:webHidden/>
          </w:rPr>
          <w:fldChar w:fldCharType="end"/>
        </w:r>
      </w:hyperlink>
    </w:p>
    <w:p w:rsidR="00113E61" w:rsidRDefault="008F570F" w:rsidP="001400EA">
      <w:pPr>
        <w:pStyle w:val="Obsah4"/>
        <w:tabs>
          <w:tab w:val="right" w:leader="dot" w:pos="9630"/>
        </w:tabs>
        <w:ind w:left="708"/>
        <w:rPr>
          <w:rFonts w:asciiTheme="minorHAnsi" w:eastAsiaTheme="minorEastAsia" w:hAnsiTheme="minorHAnsi" w:cstheme="minorBidi"/>
          <w:noProof/>
          <w:sz w:val="22"/>
          <w:szCs w:val="22"/>
        </w:rPr>
      </w:pPr>
      <w:hyperlink w:anchor="_Toc403372715" w:history="1">
        <w:r w:rsidR="00113E61" w:rsidRPr="002A2F2D">
          <w:rPr>
            <w:rStyle w:val="Hypertextovodkaz"/>
            <w:rFonts w:eastAsiaTheme="majorEastAsia"/>
            <w:noProof/>
          </w:rPr>
          <w:t>Environmentální oblast</w:t>
        </w:r>
        <w:r w:rsidR="00113E61">
          <w:rPr>
            <w:noProof/>
            <w:webHidden/>
          </w:rPr>
          <w:tab/>
        </w:r>
        <w:r>
          <w:rPr>
            <w:noProof/>
            <w:webHidden/>
          </w:rPr>
          <w:fldChar w:fldCharType="begin"/>
        </w:r>
        <w:r w:rsidR="00113E61">
          <w:rPr>
            <w:noProof/>
            <w:webHidden/>
          </w:rPr>
          <w:instrText xml:space="preserve"> PAGEREF _Toc403372715 \h </w:instrText>
        </w:r>
        <w:r>
          <w:rPr>
            <w:noProof/>
            <w:webHidden/>
          </w:rPr>
        </w:r>
        <w:r>
          <w:rPr>
            <w:noProof/>
            <w:webHidden/>
          </w:rPr>
          <w:fldChar w:fldCharType="separate"/>
        </w:r>
        <w:r w:rsidR="005A393D">
          <w:rPr>
            <w:noProof/>
            <w:webHidden/>
          </w:rPr>
          <w:t>15</w:t>
        </w:r>
        <w:r>
          <w:rPr>
            <w:noProof/>
            <w:webHidden/>
          </w:rPr>
          <w:fldChar w:fldCharType="end"/>
        </w:r>
      </w:hyperlink>
    </w:p>
    <w:p w:rsidR="003D4943" w:rsidRDefault="008F570F" w:rsidP="001400EA">
      <w:pPr>
        <w:pStyle w:val="Obsah4"/>
        <w:tabs>
          <w:tab w:val="right" w:leader="dot" w:pos="9630"/>
        </w:tabs>
        <w:ind w:left="708"/>
        <w:rPr>
          <w:rStyle w:val="Hypertextovodkaz"/>
          <w:rFonts w:eastAsiaTheme="majorEastAsia"/>
          <w:noProof/>
        </w:rPr>
      </w:pPr>
      <w:hyperlink w:anchor="_Toc403372716" w:history="1">
        <w:r w:rsidR="00113E61" w:rsidRPr="002A2F2D">
          <w:rPr>
            <w:rStyle w:val="Hypertextovodkaz"/>
            <w:rFonts w:eastAsiaTheme="majorEastAsia"/>
            <w:noProof/>
          </w:rPr>
          <w:t>Celkové hodnocení</w:t>
        </w:r>
        <w:r w:rsidR="00113E61">
          <w:rPr>
            <w:noProof/>
            <w:webHidden/>
          </w:rPr>
          <w:tab/>
        </w:r>
        <w:r>
          <w:rPr>
            <w:noProof/>
            <w:webHidden/>
          </w:rPr>
          <w:fldChar w:fldCharType="begin"/>
        </w:r>
        <w:r w:rsidR="00113E61">
          <w:rPr>
            <w:noProof/>
            <w:webHidden/>
          </w:rPr>
          <w:instrText xml:space="preserve"> PAGEREF _Toc403372716 \h </w:instrText>
        </w:r>
        <w:r>
          <w:rPr>
            <w:noProof/>
            <w:webHidden/>
          </w:rPr>
        </w:r>
        <w:r>
          <w:rPr>
            <w:noProof/>
            <w:webHidden/>
          </w:rPr>
          <w:fldChar w:fldCharType="separate"/>
        </w:r>
        <w:r w:rsidR="005A393D">
          <w:rPr>
            <w:noProof/>
            <w:webHidden/>
          </w:rPr>
          <w:t>16</w:t>
        </w:r>
        <w:r>
          <w:rPr>
            <w:noProof/>
            <w:webHidden/>
          </w:rPr>
          <w:fldChar w:fldCharType="end"/>
        </w:r>
      </w:hyperlink>
    </w:p>
    <w:p w:rsidR="003D4943" w:rsidRDefault="003D4943" w:rsidP="003D4943">
      <w:pPr>
        <w:rPr>
          <w:rStyle w:val="Hypertextovodkaz"/>
          <w:rFonts w:eastAsiaTheme="majorEastAsia"/>
          <w:noProof/>
        </w:rPr>
      </w:pPr>
      <w:r>
        <w:rPr>
          <w:rStyle w:val="Hypertextovodkaz"/>
          <w:rFonts w:eastAsiaTheme="majorEastAsia"/>
          <w:noProof/>
        </w:rPr>
        <w:br w:type="page"/>
      </w:r>
    </w:p>
    <w:p w:rsidR="00593340" w:rsidRPr="005E53BA" w:rsidRDefault="008F570F" w:rsidP="00593340">
      <w:pPr>
        <w:spacing w:before="0"/>
        <w:rPr>
          <w:rFonts w:cs="Arial"/>
          <w:szCs w:val="20"/>
        </w:rPr>
      </w:pPr>
      <w:r>
        <w:rPr>
          <w:rFonts w:cs="Arial"/>
          <w:szCs w:val="20"/>
        </w:rPr>
        <w:lastRenderedPageBreak/>
        <w:fldChar w:fldCharType="end"/>
      </w:r>
      <w:r w:rsidR="00C60209" w:rsidRPr="005E53BA">
        <w:rPr>
          <w:rFonts w:cs="Arial"/>
          <w:szCs w:val="20"/>
        </w:rPr>
        <w:t xml:space="preserve">Kvantifikací postavení správních obvodů obcí s rozšířenou působností Jihočeského kraje jsme se začali zabývat ze dvou zásadních důvodů. Prvním z nich je skutečnost, že </w:t>
      </w:r>
      <w:r w:rsidR="00A66CB7">
        <w:rPr>
          <w:rFonts w:cs="Arial"/>
          <w:szCs w:val="20"/>
        </w:rPr>
        <w:t>v</w:t>
      </w:r>
      <w:r w:rsidR="00C60209" w:rsidRPr="005E53BA">
        <w:rPr>
          <w:rFonts w:cs="Arial"/>
          <w:szCs w:val="20"/>
        </w:rPr>
        <w:t xml:space="preserve"> takovéto územní podrobnosti jsme </w:t>
      </w:r>
      <w:r w:rsidR="00CD1B5F" w:rsidRPr="005E53BA">
        <w:rPr>
          <w:rFonts w:cs="Arial"/>
          <w:szCs w:val="20"/>
        </w:rPr>
        <w:t xml:space="preserve">komplexnější výsledky </w:t>
      </w:r>
      <w:r w:rsidR="00C60209" w:rsidRPr="005E53BA">
        <w:rPr>
          <w:rFonts w:cs="Arial"/>
          <w:szCs w:val="20"/>
        </w:rPr>
        <w:t xml:space="preserve">naposledy </w:t>
      </w:r>
      <w:r w:rsidR="00CD1B5F" w:rsidRPr="005E53BA">
        <w:rPr>
          <w:rFonts w:cs="Arial"/>
          <w:szCs w:val="20"/>
        </w:rPr>
        <w:t>publikovali před téměř 10 lety (konkrétně v roce 2006). Druhým</w:t>
      </w:r>
      <w:r w:rsidR="00A66CB7">
        <w:rPr>
          <w:rFonts w:cs="Arial"/>
          <w:szCs w:val="20"/>
        </w:rPr>
        <w:t>,</w:t>
      </w:r>
      <w:r w:rsidR="00CD1B5F" w:rsidRPr="005E53BA">
        <w:rPr>
          <w:rFonts w:cs="Arial"/>
          <w:szCs w:val="20"/>
        </w:rPr>
        <w:t xml:space="preserve"> a dá se říci významnějším důvodem je to, že pro jakoukoli analýzu v této oblasti jsou potřebná data, zpracovaná podle obcí. Četnost těchto údajů je </w:t>
      </w:r>
      <w:r w:rsidR="00593340" w:rsidRPr="005E53BA">
        <w:rPr>
          <w:rFonts w:cs="Arial"/>
          <w:szCs w:val="20"/>
        </w:rPr>
        <w:t>přitom</w:t>
      </w:r>
      <w:r w:rsidR="00CD1B5F" w:rsidRPr="005E53BA">
        <w:rPr>
          <w:rFonts w:cs="Arial"/>
          <w:szCs w:val="20"/>
        </w:rPr>
        <w:t xml:space="preserve"> značně omezena. V desetiletých interval</w:t>
      </w:r>
      <w:r w:rsidR="000D3276">
        <w:rPr>
          <w:rFonts w:cs="Arial"/>
          <w:szCs w:val="20"/>
        </w:rPr>
        <w:t>ech</w:t>
      </w:r>
      <w:r w:rsidR="00CD1B5F" w:rsidRPr="005E53BA">
        <w:rPr>
          <w:rFonts w:cs="Arial"/>
          <w:szCs w:val="20"/>
        </w:rPr>
        <w:t xml:space="preserve"> jsou ale k dispozici </w:t>
      </w:r>
      <w:r w:rsidR="00FA52C2" w:rsidRPr="005E53BA">
        <w:rPr>
          <w:rFonts w:cs="Arial"/>
          <w:szCs w:val="20"/>
        </w:rPr>
        <w:t xml:space="preserve">informace ze sčítání lidu, domů a bytů, které datovou základnu </w:t>
      </w:r>
      <w:r w:rsidR="00A66CB7">
        <w:rPr>
          <w:rFonts w:cs="Arial"/>
          <w:szCs w:val="20"/>
        </w:rPr>
        <w:t>výrazně</w:t>
      </w:r>
      <w:r w:rsidR="00FA52C2" w:rsidRPr="005E53BA">
        <w:rPr>
          <w:rFonts w:cs="Arial"/>
          <w:szCs w:val="20"/>
        </w:rPr>
        <w:t xml:space="preserve"> rozšiřují. Jejich nezastupitelná role je zejména v oblasti struktury pracovní síly, vzdělání obyvatelstva, domácností, </w:t>
      </w:r>
      <w:r w:rsidR="00593340" w:rsidRPr="005E53BA">
        <w:rPr>
          <w:rFonts w:cs="Arial"/>
          <w:szCs w:val="20"/>
        </w:rPr>
        <w:t xml:space="preserve">bytového a domovního fondu. Vzhledem k tomu, že z běžného statistického zjišťování </w:t>
      </w:r>
      <w:r w:rsidR="00084A7D" w:rsidRPr="005E53BA">
        <w:rPr>
          <w:rFonts w:cs="Arial"/>
          <w:szCs w:val="20"/>
        </w:rPr>
        <w:t xml:space="preserve">již </w:t>
      </w:r>
      <w:r w:rsidR="00593340" w:rsidRPr="005E53BA">
        <w:rPr>
          <w:rFonts w:cs="Arial"/>
          <w:szCs w:val="20"/>
        </w:rPr>
        <w:t>máme k dispozici většinu ukazatelů za rok 2013, jevilo se ná</w:t>
      </w:r>
      <w:r w:rsidR="00FF461A">
        <w:rPr>
          <w:rFonts w:cs="Arial"/>
          <w:szCs w:val="20"/>
        </w:rPr>
        <w:t xml:space="preserve">m jako nejvhodnější zapracovat </w:t>
      </w:r>
      <w:r w:rsidR="00593340" w:rsidRPr="005E53BA">
        <w:rPr>
          <w:rFonts w:cs="Arial"/>
          <w:szCs w:val="20"/>
        </w:rPr>
        <w:t>výsledky sčítání právě nyní.</w:t>
      </w:r>
    </w:p>
    <w:p w:rsidR="00593340" w:rsidRPr="005E53BA" w:rsidRDefault="00593340" w:rsidP="00C60209">
      <w:pPr>
        <w:spacing w:before="0"/>
        <w:jc w:val="left"/>
        <w:rPr>
          <w:rFonts w:cs="Arial"/>
          <w:szCs w:val="20"/>
        </w:rPr>
      </w:pPr>
    </w:p>
    <w:p w:rsidR="00593340" w:rsidRPr="005E53BA" w:rsidRDefault="00593340" w:rsidP="004B2E41">
      <w:pPr>
        <w:pStyle w:val="Nadpis2"/>
      </w:pPr>
      <w:bookmarkStart w:id="1" w:name="_Toc403372670"/>
      <w:r w:rsidRPr="005E53BA">
        <w:t>Analyzované oblast</w:t>
      </w:r>
      <w:r w:rsidR="00A66CB7">
        <w:t>i,</w:t>
      </w:r>
      <w:r w:rsidRPr="005E53BA">
        <w:t xml:space="preserve"> výběr</w:t>
      </w:r>
      <w:r w:rsidR="00994EB5">
        <w:t xml:space="preserve"> a váha</w:t>
      </w:r>
      <w:r w:rsidRPr="005E53BA">
        <w:t xml:space="preserve"> ukazatelů</w:t>
      </w:r>
      <w:bookmarkEnd w:id="1"/>
    </w:p>
    <w:p w:rsidR="00084A7D" w:rsidRPr="005E53BA" w:rsidRDefault="00084A7D" w:rsidP="00084A7D">
      <w:pPr>
        <w:spacing w:before="0"/>
        <w:jc w:val="left"/>
        <w:rPr>
          <w:rFonts w:cs="Arial"/>
          <w:b/>
          <w:szCs w:val="20"/>
        </w:rPr>
      </w:pPr>
    </w:p>
    <w:p w:rsidR="00593340" w:rsidRPr="005E53BA" w:rsidRDefault="00084A7D" w:rsidP="00593340">
      <w:pPr>
        <w:spacing w:before="0"/>
        <w:jc w:val="left"/>
        <w:rPr>
          <w:rFonts w:cs="Arial"/>
          <w:szCs w:val="20"/>
        </w:rPr>
      </w:pPr>
      <w:r w:rsidRPr="005E53BA">
        <w:rPr>
          <w:rFonts w:cs="Arial"/>
          <w:szCs w:val="20"/>
        </w:rPr>
        <w:t>Do celkového hodnocení postavení SO ORP kraje byly zahrnuty indikátory ze čtyř základních oblastí:</w:t>
      </w:r>
    </w:p>
    <w:p w:rsidR="00084A7D" w:rsidRPr="005E53BA" w:rsidRDefault="00084A7D" w:rsidP="00084A7D">
      <w:pPr>
        <w:spacing w:before="0"/>
        <w:ind w:firstLine="708"/>
        <w:jc w:val="left"/>
        <w:rPr>
          <w:rFonts w:cs="Arial"/>
          <w:szCs w:val="20"/>
        </w:rPr>
      </w:pPr>
      <w:r w:rsidRPr="005E53BA">
        <w:rPr>
          <w:rFonts w:cs="Arial"/>
          <w:szCs w:val="20"/>
        </w:rPr>
        <w:t>demografické prostředí (doplněné o charakteristiky osídlení)</w:t>
      </w:r>
    </w:p>
    <w:p w:rsidR="00084A7D" w:rsidRPr="005E53BA" w:rsidRDefault="00084A7D" w:rsidP="00084A7D">
      <w:pPr>
        <w:spacing w:before="0"/>
        <w:ind w:firstLine="708"/>
        <w:jc w:val="left"/>
        <w:rPr>
          <w:rFonts w:cs="Arial"/>
          <w:szCs w:val="20"/>
        </w:rPr>
      </w:pPr>
      <w:r w:rsidRPr="005E53BA">
        <w:rPr>
          <w:rFonts w:cs="Arial"/>
          <w:szCs w:val="20"/>
        </w:rPr>
        <w:t>ekonomické prostředí</w:t>
      </w:r>
    </w:p>
    <w:p w:rsidR="00084A7D" w:rsidRPr="005E53BA" w:rsidRDefault="00084A7D" w:rsidP="00084A7D">
      <w:pPr>
        <w:spacing w:before="0"/>
        <w:ind w:firstLine="708"/>
        <w:jc w:val="left"/>
        <w:rPr>
          <w:rFonts w:cs="Arial"/>
          <w:szCs w:val="20"/>
        </w:rPr>
      </w:pPr>
      <w:r w:rsidRPr="005E53BA">
        <w:rPr>
          <w:rFonts w:cs="Arial"/>
          <w:szCs w:val="20"/>
        </w:rPr>
        <w:t>sociální charakteristiky</w:t>
      </w:r>
    </w:p>
    <w:p w:rsidR="00084A7D" w:rsidRPr="005E53BA" w:rsidRDefault="00A63923" w:rsidP="00A63923">
      <w:pPr>
        <w:spacing w:before="0"/>
        <w:ind w:firstLine="708"/>
        <w:jc w:val="left"/>
        <w:rPr>
          <w:rFonts w:cs="Arial"/>
          <w:szCs w:val="20"/>
        </w:rPr>
      </w:pPr>
      <w:r w:rsidRPr="005E53BA">
        <w:rPr>
          <w:rFonts w:cs="Arial"/>
          <w:szCs w:val="20"/>
        </w:rPr>
        <w:t>životní prostředí.</w:t>
      </w:r>
    </w:p>
    <w:p w:rsidR="00A63923" w:rsidRPr="005E53BA" w:rsidRDefault="00A63923" w:rsidP="00A63923">
      <w:pPr>
        <w:spacing w:before="0"/>
        <w:ind w:firstLine="708"/>
        <w:jc w:val="left"/>
        <w:rPr>
          <w:rFonts w:cs="Arial"/>
          <w:szCs w:val="20"/>
        </w:rPr>
      </w:pPr>
    </w:p>
    <w:p w:rsidR="00C60209" w:rsidRPr="00994EB5" w:rsidRDefault="00A63923" w:rsidP="005E53BA">
      <w:pPr>
        <w:spacing w:before="0"/>
        <w:rPr>
          <w:rFonts w:cs="Arial"/>
          <w:szCs w:val="20"/>
        </w:rPr>
      </w:pPr>
      <w:r w:rsidRPr="00994EB5">
        <w:rPr>
          <w:rFonts w:cs="Arial"/>
          <w:szCs w:val="20"/>
        </w:rPr>
        <w:t>Pro kvantifikaci postavení jednotlivých obvodů bylo původně navrženo a roztříděno do jednotlivých okruhů celkem</w:t>
      </w:r>
      <w:r w:rsidR="00A5714B" w:rsidRPr="00994EB5">
        <w:rPr>
          <w:rFonts w:cs="Arial"/>
          <w:szCs w:val="20"/>
        </w:rPr>
        <w:t xml:space="preserve"> 45 konkrétních ukazatelů, převážné ze statistických zjišťování a sčítání lidu 2011. V některých případech, ale spíše výjimečně, byly využity zdroje i mimo ČSÚ. Na základě reálných dat byly vypočteny korelační koeficienty mezi ukazateli samostatně v rámci </w:t>
      </w:r>
      <w:r w:rsidR="007756EF" w:rsidRPr="00994EB5">
        <w:rPr>
          <w:rFonts w:cs="Arial"/>
          <w:szCs w:val="20"/>
        </w:rPr>
        <w:t>každého okruhu (byly sice rovněž testovány korelační vazby mezi ukazateli napříč všemi čtyřmi oblast</w:t>
      </w:r>
      <w:r w:rsidR="00A66CB7">
        <w:rPr>
          <w:rFonts w:cs="Arial"/>
          <w:szCs w:val="20"/>
        </w:rPr>
        <w:t>m</w:t>
      </w:r>
      <w:r w:rsidR="007756EF" w:rsidRPr="00994EB5">
        <w:rPr>
          <w:rFonts w:cs="Arial"/>
          <w:szCs w:val="20"/>
        </w:rPr>
        <w:t>i, ale jejich význam byl pouze podpůrný).</w:t>
      </w:r>
      <w:r w:rsidR="003354AB" w:rsidRPr="00994EB5">
        <w:rPr>
          <w:rFonts w:cs="Arial"/>
          <w:szCs w:val="20"/>
        </w:rPr>
        <w:t xml:space="preserve"> Vyloučeny byly ty ukazatele, kde byla prokázána významná statistická závislost. V některých případech, kde spolu indikátory prokazatelně souvisí</w:t>
      </w:r>
      <w:r w:rsidR="005E53BA" w:rsidRPr="00994EB5">
        <w:rPr>
          <w:rFonts w:cs="Arial"/>
          <w:szCs w:val="20"/>
        </w:rPr>
        <w:t>,</w:t>
      </w:r>
      <w:r w:rsidR="003354AB" w:rsidRPr="00994EB5">
        <w:rPr>
          <w:rFonts w:cs="Arial"/>
          <w:szCs w:val="20"/>
        </w:rPr>
        <w:t xml:space="preserve"> </w:t>
      </w:r>
      <w:r w:rsidR="00A66CB7">
        <w:rPr>
          <w:rFonts w:cs="Arial"/>
          <w:szCs w:val="20"/>
        </w:rPr>
        <w:t xml:space="preserve">zůstaly tyto indikátory ve výběru, ale </w:t>
      </w:r>
      <w:r w:rsidR="003354AB" w:rsidRPr="00994EB5">
        <w:rPr>
          <w:rFonts w:cs="Arial"/>
          <w:szCs w:val="20"/>
        </w:rPr>
        <w:t xml:space="preserve">byl </w:t>
      </w:r>
      <w:r w:rsidR="00A66CB7">
        <w:rPr>
          <w:rFonts w:cs="Arial"/>
          <w:szCs w:val="20"/>
        </w:rPr>
        <w:t>z nich vytvořen jeden souhrnný</w:t>
      </w:r>
      <w:r w:rsidR="003354AB" w:rsidRPr="00994EB5">
        <w:rPr>
          <w:rFonts w:cs="Arial"/>
          <w:szCs w:val="20"/>
        </w:rPr>
        <w:t xml:space="preserve"> </w:t>
      </w:r>
      <w:r w:rsidR="006C232F">
        <w:rPr>
          <w:rFonts w:cs="Arial"/>
          <w:szCs w:val="20"/>
        </w:rPr>
        <w:t>indikátor</w:t>
      </w:r>
      <w:r w:rsidR="005E53BA" w:rsidRPr="00994EB5">
        <w:rPr>
          <w:rFonts w:cs="Arial"/>
          <w:szCs w:val="20"/>
        </w:rPr>
        <w:t>. Jeho váha</w:t>
      </w:r>
      <w:r w:rsidR="003354AB" w:rsidRPr="00994EB5">
        <w:rPr>
          <w:rFonts w:cs="Arial"/>
          <w:szCs w:val="20"/>
        </w:rPr>
        <w:t xml:space="preserve"> </w:t>
      </w:r>
      <w:r w:rsidR="00A66CB7">
        <w:rPr>
          <w:rFonts w:cs="Arial"/>
          <w:szCs w:val="20"/>
        </w:rPr>
        <w:t>však</w:t>
      </w:r>
      <w:r w:rsidR="003354AB" w:rsidRPr="00994EB5">
        <w:rPr>
          <w:rFonts w:cs="Arial"/>
          <w:szCs w:val="20"/>
        </w:rPr>
        <w:t xml:space="preserve"> zůstala stejná</w:t>
      </w:r>
      <w:r w:rsidR="006C232F">
        <w:rPr>
          <w:rFonts w:cs="Arial"/>
          <w:szCs w:val="20"/>
        </w:rPr>
        <w:t>,</w:t>
      </w:r>
      <w:r w:rsidR="005E53BA" w:rsidRPr="00994EB5">
        <w:rPr>
          <w:rFonts w:cs="Arial"/>
          <w:szCs w:val="20"/>
        </w:rPr>
        <w:t xml:space="preserve"> jako by byl vybrán jen jeden ukazatel. </w:t>
      </w:r>
    </w:p>
    <w:p w:rsidR="005E53BA" w:rsidRPr="00994EB5" w:rsidRDefault="005E53BA" w:rsidP="005E53BA">
      <w:pPr>
        <w:spacing w:before="0"/>
        <w:rPr>
          <w:rFonts w:cs="Arial"/>
          <w:szCs w:val="20"/>
        </w:rPr>
      </w:pPr>
    </w:p>
    <w:p w:rsidR="007316A7" w:rsidRDefault="007316A7" w:rsidP="005E53BA">
      <w:pPr>
        <w:spacing w:before="0"/>
        <w:rPr>
          <w:rFonts w:cs="Arial"/>
          <w:szCs w:val="20"/>
        </w:rPr>
      </w:pPr>
      <w:r w:rsidRPr="00994EB5">
        <w:rPr>
          <w:rFonts w:cs="Arial"/>
          <w:szCs w:val="20"/>
        </w:rPr>
        <w:t>Do vlastního zpracování výsledků tak vstoupilo celkem 3</w:t>
      </w:r>
      <w:r w:rsidR="00AD0ECA">
        <w:rPr>
          <w:rFonts w:cs="Arial"/>
          <w:szCs w:val="20"/>
        </w:rPr>
        <w:t>8</w:t>
      </w:r>
      <w:r w:rsidRPr="00994EB5">
        <w:rPr>
          <w:rFonts w:cs="Arial"/>
          <w:szCs w:val="20"/>
        </w:rPr>
        <w:t xml:space="preserve"> indikátorů. Nejvíce (celkem 12) jich charakterizuje sociální oblast, která je také z pohledu </w:t>
      </w:r>
      <w:r w:rsidR="005E0084">
        <w:rPr>
          <w:rFonts w:cs="Arial"/>
          <w:szCs w:val="20"/>
        </w:rPr>
        <w:t>jednotlivých</w:t>
      </w:r>
      <w:r w:rsidRPr="00994EB5">
        <w:rPr>
          <w:rFonts w:cs="Arial"/>
          <w:szCs w:val="20"/>
        </w:rPr>
        <w:t xml:space="preserve"> charakteristik nejrozmanitější. Ekonomické prostředí popisuje 11 indikátorů, demografii 9 charakteristik a nejmenší počet </w:t>
      </w:r>
      <w:r w:rsidR="00994EB5" w:rsidRPr="00994EB5">
        <w:rPr>
          <w:rFonts w:cs="Arial"/>
          <w:szCs w:val="20"/>
        </w:rPr>
        <w:t>indikátorů</w:t>
      </w:r>
      <w:r w:rsidRPr="00994EB5">
        <w:rPr>
          <w:rFonts w:cs="Arial"/>
          <w:szCs w:val="20"/>
        </w:rPr>
        <w:t xml:space="preserve"> (</w:t>
      </w:r>
      <w:r w:rsidR="00994EB5" w:rsidRPr="00994EB5">
        <w:rPr>
          <w:rFonts w:cs="Arial"/>
          <w:szCs w:val="20"/>
        </w:rPr>
        <w:t>celkem 6) se podařilo zkonstruovat za oblast životního prostředí.</w:t>
      </w:r>
    </w:p>
    <w:p w:rsidR="00994EB5" w:rsidRDefault="00994EB5" w:rsidP="005E53BA">
      <w:pPr>
        <w:spacing w:before="0"/>
        <w:rPr>
          <w:rFonts w:cs="Arial"/>
          <w:szCs w:val="20"/>
        </w:rPr>
      </w:pPr>
    </w:p>
    <w:p w:rsidR="00994EB5" w:rsidRDefault="00E24FB8" w:rsidP="005E53BA">
      <w:pPr>
        <w:spacing w:before="0"/>
        <w:rPr>
          <w:rFonts w:cs="Arial"/>
          <w:szCs w:val="20"/>
        </w:rPr>
      </w:pPr>
      <w:r>
        <w:rPr>
          <w:rFonts w:cs="Arial"/>
          <w:szCs w:val="20"/>
        </w:rPr>
        <w:t>Významně byla zvažována otázka zvolení váhového systému. Po zohlednění zejména kapacitních a časových možností bylo jednoznačně rozhodnuto, že každý indikátor bude mí</w:t>
      </w:r>
      <w:r w:rsidR="00FF461A">
        <w:rPr>
          <w:rFonts w:cs="Arial"/>
          <w:szCs w:val="20"/>
        </w:rPr>
        <w:t>t stejnou váhu. Současně byl ale dodržen přístup, že v celkovém vyhodnocení zůstane význam jednotlivých oblastí i přes rozdílný počet indikátorů stejný.</w:t>
      </w:r>
    </w:p>
    <w:p w:rsidR="00FF461A" w:rsidRDefault="00FF461A" w:rsidP="005E53BA">
      <w:pPr>
        <w:spacing w:before="0"/>
        <w:rPr>
          <w:rFonts w:cs="Arial"/>
          <w:szCs w:val="20"/>
        </w:rPr>
      </w:pPr>
    </w:p>
    <w:p w:rsidR="00BE18B3" w:rsidRDefault="00BE18B3" w:rsidP="00957246">
      <w:pPr>
        <w:pStyle w:val="Nadpis2"/>
      </w:pPr>
      <w:bookmarkStart w:id="2" w:name="_Toc403372671"/>
      <w:bookmarkStart w:id="3" w:name="_Toc176140767"/>
      <w:bookmarkStart w:id="4" w:name="_Toc187050223"/>
      <w:r w:rsidRPr="00BE18B3">
        <w:t>Popis indikátorů</w:t>
      </w:r>
      <w:bookmarkEnd w:id="2"/>
      <w:r w:rsidRPr="00BE18B3">
        <w:t xml:space="preserve"> </w:t>
      </w:r>
      <w:bookmarkEnd w:id="3"/>
      <w:bookmarkEnd w:id="4"/>
    </w:p>
    <w:p w:rsidR="001F15E4" w:rsidRPr="001F15E4" w:rsidRDefault="001F15E4" w:rsidP="001F15E4"/>
    <w:p w:rsidR="00BE18B3" w:rsidRPr="007F6674" w:rsidRDefault="00BE18B3" w:rsidP="007F6674">
      <w:pPr>
        <w:tabs>
          <w:tab w:val="right" w:pos="9540"/>
        </w:tabs>
        <w:spacing w:after="60"/>
        <w:rPr>
          <w:rFonts w:cs="Arial"/>
          <w:b/>
          <w:bCs/>
          <w:sz w:val="24"/>
        </w:rPr>
      </w:pPr>
      <w:bookmarkStart w:id="5" w:name="_Toc403372672"/>
      <w:r w:rsidRPr="007F6674">
        <w:rPr>
          <w:rFonts w:cs="Arial"/>
          <w:b/>
          <w:bCs/>
          <w:sz w:val="24"/>
        </w:rPr>
        <w:t>Sídelní struktura</w:t>
      </w:r>
      <w:r w:rsidRPr="007F6674">
        <w:rPr>
          <w:rFonts w:cs="Arial"/>
          <w:b/>
          <w:bCs/>
          <w:sz w:val="24"/>
        </w:rPr>
        <w:tab/>
      </w:r>
      <w:r w:rsidRPr="007F6674">
        <w:rPr>
          <w:rFonts w:cs="Arial"/>
          <w:bCs/>
          <w:i/>
          <w:sz w:val="24"/>
        </w:rPr>
        <w:t>Demografie</w:t>
      </w:r>
      <w:bookmarkEnd w:id="5"/>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Index sídelní rozdrobenosti</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ČSÚ </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31. 12. 2013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Záporný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Vážený průměr podílů obyvatel žijících v nejmenších obcích; obce do 199 obyvatel váha 3, obce od 200 do 499 obyvatel váha 2 a obce od 500 do 999 obyvatel váha 1.</w:t>
            </w:r>
          </w:p>
        </w:tc>
      </w:tr>
    </w:tbl>
    <w:p w:rsidR="00BE18B3" w:rsidRDefault="00BE18B3" w:rsidP="00BE18B3">
      <w:pPr>
        <w:tabs>
          <w:tab w:val="left" w:pos="1134"/>
        </w:tabs>
        <w:spacing w:before="0"/>
      </w:pPr>
    </w:p>
    <w:p w:rsidR="00BE18B3" w:rsidRPr="007F6674" w:rsidRDefault="00BE18B3" w:rsidP="007F6674">
      <w:pPr>
        <w:tabs>
          <w:tab w:val="right" w:pos="9540"/>
        </w:tabs>
        <w:spacing w:after="60"/>
        <w:rPr>
          <w:rFonts w:cs="Arial"/>
          <w:b/>
          <w:bCs/>
          <w:sz w:val="24"/>
        </w:rPr>
      </w:pPr>
      <w:bookmarkStart w:id="6" w:name="_Toc403372673"/>
      <w:r w:rsidRPr="007F6674">
        <w:rPr>
          <w:rFonts w:cs="Arial"/>
          <w:b/>
          <w:bCs/>
          <w:sz w:val="24"/>
        </w:rPr>
        <w:t>Hustota osídlení</w:t>
      </w:r>
      <w:r w:rsidRPr="007F6674">
        <w:rPr>
          <w:rFonts w:cs="Arial"/>
          <w:b/>
          <w:bCs/>
          <w:sz w:val="24"/>
        </w:rPr>
        <w:tab/>
      </w:r>
      <w:r w:rsidRPr="007F6674">
        <w:rPr>
          <w:rFonts w:cs="Arial"/>
          <w:bCs/>
          <w:i/>
          <w:sz w:val="24"/>
        </w:rPr>
        <w:t>Demografie</w:t>
      </w:r>
      <w:bookmarkEnd w:id="6"/>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Hustota osídlení</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31. 12. 2013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Podíl počtu obyvatel na cel</w:t>
            </w:r>
            <w:r w:rsidR="00BA2EA0">
              <w:rPr>
                <w:rFonts w:cs="Arial"/>
                <w:sz w:val="18"/>
              </w:rPr>
              <w:t>kové výměře území</w:t>
            </w:r>
            <w:r>
              <w:rPr>
                <w:rFonts w:cs="Arial"/>
                <w:sz w:val="18"/>
              </w:rPr>
              <w:t>.</w:t>
            </w:r>
          </w:p>
        </w:tc>
      </w:tr>
    </w:tbl>
    <w:p w:rsidR="00BE18B3" w:rsidRDefault="00BE18B3" w:rsidP="00BE18B3">
      <w:pPr>
        <w:tabs>
          <w:tab w:val="left" w:pos="1134"/>
        </w:tabs>
        <w:spacing w:before="0"/>
      </w:pPr>
    </w:p>
    <w:p w:rsidR="00BE18B3" w:rsidRPr="007F6674" w:rsidRDefault="00BE18B3" w:rsidP="007F6674">
      <w:pPr>
        <w:tabs>
          <w:tab w:val="right" w:pos="9540"/>
        </w:tabs>
        <w:spacing w:after="60"/>
        <w:rPr>
          <w:rFonts w:cs="Arial"/>
          <w:b/>
          <w:bCs/>
          <w:sz w:val="24"/>
        </w:rPr>
      </w:pPr>
      <w:bookmarkStart w:id="7" w:name="_Toc403372674"/>
      <w:r w:rsidRPr="007F6674">
        <w:rPr>
          <w:rFonts w:cs="Arial"/>
          <w:b/>
          <w:bCs/>
          <w:sz w:val="24"/>
        </w:rPr>
        <w:t>Věková struktura</w:t>
      </w:r>
      <w:r w:rsidRPr="007F6674">
        <w:rPr>
          <w:rFonts w:cs="Arial"/>
          <w:b/>
          <w:bCs/>
          <w:sz w:val="24"/>
        </w:rPr>
        <w:tab/>
      </w:r>
      <w:r w:rsidRPr="007F6674">
        <w:rPr>
          <w:rFonts w:cs="Arial"/>
          <w:bCs/>
          <w:i/>
          <w:sz w:val="24"/>
        </w:rPr>
        <w:t>Demografie</w:t>
      </w:r>
      <w:bookmarkEnd w:id="7"/>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rPr>
          <w:trHeight w:val="95"/>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A2EA0">
            <w:pPr>
              <w:tabs>
                <w:tab w:val="left" w:pos="1134"/>
              </w:tabs>
              <w:spacing w:before="0"/>
              <w:rPr>
                <w:rFonts w:cs="Arial"/>
                <w:sz w:val="18"/>
              </w:rPr>
            </w:pPr>
            <w:r>
              <w:rPr>
                <w:rFonts w:cs="Arial"/>
                <w:sz w:val="18"/>
              </w:rPr>
              <w:t xml:space="preserve">Průměrný věk; </w:t>
            </w:r>
            <w:r w:rsidR="00BA2EA0">
              <w:rPr>
                <w:rFonts w:cs="Arial"/>
                <w:sz w:val="18"/>
              </w:rPr>
              <w:t>I</w:t>
            </w:r>
            <w:r>
              <w:rPr>
                <w:rFonts w:cs="Arial"/>
                <w:sz w:val="18"/>
              </w:rPr>
              <w:t>ndex stáří</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31. 12. 2013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Záporný, záporný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normovaných hodnot obou ukazatelů.</w:t>
            </w:r>
          </w:p>
          <w:p w:rsidR="00BE18B3" w:rsidRDefault="00BE18B3" w:rsidP="00BE18B3">
            <w:pPr>
              <w:tabs>
                <w:tab w:val="left" w:pos="1134"/>
              </w:tabs>
              <w:spacing w:before="0"/>
              <w:rPr>
                <w:rFonts w:cs="Arial"/>
                <w:sz w:val="18"/>
              </w:rPr>
            </w:pPr>
            <w:r>
              <w:rPr>
                <w:rFonts w:cs="Arial"/>
                <w:sz w:val="18"/>
              </w:rPr>
              <w:t>Průměrný věk – podíl součtu věku všech obyvatel a počtu obyvatel.</w:t>
            </w:r>
          </w:p>
          <w:p w:rsidR="00BE18B3" w:rsidRDefault="00BE18B3" w:rsidP="00BE18B3">
            <w:pPr>
              <w:tabs>
                <w:tab w:val="left" w:pos="1134"/>
              </w:tabs>
              <w:spacing w:before="0"/>
              <w:rPr>
                <w:rFonts w:cs="Arial"/>
                <w:sz w:val="18"/>
              </w:rPr>
            </w:pPr>
            <w:r>
              <w:rPr>
                <w:rFonts w:cs="Arial"/>
                <w:sz w:val="18"/>
              </w:rPr>
              <w:t>Index stáří – podíl počtu osob ve věkové kategorii 65 let a více k osobám ve věkové kategorii 0–14 let.</w:t>
            </w:r>
          </w:p>
        </w:tc>
      </w:tr>
    </w:tbl>
    <w:p w:rsidR="00BE18B3" w:rsidRPr="007F6674" w:rsidRDefault="00BE18B3" w:rsidP="007F6674">
      <w:pPr>
        <w:tabs>
          <w:tab w:val="right" w:pos="9540"/>
        </w:tabs>
        <w:spacing w:after="60"/>
        <w:rPr>
          <w:rFonts w:cs="Arial"/>
          <w:b/>
          <w:bCs/>
          <w:sz w:val="24"/>
        </w:rPr>
      </w:pPr>
      <w:bookmarkStart w:id="8" w:name="_Toc403372675"/>
      <w:r w:rsidRPr="007F6674">
        <w:rPr>
          <w:rFonts w:cs="Arial"/>
          <w:b/>
          <w:bCs/>
          <w:sz w:val="24"/>
        </w:rPr>
        <w:lastRenderedPageBreak/>
        <w:t xml:space="preserve">Migrace </w:t>
      </w:r>
      <w:r w:rsidRPr="007F6674">
        <w:rPr>
          <w:rFonts w:cs="Arial"/>
          <w:b/>
          <w:bCs/>
          <w:sz w:val="24"/>
        </w:rPr>
        <w:tab/>
      </w:r>
      <w:r w:rsidRPr="007F6674">
        <w:rPr>
          <w:rFonts w:cs="Arial"/>
          <w:bCs/>
          <w:i/>
          <w:sz w:val="24"/>
        </w:rPr>
        <w:t>Demografie</w:t>
      </w:r>
      <w:bookmarkEnd w:id="8"/>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A2EA0">
            <w:pPr>
              <w:tabs>
                <w:tab w:val="left" w:pos="1134"/>
              </w:tabs>
              <w:spacing w:before="0"/>
              <w:rPr>
                <w:rFonts w:cs="Arial"/>
                <w:sz w:val="18"/>
              </w:rPr>
            </w:pPr>
            <w:r>
              <w:rPr>
                <w:rFonts w:cs="Arial"/>
                <w:sz w:val="18"/>
              </w:rPr>
              <w:t>Migrační přírůstek</w:t>
            </w:r>
            <w:r w:rsidRPr="00E96A57">
              <w:rPr>
                <w:rFonts w:cs="Arial"/>
                <w:sz w:val="18"/>
              </w:rPr>
              <w:t xml:space="preserve"> </w:t>
            </w:r>
            <w:r>
              <w:rPr>
                <w:rFonts w:cs="Arial"/>
                <w:sz w:val="18"/>
              </w:rPr>
              <w:t xml:space="preserve">na </w:t>
            </w:r>
            <w:r w:rsidR="00BA2EA0">
              <w:rPr>
                <w:rFonts w:cs="Arial"/>
                <w:sz w:val="18"/>
              </w:rPr>
              <w:t>tisíc</w:t>
            </w:r>
            <w:r>
              <w:rPr>
                <w:rFonts w:cs="Arial"/>
                <w:sz w:val="18"/>
              </w:rPr>
              <w:t xml:space="preserve"> obyvatel</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2011–2013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Rozdíl mezi přistěhovalými a vystěhovanými osobami přepočtený na tisíc obyvatel středního stavu; tříletý průměr.</w:t>
            </w:r>
          </w:p>
        </w:tc>
      </w:tr>
    </w:tbl>
    <w:p w:rsidR="00BE18B3" w:rsidRDefault="00BE18B3" w:rsidP="00BE18B3">
      <w:pPr>
        <w:tabs>
          <w:tab w:val="left" w:pos="1134"/>
        </w:tabs>
        <w:spacing w:before="0"/>
      </w:pPr>
    </w:p>
    <w:p w:rsidR="00BE18B3" w:rsidRPr="007F6674" w:rsidRDefault="00BE18B3" w:rsidP="007F6674">
      <w:pPr>
        <w:tabs>
          <w:tab w:val="right" w:pos="9540"/>
        </w:tabs>
        <w:spacing w:after="60"/>
        <w:rPr>
          <w:rFonts w:cs="Arial"/>
          <w:b/>
          <w:bCs/>
          <w:sz w:val="24"/>
        </w:rPr>
      </w:pPr>
      <w:bookmarkStart w:id="9" w:name="_Toc403372676"/>
      <w:r w:rsidRPr="007F6674">
        <w:rPr>
          <w:rFonts w:cs="Arial"/>
          <w:b/>
          <w:bCs/>
          <w:sz w:val="24"/>
        </w:rPr>
        <w:t>Porodnost, plodnost</w:t>
      </w:r>
      <w:r w:rsidRPr="007F6674">
        <w:rPr>
          <w:rFonts w:cs="Arial"/>
          <w:b/>
          <w:bCs/>
          <w:sz w:val="24"/>
        </w:rPr>
        <w:tab/>
      </w:r>
      <w:r w:rsidRPr="007F6674">
        <w:rPr>
          <w:rFonts w:cs="Arial"/>
          <w:bCs/>
          <w:i/>
          <w:sz w:val="24"/>
        </w:rPr>
        <w:t>Demografie</w:t>
      </w:r>
      <w:bookmarkEnd w:id="9"/>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536AD9" w:rsidP="00536AD9">
            <w:pPr>
              <w:tabs>
                <w:tab w:val="left" w:pos="1134"/>
              </w:tabs>
              <w:spacing w:before="0"/>
              <w:rPr>
                <w:rFonts w:cs="Arial"/>
                <w:sz w:val="18"/>
              </w:rPr>
            </w:pPr>
            <w:r>
              <w:rPr>
                <w:rFonts w:cs="Arial"/>
                <w:sz w:val="18"/>
              </w:rPr>
              <w:t>Hrubá míra porodnosti; Ú</w:t>
            </w:r>
            <w:r w:rsidR="00BE18B3">
              <w:rPr>
                <w:rFonts w:cs="Arial"/>
                <w:sz w:val="18"/>
              </w:rPr>
              <w:t>hrnná plodnost</w:t>
            </w:r>
            <w:r w:rsidR="00BE18B3"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2011–2013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normovaných hodnot obou ukazatelů</w:t>
            </w:r>
            <w:r w:rsidR="00536AD9">
              <w:rPr>
                <w:rFonts w:cs="Arial"/>
                <w:sz w:val="18"/>
              </w:rPr>
              <w:t>.</w:t>
            </w:r>
          </w:p>
          <w:p w:rsidR="00BE18B3" w:rsidRDefault="00BE18B3" w:rsidP="00BE18B3">
            <w:pPr>
              <w:tabs>
                <w:tab w:val="left" w:pos="1134"/>
              </w:tabs>
              <w:spacing w:before="0"/>
              <w:rPr>
                <w:rFonts w:cs="Arial"/>
                <w:sz w:val="18"/>
              </w:rPr>
            </w:pPr>
            <w:r>
              <w:rPr>
                <w:rFonts w:cs="Arial"/>
                <w:sz w:val="18"/>
              </w:rPr>
              <w:t>Oba ukazatele – forma tříletých průměrů z let 2011 až 2013.</w:t>
            </w:r>
          </w:p>
          <w:p w:rsidR="00BE18B3" w:rsidRDefault="00BE18B3" w:rsidP="00BE18B3">
            <w:pPr>
              <w:tabs>
                <w:tab w:val="left" w:pos="1134"/>
              </w:tabs>
              <w:spacing w:before="0"/>
              <w:rPr>
                <w:rFonts w:cs="Arial"/>
                <w:sz w:val="18"/>
              </w:rPr>
            </w:pPr>
            <w:r>
              <w:rPr>
                <w:rFonts w:cs="Arial"/>
                <w:sz w:val="18"/>
              </w:rPr>
              <w:t>Hrubá míra porodnosti – počet živě narozených dětí na tisíc obyvatel středního stavu.</w:t>
            </w:r>
          </w:p>
          <w:p w:rsidR="00BE18B3" w:rsidRDefault="00BE18B3" w:rsidP="00BE18B3">
            <w:pPr>
              <w:tabs>
                <w:tab w:val="left" w:pos="1134"/>
              </w:tabs>
              <w:spacing w:before="0"/>
              <w:rPr>
                <w:rFonts w:cs="Arial"/>
                <w:sz w:val="18"/>
              </w:rPr>
            </w:pPr>
            <w:r>
              <w:rPr>
                <w:rFonts w:cs="Arial"/>
                <w:sz w:val="18"/>
              </w:rPr>
              <w:t xml:space="preserve">Úhrnná plodnost – součet podílů počtu narozených dětí matkám ve věku x a počtu žen v daném věku. </w:t>
            </w:r>
          </w:p>
        </w:tc>
      </w:tr>
    </w:tbl>
    <w:p w:rsidR="00BE18B3" w:rsidRDefault="00BE18B3" w:rsidP="00BE18B3">
      <w:pPr>
        <w:tabs>
          <w:tab w:val="left" w:pos="1134"/>
        </w:tabs>
        <w:spacing w:before="0"/>
      </w:pPr>
    </w:p>
    <w:p w:rsidR="00BE18B3" w:rsidRPr="007F6674" w:rsidRDefault="00BE18B3" w:rsidP="007F6674">
      <w:pPr>
        <w:tabs>
          <w:tab w:val="right" w:pos="9540"/>
        </w:tabs>
        <w:spacing w:after="60"/>
        <w:rPr>
          <w:rFonts w:cs="Arial"/>
          <w:b/>
          <w:bCs/>
          <w:sz w:val="24"/>
        </w:rPr>
      </w:pPr>
      <w:bookmarkStart w:id="10" w:name="_Toc403372677"/>
      <w:r w:rsidRPr="007F6674">
        <w:rPr>
          <w:rFonts w:cs="Arial"/>
          <w:b/>
          <w:bCs/>
          <w:sz w:val="24"/>
        </w:rPr>
        <w:t xml:space="preserve">Úmrtnost  </w:t>
      </w:r>
      <w:r w:rsidRPr="007F6674">
        <w:rPr>
          <w:rFonts w:cs="Arial"/>
          <w:b/>
          <w:bCs/>
          <w:sz w:val="24"/>
        </w:rPr>
        <w:tab/>
      </w:r>
      <w:r w:rsidRPr="007F6674">
        <w:rPr>
          <w:rFonts w:cs="Arial"/>
          <w:bCs/>
          <w:i/>
          <w:sz w:val="24"/>
        </w:rPr>
        <w:t>Demografie</w:t>
      </w:r>
      <w:bookmarkEnd w:id="10"/>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Hrubá míra úmrtnosti</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2011–2013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Záporný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Forma tříletých průměrů z let 2011 až 2013.</w:t>
            </w:r>
          </w:p>
          <w:p w:rsidR="00BE18B3" w:rsidRDefault="00BE18B3" w:rsidP="00BE18B3">
            <w:pPr>
              <w:tabs>
                <w:tab w:val="left" w:pos="1134"/>
              </w:tabs>
              <w:spacing w:before="0"/>
              <w:rPr>
                <w:rFonts w:cs="Arial"/>
                <w:sz w:val="18"/>
              </w:rPr>
            </w:pPr>
            <w:r>
              <w:rPr>
                <w:rFonts w:cs="Arial"/>
                <w:sz w:val="18"/>
              </w:rPr>
              <w:t xml:space="preserve">Počet zemřelých osob na tisíc obyvatel středního stavu. </w:t>
            </w:r>
          </w:p>
        </w:tc>
      </w:tr>
    </w:tbl>
    <w:p w:rsidR="00BE18B3" w:rsidRDefault="00BE18B3" w:rsidP="00BE18B3">
      <w:pPr>
        <w:tabs>
          <w:tab w:val="left" w:pos="1134"/>
        </w:tabs>
        <w:spacing w:before="0"/>
      </w:pPr>
    </w:p>
    <w:p w:rsidR="00BE18B3" w:rsidRPr="007F6674" w:rsidRDefault="00BE18B3" w:rsidP="007F6674">
      <w:pPr>
        <w:tabs>
          <w:tab w:val="right" w:pos="9540"/>
        </w:tabs>
        <w:spacing w:after="60"/>
        <w:rPr>
          <w:rFonts w:cs="Arial"/>
          <w:b/>
          <w:bCs/>
          <w:sz w:val="24"/>
        </w:rPr>
      </w:pPr>
      <w:bookmarkStart w:id="11" w:name="_Toc403372678"/>
      <w:r w:rsidRPr="007F6674">
        <w:rPr>
          <w:rFonts w:cs="Arial"/>
          <w:b/>
          <w:bCs/>
          <w:sz w:val="24"/>
        </w:rPr>
        <w:t>Podíl cizinců</w:t>
      </w:r>
      <w:r w:rsidRPr="007F6674">
        <w:rPr>
          <w:rFonts w:cs="Arial"/>
          <w:b/>
          <w:bCs/>
          <w:sz w:val="24"/>
        </w:rPr>
        <w:tab/>
      </w:r>
      <w:r w:rsidRPr="007F6674">
        <w:rPr>
          <w:rFonts w:cs="Arial"/>
          <w:bCs/>
          <w:i/>
          <w:sz w:val="24"/>
        </w:rPr>
        <w:t>Demografie</w:t>
      </w:r>
      <w:bookmarkEnd w:id="11"/>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Podíl cizinců</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Podíl cizinců </w:t>
            </w:r>
            <w:r w:rsidR="00536AD9">
              <w:rPr>
                <w:rFonts w:cs="Arial"/>
                <w:sz w:val="18"/>
              </w:rPr>
              <w:t xml:space="preserve">(bez azylantů) </w:t>
            </w:r>
            <w:r>
              <w:rPr>
                <w:rFonts w:cs="Arial"/>
                <w:sz w:val="18"/>
              </w:rPr>
              <w:t>na obyvatelstvu.</w:t>
            </w:r>
          </w:p>
        </w:tc>
      </w:tr>
    </w:tbl>
    <w:p w:rsidR="00BE18B3" w:rsidRDefault="00BE18B3" w:rsidP="00BE18B3">
      <w:pPr>
        <w:tabs>
          <w:tab w:val="left" w:pos="1134"/>
        </w:tabs>
        <w:spacing w:before="0"/>
      </w:pPr>
    </w:p>
    <w:p w:rsidR="00BE18B3" w:rsidRPr="00BE18B3" w:rsidRDefault="00BE18B3" w:rsidP="00BE18B3">
      <w:pPr>
        <w:tabs>
          <w:tab w:val="right" w:pos="9540"/>
        </w:tabs>
        <w:spacing w:after="60"/>
        <w:rPr>
          <w:rFonts w:cs="Arial"/>
          <w:i/>
          <w:iCs/>
          <w:sz w:val="24"/>
        </w:rPr>
      </w:pPr>
      <w:r w:rsidRPr="00BE18B3">
        <w:rPr>
          <w:rFonts w:cs="Arial"/>
          <w:b/>
          <w:bCs/>
          <w:sz w:val="24"/>
        </w:rPr>
        <w:t>Zaměstnanost vybraných skupin</w:t>
      </w:r>
      <w:r w:rsidRPr="00BE18B3">
        <w:rPr>
          <w:rFonts w:cs="Arial"/>
          <w:b/>
          <w:bCs/>
          <w:sz w:val="24"/>
        </w:rPr>
        <w:tab/>
      </w:r>
      <w:r w:rsidRPr="00BE18B3">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Míra zaměstnanosti osob ve věku 55 až 64 let; Míra zaměstnanosti žen</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jc w:val="left"/>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Pr="00A348C0" w:rsidRDefault="000F1717"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normovaných hodnot obou ukazatelů.</w:t>
            </w:r>
          </w:p>
          <w:p w:rsidR="00BE18B3" w:rsidRDefault="00BE18B3" w:rsidP="00BE18B3">
            <w:pPr>
              <w:tabs>
                <w:tab w:val="left" w:pos="1134"/>
              </w:tabs>
              <w:spacing w:before="0"/>
              <w:rPr>
                <w:rFonts w:cs="Arial"/>
                <w:sz w:val="18"/>
              </w:rPr>
            </w:pPr>
            <w:r>
              <w:rPr>
                <w:rFonts w:cs="Arial"/>
                <w:sz w:val="18"/>
              </w:rPr>
              <w:t>Míra zaměstnanosti osob ve věku 55 až 64 let – podíl zaměstnaných osob ve věku 55 až 64 let z celkového počtu obyvatel příslušného věku se zjištěnou ekonomickou aktivitou v %.</w:t>
            </w:r>
          </w:p>
          <w:p w:rsidR="00BE18B3" w:rsidRDefault="00BE18B3" w:rsidP="00BE18B3">
            <w:pPr>
              <w:tabs>
                <w:tab w:val="left" w:pos="1134"/>
              </w:tabs>
              <w:spacing w:before="0"/>
              <w:rPr>
                <w:rFonts w:cs="Arial"/>
                <w:sz w:val="18"/>
              </w:rPr>
            </w:pPr>
            <w:r>
              <w:rPr>
                <w:rFonts w:cs="Arial"/>
                <w:sz w:val="18"/>
              </w:rPr>
              <w:t>Míra zaměstnanosti žen – podíl zaměstnaných žen na počtu žen ve věku 15 a více let se zjištěnou ekonomickou aktivitou v %.</w:t>
            </w:r>
          </w:p>
        </w:tc>
      </w:tr>
    </w:tbl>
    <w:p w:rsidR="00BE18B3" w:rsidRDefault="00BE18B3" w:rsidP="00BE18B3">
      <w:pPr>
        <w:tabs>
          <w:tab w:val="left" w:pos="1134"/>
        </w:tabs>
        <w:spacing w:before="0"/>
      </w:pPr>
    </w:p>
    <w:p w:rsidR="00BE18B3" w:rsidRPr="00BE18B3" w:rsidRDefault="00BE18B3" w:rsidP="00BE18B3">
      <w:pPr>
        <w:tabs>
          <w:tab w:val="right" w:pos="9540"/>
        </w:tabs>
        <w:spacing w:after="60"/>
        <w:rPr>
          <w:rFonts w:cs="Arial"/>
          <w:i/>
          <w:iCs/>
          <w:sz w:val="24"/>
        </w:rPr>
      </w:pPr>
      <w:r w:rsidRPr="00BE18B3">
        <w:rPr>
          <w:rFonts w:cs="Arial"/>
          <w:b/>
          <w:bCs/>
          <w:sz w:val="24"/>
        </w:rPr>
        <w:t>Generační výměna pracovní síly</w:t>
      </w:r>
      <w:r w:rsidRPr="00BE18B3">
        <w:rPr>
          <w:rFonts w:cs="Arial"/>
          <w:b/>
          <w:bCs/>
          <w:sz w:val="24"/>
        </w:rPr>
        <w:tab/>
      </w:r>
      <w:r w:rsidRPr="00BE18B3">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Index střídání generací</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jc w:val="left"/>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Pr="00A348C0" w:rsidRDefault="000F1717" w:rsidP="00BE18B3">
            <w:pPr>
              <w:tabs>
                <w:tab w:val="left" w:pos="1134"/>
              </w:tabs>
              <w:spacing w:before="0"/>
              <w:rPr>
                <w:rFonts w:cs="Arial"/>
                <w:sz w:val="18"/>
              </w:rPr>
            </w:pPr>
            <w:r>
              <w:rPr>
                <w:rFonts w:cs="Arial"/>
                <w:sz w:val="18"/>
              </w:rPr>
              <w:t>Kladný</w:t>
            </w:r>
          </w:p>
        </w:tc>
      </w:tr>
      <w:tr w:rsidR="00BE18B3" w:rsidTr="00BE18B3">
        <w:trPr>
          <w:trHeight w:val="194"/>
        </w:trPr>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Podíl počtu obyvatel ve věku 20 až 24 let k počtu obyvatel ve věku 60 až 64 let.</w:t>
            </w:r>
          </w:p>
        </w:tc>
      </w:tr>
    </w:tbl>
    <w:p w:rsidR="00BE18B3" w:rsidRPr="00E07A1F" w:rsidRDefault="00BE18B3" w:rsidP="00BE18B3">
      <w:pPr>
        <w:tabs>
          <w:tab w:val="left" w:pos="1134"/>
        </w:tabs>
        <w:spacing w:before="0"/>
      </w:pPr>
    </w:p>
    <w:p w:rsidR="00BE18B3" w:rsidRPr="00BE18B3" w:rsidRDefault="00BE18B3" w:rsidP="00BE18B3">
      <w:pPr>
        <w:tabs>
          <w:tab w:val="right" w:pos="9540"/>
        </w:tabs>
        <w:spacing w:after="60"/>
        <w:rPr>
          <w:rFonts w:cs="Arial"/>
          <w:i/>
          <w:iCs/>
          <w:sz w:val="24"/>
        </w:rPr>
      </w:pPr>
      <w:r w:rsidRPr="00BE18B3">
        <w:rPr>
          <w:rFonts w:cs="Arial"/>
          <w:b/>
          <w:bCs/>
          <w:sz w:val="24"/>
        </w:rPr>
        <w:t>Podnikání</w:t>
      </w:r>
      <w:r w:rsidRPr="00BE18B3">
        <w:rPr>
          <w:rFonts w:cs="Arial"/>
          <w:b/>
          <w:bCs/>
          <w:sz w:val="24"/>
        </w:rPr>
        <w:tab/>
      </w:r>
      <w:r w:rsidRPr="00BE18B3">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Intenzita podnikatelské aktivity; Malé a střední podniky na tisíc obyvatel</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 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jc w:val="left"/>
              <w:rPr>
                <w:rFonts w:cs="Arial"/>
                <w:sz w:val="18"/>
              </w:rPr>
            </w:pPr>
            <w:r>
              <w:rPr>
                <w:rFonts w:cs="Arial"/>
                <w:sz w:val="18"/>
              </w:rPr>
              <w:t xml:space="preserve">26. 3. 2011, </w:t>
            </w:r>
            <w:r>
              <w:rPr>
                <w:rFonts w:cs="Arial"/>
                <w:sz w:val="18"/>
              </w:rPr>
              <w:br/>
              <w:t>31. 12. 2013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Pr="00A348C0" w:rsidRDefault="000F1717"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w:t>
            </w:r>
            <w:r w:rsidR="00536AD9">
              <w:rPr>
                <w:rFonts w:cs="Arial"/>
                <w:sz w:val="18"/>
              </w:rPr>
              <w:t>ormovaných hodnot obou</w:t>
            </w:r>
            <w:r>
              <w:rPr>
                <w:rFonts w:cs="Arial"/>
                <w:sz w:val="18"/>
              </w:rPr>
              <w:t xml:space="preserve"> ukazatelů.</w:t>
            </w:r>
          </w:p>
          <w:p w:rsidR="00BE18B3" w:rsidRDefault="00BE18B3" w:rsidP="00BE18B3">
            <w:pPr>
              <w:tabs>
                <w:tab w:val="left" w:pos="1134"/>
              </w:tabs>
              <w:spacing w:before="0"/>
              <w:rPr>
                <w:rFonts w:cs="Arial"/>
                <w:sz w:val="18"/>
              </w:rPr>
            </w:pPr>
            <w:r>
              <w:rPr>
                <w:rFonts w:cs="Arial"/>
                <w:sz w:val="18"/>
              </w:rPr>
              <w:t xml:space="preserve">Intenzita podnikatelské aktivity – podíl </w:t>
            </w:r>
            <w:r w:rsidRPr="00293E45">
              <w:rPr>
                <w:rFonts w:cs="Arial"/>
                <w:sz w:val="18"/>
              </w:rPr>
              <w:t>podnikatelů (bez zaměstnanců i se zaměstnanci)</w:t>
            </w:r>
            <w:r>
              <w:rPr>
                <w:rFonts w:cs="Arial"/>
                <w:sz w:val="18"/>
              </w:rPr>
              <w:t xml:space="preserve"> na celkovém počtu ekonomicky aktivních osob. </w:t>
            </w:r>
          </w:p>
          <w:p w:rsidR="00BE18B3" w:rsidRDefault="00BE18B3" w:rsidP="001F15E4">
            <w:pPr>
              <w:tabs>
                <w:tab w:val="left" w:pos="1134"/>
              </w:tabs>
              <w:spacing w:before="0"/>
              <w:rPr>
                <w:rFonts w:cs="Arial"/>
                <w:sz w:val="18"/>
              </w:rPr>
            </w:pPr>
            <w:r>
              <w:rPr>
                <w:rFonts w:cs="Arial"/>
                <w:sz w:val="18"/>
              </w:rPr>
              <w:t xml:space="preserve">Malé a střední podniky na tisíc obyvatel – podíl počtu podniků s jedním až 249 zaměstnanci se sídlem v SO ORP a zjištěnou aktivitou </w:t>
            </w:r>
            <w:r w:rsidR="00536AD9">
              <w:rPr>
                <w:rFonts w:cs="Arial"/>
                <w:sz w:val="18"/>
              </w:rPr>
              <w:t xml:space="preserve">přepočtený </w:t>
            </w:r>
            <w:r>
              <w:rPr>
                <w:rFonts w:cs="Arial"/>
                <w:sz w:val="18"/>
              </w:rPr>
              <w:t>na tisíc obyvatel.</w:t>
            </w:r>
          </w:p>
        </w:tc>
      </w:tr>
    </w:tbl>
    <w:p w:rsidR="00BE18B3" w:rsidRDefault="00BE18B3" w:rsidP="00BE18B3">
      <w:pPr>
        <w:tabs>
          <w:tab w:val="left" w:pos="1134"/>
        </w:tabs>
        <w:spacing w:before="0"/>
      </w:pPr>
    </w:p>
    <w:p w:rsidR="00484370" w:rsidRPr="00BE18B3" w:rsidRDefault="00484370" w:rsidP="00484370">
      <w:pPr>
        <w:tabs>
          <w:tab w:val="right" w:pos="9540"/>
        </w:tabs>
        <w:spacing w:after="60"/>
        <w:rPr>
          <w:rFonts w:cs="Arial"/>
          <w:i/>
          <w:iCs/>
          <w:sz w:val="24"/>
        </w:rPr>
      </w:pPr>
      <w:bookmarkStart w:id="12" w:name="_Toc403372679"/>
      <w:r w:rsidRPr="00484370">
        <w:rPr>
          <w:rFonts w:cs="Arial"/>
          <w:b/>
          <w:bCs/>
          <w:sz w:val="24"/>
        </w:rPr>
        <w:t>Investiční aktivita obcí</w:t>
      </w:r>
      <w:r w:rsidRPr="00BE18B3">
        <w:rPr>
          <w:rFonts w:cs="Arial"/>
          <w:b/>
          <w:bCs/>
          <w:sz w:val="24"/>
        </w:rPr>
        <w:tab/>
      </w:r>
      <w:r w:rsidRPr="00BE18B3">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bookmarkEnd w:id="12"/>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Podíl kapitálových výdajů obcí</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MF</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2010–2012</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0F1717"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Podíl kapitálových výdajů obcí</w:t>
            </w:r>
            <w:r w:rsidRPr="00CF7CEE">
              <w:rPr>
                <w:rFonts w:cs="Arial"/>
                <w:sz w:val="18"/>
              </w:rPr>
              <w:t xml:space="preserve"> </w:t>
            </w:r>
            <w:r>
              <w:rPr>
                <w:rFonts w:cs="Arial"/>
                <w:sz w:val="18"/>
              </w:rPr>
              <w:t>(po konsolidaci) na jejich celkových výdajích (po konsolidaci); roční průměr za tříleté období.</w:t>
            </w:r>
          </w:p>
        </w:tc>
      </w:tr>
    </w:tbl>
    <w:p w:rsidR="00BE18B3" w:rsidRDefault="00BE18B3" w:rsidP="00BE18B3">
      <w:pPr>
        <w:tabs>
          <w:tab w:val="left" w:pos="1134"/>
        </w:tabs>
        <w:spacing w:before="0"/>
      </w:pPr>
    </w:p>
    <w:p w:rsidR="00BE18B3" w:rsidRPr="00BE18B3" w:rsidRDefault="00BE18B3" w:rsidP="00BE18B3">
      <w:pPr>
        <w:tabs>
          <w:tab w:val="left" w:pos="1134"/>
          <w:tab w:val="right" w:pos="9540"/>
        </w:tabs>
        <w:spacing w:after="60"/>
        <w:rPr>
          <w:rFonts w:cs="Arial"/>
          <w:i/>
          <w:iCs/>
          <w:sz w:val="24"/>
        </w:rPr>
      </w:pPr>
      <w:r w:rsidRPr="00BE18B3">
        <w:rPr>
          <w:rFonts w:cs="Arial"/>
          <w:b/>
          <w:bCs/>
          <w:sz w:val="24"/>
        </w:rPr>
        <w:lastRenderedPageBreak/>
        <w:t>Ekonomická struktura</w:t>
      </w:r>
      <w:r w:rsidRPr="00BE18B3">
        <w:rPr>
          <w:rFonts w:cs="Arial"/>
          <w:b/>
          <w:bCs/>
          <w:sz w:val="24"/>
        </w:rPr>
        <w:tab/>
      </w:r>
      <w:r w:rsidRPr="00BE18B3">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Index progresivity ekonomické struktury</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0F1717" w:rsidP="000F1717">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536AD9">
            <w:pPr>
              <w:tabs>
                <w:tab w:val="left" w:pos="1134"/>
              </w:tabs>
              <w:spacing w:before="0"/>
              <w:rPr>
                <w:rFonts w:cs="Arial"/>
                <w:sz w:val="18"/>
              </w:rPr>
            </w:pPr>
            <w:r>
              <w:rPr>
                <w:rFonts w:cs="Arial"/>
                <w:sz w:val="18"/>
              </w:rPr>
              <w:t>Vážený průměr podíl</w:t>
            </w:r>
            <w:r w:rsidR="00536AD9">
              <w:rPr>
                <w:rFonts w:cs="Arial"/>
                <w:sz w:val="18"/>
              </w:rPr>
              <w:t>ů</w:t>
            </w:r>
            <w:r>
              <w:rPr>
                <w:rFonts w:cs="Arial"/>
                <w:sz w:val="18"/>
              </w:rPr>
              <w:t xml:space="preserve"> jednotlivých sektorů na celkové zaměstnanosti bydlícího obyvatelstva, přičemž váhy kladou největší důraz na terciární sektor. Pro primární sektor stanovena váha 1, pro sekundární sektor (CZ </w:t>
            </w:r>
            <w:proofErr w:type="gramStart"/>
            <w:r>
              <w:rPr>
                <w:rFonts w:cs="Arial"/>
                <w:sz w:val="18"/>
              </w:rPr>
              <w:t>NACE B–F) váha</w:t>
            </w:r>
            <w:proofErr w:type="gramEnd"/>
            <w:r>
              <w:rPr>
                <w:rFonts w:cs="Arial"/>
                <w:sz w:val="18"/>
              </w:rPr>
              <w:t xml:space="preserve"> 2, pro terciární sektor odvětví CZ NACE H–N váha 3 a odvětví CZ NACE O–R váha 4. </w:t>
            </w:r>
          </w:p>
        </w:tc>
      </w:tr>
    </w:tbl>
    <w:p w:rsidR="00BE18B3" w:rsidRDefault="00BE18B3" w:rsidP="00BE18B3">
      <w:pPr>
        <w:tabs>
          <w:tab w:val="left" w:pos="1134"/>
        </w:tabs>
        <w:spacing w:before="0"/>
      </w:pPr>
    </w:p>
    <w:p w:rsidR="00BE18B3" w:rsidRPr="002B54C8" w:rsidRDefault="00BE18B3" w:rsidP="002B54C8">
      <w:pPr>
        <w:tabs>
          <w:tab w:val="left" w:pos="1134"/>
          <w:tab w:val="right" w:pos="9540"/>
        </w:tabs>
        <w:spacing w:after="60"/>
        <w:rPr>
          <w:rFonts w:cs="Arial"/>
          <w:b/>
          <w:bCs/>
          <w:sz w:val="24"/>
        </w:rPr>
      </w:pPr>
      <w:bookmarkStart w:id="13" w:name="_Toc403372680"/>
      <w:r w:rsidRPr="002B54C8">
        <w:rPr>
          <w:rFonts w:cs="Arial"/>
          <w:b/>
          <w:bCs/>
          <w:sz w:val="24"/>
        </w:rPr>
        <w:t>Stavebnictví</w:t>
      </w:r>
      <w:r w:rsidRPr="002B54C8">
        <w:rPr>
          <w:rFonts w:cs="Arial"/>
          <w:b/>
          <w:bCs/>
          <w:sz w:val="24"/>
        </w:rPr>
        <w:tab/>
      </w:r>
      <w:r w:rsidRPr="002B54C8">
        <w:rPr>
          <w:rFonts w:cs="Arial"/>
          <w:i/>
          <w:iCs/>
          <w:sz w:val="24"/>
        </w:rPr>
        <w:t>Ekonomika</w:t>
      </w:r>
      <w:bookmarkEnd w:id="13"/>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sidRPr="0064447E">
              <w:rPr>
                <w:rFonts w:cs="Arial"/>
                <w:sz w:val="18"/>
              </w:rPr>
              <w:t>Index lokalizace ve stavebnictví</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0F1717"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Podíl počtu zaměstnaných ve stavebnictví bydlících v SO ORP na počtu zaměstnaných celkem (se zjištěným odvětvím) bydlících v SO ORP dělený podílem počtu zaměstnaných ve stavebnictví bydlících v kraji na počtu zaměstnaných celkem (se zjištěným odvětvím) bydlících v kraji.</w:t>
            </w:r>
          </w:p>
        </w:tc>
      </w:tr>
    </w:tbl>
    <w:p w:rsidR="00BE18B3" w:rsidRDefault="00BE18B3" w:rsidP="00BE18B3">
      <w:pPr>
        <w:tabs>
          <w:tab w:val="left" w:pos="1134"/>
        </w:tabs>
        <w:spacing w:before="0"/>
      </w:pPr>
    </w:p>
    <w:p w:rsidR="00BE18B3" w:rsidRPr="00BE18B3" w:rsidRDefault="00BE18B3" w:rsidP="00BE18B3">
      <w:pPr>
        <w:tabs>
          <w:tab w:val="left" w:pos="1134"/>
          <w:tab w:val="right" w:pos="9540"/>
        </w:tabs>
        <w:spacing w:after="60"/>
        <w:rPr>
          <w:rFonts w:cs="Arial"/>
          <w:i/>
          <w:iCs/>
          <w:sz w:val="24"/>
        </w:rPr>
      </w:pPr>
      <w:r w:rsidRPr="00BE18B3">
        <w:rPr>
          <w:rFonts w:cs="Arial"/>
          <w:b/>
          <w:bCs/>
          <w:sz w:val="24"/>
        </w:rPr>
        <w:t>Cestovní ruch</w:t>
      </w:r>
      <w:r w:rsidRPr="00BE18B3">
        <w:rPr>
          <w:rFonts w:cs="Arial"/>
          <w:b/>
          <w:bCs/>
          <w:sz w:val="24"/>
        </w:rPr>
        <w:tab/>
      </w:r>
      <w:r w:rsidRPr="00BE18B3">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Hosté na tisíc obyvatel</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0F1717"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Počet hostů ubytovaných v hromadných ubytovacích zařízeních v přepočtu na tisíc obyvatel středního stavu;  roční průměr za dvouleté období. </w:t>
            </w:r>
          </w:p>
        </w:tc>
      </w:tr>
    </w:tbl>
    <w:p w:rsidR="00BE18B3" w:rsidRPr="009A1C76" w:rsidRDefault="00BE18B3" w:rsidP="00BE18B3">
      <w:pPr>
        <w:tabs>
          <w:tab w:val="left" w:pos="1134"/>
        </w:tabs>
        <w:spacing w:before="0"/>
      </w:pPr>
    </w:p>
    <w:p w:rsidR="00BE18B3" w:rsidRDefault="00BE18B3" w:rsidP="00BE18B3">
      <w:pPr>
        <w:tabs>
          <w:tab w:val="right" w:pos="9540"/>
        </w:tabs>
        <w:spacing w:after="60"/>
        <w:rPr>
          <w:rFonts w:cs="Arial"/>
          <w:i/>
          <w:iCs/>
          <w:sz w:val="22"/>
        </w:rPr>
      </w:pPr>
      <w:r w:rsidRPr="00BE18B3">
        <w:rPr>
          <w:rFonts w:cs="Arial"/>
          <w:b/>
          <w:bCs/>
          <w:sz w:val="24"/>
        </w:rPr>
        <w:t>Bytová výstavba</w:t>
      </w:r>
      <w:r>
        <w:rPr>
          <w:rFonts w:cs="Arial"/>
          <w:b/>
          <w:bCs/>
          <w:sz w:val="28"/>
        </w:rPr>
        <w:tab/>
      </w:r>
      <w:r>
        <w:rPr>
          <w:rFonts w:cs="Arial"/>
          <w:i/>
          <w:iCs/>
          <w:sz w:val="24"/>
        </w:rPr>
        <w:t>Ekonomika</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Intenzita dokončování bytové výstavby; Podíl bytů postavených za posledních deset let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 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jc w:val="left"/>
              <w:rPr>
                <w:rFonts w:cs="Arial"/>
                <w:sz w:val="18"/>
              </w:rPr>
            </w:pPr>
            <w:r>
              <w:rPr>
                <w:rFonts w:cs="Arial"/>
                <w:sz w:val="18"/>
              </w:rPr>
              <w:t xml:space="preserve">2011–2013, </w:t>
            </w:r>
            <w:r>
              <w:rPr>
                <w:rFonts w:cs="Arial"/>
                <w:sz w:val="18"/>
              </w:rPr>
              <w:b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Pr="00A348C0" w:rsidRDefault="000F1717"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w:t>
            </w:r>
            <w:r w:rsidR="00536AD9">
              <w:rPr>
                <w:rFonts w:cs="Arial"/>
                <w:sz w:val="18"/>
              </w:rPr>
              <w:t>ormovaných hodnot obou</w:t>
            </w:r>
            <w:r>
              <w:rPr>
                <w:rFonts w:cs="Arial"/>
                <w:sz w:val="18"/>
              </w:rPr>
              <w:t xml:space="preserve"> ukazatelů.</w:t>
            </w:r>
          </w:p>
          <w:p w:rsidR="00BE18B3" w:rsidRDefault="00BE18B3" w:rsidP="00BE18B3">
            <w:pPr>
              <w:tabs>
                <w:tab w:val="left" w:pos="1134"/>
              </w:tabs>
              <w:spacing w:before="0"/>
              <w:rPr>
                <w:rFonts w:cs="Arial"/>
                <w:sz w:val="18"/>
              </w:rPr>
            </w:pPr>
            <w:r>
              <w:rPr>
                <w:rFonts w:cs="Arial"/>
                <w:sz w:val="18"/>
              </w:rPr>
              <w:t>Intenzita dokončování bytové výstavby – podíl dokončených bytů na tisíc obyvatel</w:t>
            </w:r>
            <w:r w:rsidR="00536AD9">
              <w:rPr>
                <w:rFonts w:cs="Arial"/>
                <w:sz w:val="18"/>
              </w:rPr>
              <w:t xml:space="preserve"> středního stavu</w:t>
            </w:r>
            <w:r>
              <w:rPr>
                <w:rFonts w:cs="Arial"/>
                <w:sz w:val="18"/>
              </w:rPr>
              <w:t xml:space="preserve">;  roční průměr za tříleté období. </w:t>
            </w:r>
          </w:p>
          <w:p w:rsidR="00BE18B3" w:rsidRDefault="00BE18B3" w:rsidP="00BE18B3">
            <w:pPr>
              <w:tabs>
                <w:tab w:val="left" w:pos="1134"/>
              </w:tabs>
              <w:spacing w:before="0"/>
              <w:rPr>
                <w:rFonts w:cs="Arial"/>
                <w:sz w:val="18"/>
              </w:rPr>
            </w:pPr>
            <w:r>
              <w:rPr>
                <w:rFonts w:cs="Arial"/>
                <w:sz w:val="18"/>
              </w:rPr>
              <w:t>Podíl bytů postavených za pos</w:t>
            </w:r>
            <w:r w:rsidR="00536AD9">
              <w:rPr>
                <w:rFonts w:cs="Arial"/>
                <w:sz w:val="18"/>
              </w:rPr>
              <w:t>ledních deset let – podíl</w:t>
            </w:r>
            <w:r>
              <w:rPr>
                <w:rFonts w:cs="Arial"/>
                <w:sz w:val="18"/>
              </w:rPr>
              <w:t xml:space="preserve"> obydlených bytů postavených (rekonstruo</w:t>
            </w:r>
            <w:r>
              <w:rPr>
                <w:rFonts w:cs="Arial"/>
                <w:sz w:val="18"/>
              </w:rPr>
              <w:softHyphen/>
              <w:t>vaných) v l</w:t>
            </w:r>
            <w:r w:rsidR="00536AD9">
              <w:rPr>
                <w:rFonts w:cs="Arial"/>
                <w:sz w:val="18"/>
              </w:rPr>
              <w:t xml:space="preserve">etech 2001–2011 na počtu </w:t>
            </w:r>
            <w:r>
              <w:rPr>
                <w:rFonts w:cs="Arial"/>
                <w:sz w:val="18"/>
              </w:rPr>
              <w:t xml:space="preserve">obydlených bytů celkem. </w:t>
            </w:r>
          </w:p>
        </w:tc>
      </w:tr>
    </w:tbl>
    <w:p w:rsidR="00BE18B3" w:rsidRDefault="00BE18B3" w:rsidP="00BE18B3">
      <w:pPr>
        <w:spacing w:before="0"/>
      </w:pPr>
    </w:p>
    <w:p w:rsidR="00BE18B3" w:rsidRPr="002B54C8" w:rsidRDefault="00BE18B3" w:rsidP="002B54C8">
      <w:pPr>
        <w:tabs>
          <w:tab w:val="right" w:pos="9540"/>
        </w:tabs>
        <w:spacing w:after="60"/>
        <w:rPr>
          <w:rFonts w:cs="Arial"/>
          <w:b/>
          <w:bCs/>
          <w:sz w:val="24"/>
        </w:rPr>
      </w:pPr>
      <w:bookmarkStart w:id="14" w:name="_Toc403372681"/>
      <w:r w:rsidRPr="002B54C8">
        <w:rPr>
          <w:rFonts w:cs="Arial"/>
          <w:b/>
          <w:bCs/>
          <w:sz w:val="24"/>
        </w:rPr>
        <w:t>Nezaměstnanost</w:t>
      </w:r>
      <w:r w:rsidRPr="002B54C8">
        <w:rPr>
          <w:rFonts w:cs="Arial"/>
          <w:b/>
          <w:bCs/>
          <w:sz w:val="24"/>
        </w:rPr>
        <w:tab/>
      </w:r>
      <w:r w:rsidRPr="002B54C8">
        <w:rPr>
          <w:rFonts w:cs="Arial"/>
          <w:i/>
          <w:iCs/>
          <w:sz w:val="24"/>
        </w:rPr>
        <w:t>Sociální oblast</w:t>
      </w:r>
      <w:bookmarkEnd w:id="14"/>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Podíl nezaměstnaných osob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MPSV</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31. 3. 2014</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Záporný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w:t>
            </w:r>
            <w:r w:rsidRPr="007E448F">
              <w:rPr>
                <w:rFonts w:cs="Arial"/>
                <w:sz w:val="18"/>
              </w:rPr>
              <w:t>odíl dosažitelných uchazečů o zaměstnání ve věku 15-64 ze všech obyvatel ve stejném věku</w:t>
            </w:r>
            <w:r>
              <w:rPr>
                <w:rFonts w:cs="Arial"/>
                <w:sz w:val="18"/>
              </w:rPr>
              <w:t>.</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15" w:name="_Toc403372682"/>
      <w:r w:rsidRPr="002B54C8">
        <w:rPr>
          <w:rFonts w:cs="Arial"/>
          <w:b/>
          <w:bCs/>
          <w:sz w:val="24"/>
        </w:rPr>
        <w:t>Vzdělání obyvatelstva</w:t>
      </w:r>
      <w:r w:rsidRPr="002B54C8">
        <w:rPr>
          <w:rFonts w:cs="Arial"/>
          <w:b/>
          <w:bCs/>
          <w:sz w:val="24"/>
        </w:rPr>
        <w:tab/>
      </w:r>
      <w:r w:rsidRPr="002B54C8">
        <w:rPr>
          <w:rFonts w:cs="Arial"/>
          <w:i/>
          <w:iCs/>
          <w:sz w:val="24"/>
        </w:rPr>
        <w:t>Sociální oblast</w:t>
      </w:r>
      <w:bookmarkEnd w:id="15"/>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Průměrná délka školní docházky</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Vážený průměr počtu let potřebných k dosažení určitého stupně vzdělání, kde vahami jsou počty obyvatel s odpovídajícím nejvyšším dosaženým vzděláním. Základní vzdělání </w:t>
            </w:r>
            <w:r w:rsidR="00C353EA">
              <w:rPr>
                <w:rFonts w:cs="Arial"/>
                <w:sz w:val="18"/>
              </w:rPr>
              <w:t xml:space="preserve">(včetně nedokončeného) </w:t>
            </w:r>
            <w:r>
              <w:rPr>
                <w:rFonts w:cs="Arial"/>
                <w:sz w:val="18"/>
              </w:rPr>
              <w:t xml:space="preserve">– 7 let, střední odborné – 11 let, střední s maturitou – 12 let, nástavbové – 13 let, vyšší odborné – 15, vysokoškolské bakalářské – 15 let, vysokoškolské magisterské – 17 let, vysokoškolské doktorské – 19 let.  </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16" w:name="_Toc403372683"/>
      <w:r w:rsidRPr="002B54C8">
        <w:rPr>
          <w:rFonts w:cs="Arial"/>
          <w:b/>
          <w:bCs/>
          <w:sz w:val="24"/>
        </w:rPr>
        <w:t>Dostupnost zdravotnických služeb</w:t>
      </w:r>
      <w:r w:rsidRPr="002B54C8">
        <w:rPr>
          <w:rFonts w:cs="Arial"/>
          <w:b/>
          <w:bCs/>
          <w:sz w:val="24"/>
        </w:rPr>
        <w:tab/>
      </w:r>
      <w:r w:rsidRPr="002B54C8">
        <w:rPr>
          <w:rFonts w:cs="Arial"/>
          <w:i/>
          <w:iCs/>
          <w:sz w:val="24"/>
        </w:rPr>
        <w:t>Sociální oblast</w:t>
      </w:r>
      <w:bookmarkEnd w:id="16"/>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Počet obyvatel na jednu ordinaci praktického lékaře</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ČSÚ </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2012</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Záporný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Podíl počtu obyvatel a počtu ordinací praktického lékaře (včetně detašovaných pracovišť).</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17" w:name="_Toc403372684"/>
      <w:r w:rsidRPr="002B54C8">
        <w:rPr>
          <w:rFonts w:cs="Arial"/>
          <w:b/>
          <w:bCs/>
          <w:sz w:val="24"/>
        </w:rPr>
        <w:t>Kvalita bydlení</w:t>
      </w:r>
      <w:r w:rsidRPr="002B54C8">
        <w:rPr>
          <w:rFonts w:cs="Arial"/>
          <w:b/>
          <w:bCs/>
          <w:sz w:val="24"/>
        </w:rPr>
        <w:tab/>
      </w:r>
      <w:r w:rsidRPr="002B54C8">
        <w:rPr>
          <w:rFonts w:cs="Arial"/>
          <w:i/>
          <w:iCs/>
          <w:sz w:val="24"/>
        </w:rPr>
        <w:t>Sociální oblast</w:t>
      </w:r>
      <w:bookmarkEnd w:id="17"/>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6D32B5">
            <w:pPr>
              <w:tabs>
                <w:tab w:val="left" w:pos="1134"/>
              </w:tabs>
              <w:spacing w:before="0"/>
              <w:jc w:val="left"/>
              <w:rPr>
                <w:rFonts w:cs="Arial"/>
                <w:sz w:val="18"/>
              </w:rPr>
            </w:pPr>
            <w:r>
              <w:rPr>
                <w:rFonts w:cs="Arial"/>
                <w:sz w:val="18"/>
              </w:rPr>
              <w:t>P</w:t>
            </w:r>
            <w:r w:rsidRPr="00221060">
              <w:rPr>
                <w:rFonts w:cs="Arial"/>
                <w:sz w:val="18"/>
              </w:rPr>
              <w:t xml:space="preserve">odíl obydlených </w:t>
            </w:r>
            <w:r w:rsidR="00C353EA">
              <w:rPr>
                <w:rFonts w:cs="Arial"/>
                <w:sz w:val="18"/>
              </w:rPr>
              <w:t>bytů se sníženou kvalitou</w:t>
            </w:r>
            <w:r>
              <w:rPr>
                <w:rFonts w:cs="Arial"/>
                <w:sz w:val="18"/>
              </w:rPr>
              <w:t>;</w:t>
            </w:r>
            <w:r w:rsidR="00C353EA">
              <w:rPr>
                <w:rFonts w:cs="Arial"/>
                <w:sz w:val="18"/>
              </w:rPr>
              <w:t xml:space="preserve"> </w:t>
            </w:r>
            <w:r w:rsidR="006D32B5">
              <w:rPr>
                <w:rFonts w:cs="Arial"/>
                <w:sz w:val="18"/>
              </w:rPr>
              <w:br/>
            </w:r>
            <w:r w:rsidR="000F1717">
              <w:rPr>
                <w:rFonts w:cs="Arial"/>
                <w:sz w:val="18"/>
              </w:rPr>
              <w:t>P</w:t>
            </w:r>
            <w:r w:rsidRPr="00221060">
              <w:rPr>
                <w:rFonts w:cs="Arial"/>
                <w:sz w:val="18"/>
              </w:rPr>
              <w:t>odíl bytových domácností vybavených osobním počítačem</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Záporný, 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w:t>
            </w:r>
            <w:r w:rsidR="00C353EA">
              <w:rPr>
                <w:rFonts w:cs="Arial"/>
                <w:sz w:val="18"/>
              </w:rPr>
              <w:t>ormovaných hodnot obou</w:t>
            </w:r>
            <w:r>
              <w:rPr>
                <w:rFonts w:cs="Arial"/>
                <w:sz w:val="18"/>
              </w:rPr>
              <w:t xml:space="preserve"> ukazatelů.</w:t>
            </w:r>
          </w:p>
          <w:p w:rsidR="00BE18B3" w:rsidRDefault="00BE18B3" w:rsidP="00BE18B3">
            <w:pPr>
              <w:tabs>
                <w:tab w:val="left" w:pos="1134"/>
              </w:tabs>
              <w:spacing w:before="0"/>
              <w:rPr>
                <w:rFonts w:cs="Arial"/>
                <w:sz w:val="18"/>
              </w:rPr>
            </w:pPr>
            <w:r>
              <w:rPr>
                <w:rFonts w:cs="Arial"/>
                <w:sz w:val="18"/>
              </w:rPr>
              <w:t>P</w:t>
            </w:r>
            <w:r w:rsidRPr="00221060">
              <w:rPr>
                <w:rFonts w:cs="Arial"/>
                <w:sz w:val="18"/>
              </w:rPr>
              <w:t>odíl obydlených b</w:t>
            </w:r>
            <w:r w:rsidR="00C353EA">
              <w:rPr>
                <w:rFonts w:cs="Arial"/>
                <w:sz w:val="18"/>
              </w:rPr>
              <w:t>ytů se sníženou kvalitou</w:t>
            </w:r>
            <w:r>
              <w:rPr>
                <w:rFonts w:cs="Arial"/>
                <w:sz w:val="18"/>
              </w:rPr>
              <w:t xml:space="preserve"> – podíl obydlených b</w:t>
            </w:r>
            <w:r w:rsidR="00C353EA">
              <w:rPr>
                <w:rFonts w:cs="Arial"/>
                <w:sz w:val="18"/>
              </w:rPr>
              <w:t>ytů se sníženou kvalitou</w:t>
            </w:r>
            <w:r>
              <w:rPr>
                <w:rFonts w:cs="Arial"/>
                <w:sz w:val="18"/>
              </w:rPr>
              <w:t xml:space="preserve"> na obydlených bytech celkem.</w:t>
            </w:r>
          </w:p>
          <w:p w:rsidR="00BE18B3" w:rsidRDefault="00BE18B3" w:rsidP="00BE18B3">
            <w:pPr>
              <w:tabs>
                <w:tab w:val="left" w:pos="1134"/>
              </w:tabs>
              <w:spacing w:before="0"/>
              <w:rPr>
                <w:rFonts w:cs="Arial"/>
                <w:sz w:val="18"/>
              </w:rPr>
            </w:pPr>
            <w:r>
              <w:rPr>
                <w:rFonts w:cs="Arial"/>
                <w:sz w:val="18"/>
              </w:rPr>
              <w:lastRenderedPageBreak/>
              <w:t>P</w:t>
            </w:r>
            <w:r w:rsidRPr="00221060">
              <w:rPr>
                <w:rFonts w:cs="Arial"/>
                <w:sz w:val="18"/>
              </w:rPr>
              <w:t>odíl bytových domácností vybavených osobním počítačem</w:t>
            </w:r>
            <w:r>
              <w:rPr>
                <w:rFonts w:cs="Arial"/>
                <w:sz w:val="18"/>
              </w:rPr>
              <w:t xml:space="preserve"> – podíl bytových domácností vybavených osobním počítačem na bytových domácnostech celkem.</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18" w:name="_Toc403372685"/>
      <w:r w:rsidRPr="002B54C8">
        <w:rPr>
          <w:rFonts w:cs="Arial"/>
          <w:b/>
          <w:bCs/>
          <w:sz w:val="24"/>
        </w:rPr>
        <w:t>Sociálně patologické jevy</w:t>
      </w:r>
      <w:r w:rsidRPr="002B54C8">
        <w:rPr>
          <w:rFonts w:cs="Arial"/>
          <w:b/>
          <w:bCs/>
          <w:sz w:val="24"/>
        </w:rPr>
        <w:tab/>
      </w:r>
      <w:r w:rsidRPr="002B54C8">
        <w:rPr>
          <w:rFonts w:cs="Arial"/>
          <w:i/>
          <w:iCs/>
          <w:sz w:val="24"/>
        </w:rPr>
        <w:t>Sociální oblast</w:t>
      </w:r>
      <w:bookmarkEnd w:id="18"/>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0F1717">
            <w:pPr>
              <w:tabs>
                <w:tab w:val="left" w:pos="1134"/>
              </w:tabs>
              <w:spacing w:before="0"/>
              <w:rPr>
                <w:rFonts w:cs="Arial"/>
                <w:sz w:val="18"/>
              </w:rPr>
            </w:pPr>
            <w:r>
              <w:rPr>
                <w:rFonts w:cs="Arial"/>
                <w:sz w:val="18"/>
              </w:rPr>
              <w:t xml:space="preserve">Hrubá míra rozvodovosti; </w:t>
            </w:r>
            <w:r w:rsidR="000F1717">
              <w:rPr>
                <w:rFonts w:cs="Arial"/>
                <w:sz w:val="18"/>
              </w:rPr>
              <w:t>P</w:t>
            </w:r>
            <w:r>
              <w:rPr>
                <w:rFonts w:cs="Arial"/>
                <w:sz w:val="18"/>
              </w:rPr>
              <w:t xml:space="preserve">otratový index; </w:t>
            </w:r>
            <w:r w:rsidR="000F1717">
              <w:rPr>
                <w:rFonts w:cs="Arial"/>
                <w:sz w:val="18"/>
              </w:rPr>
              <w:t>P</w:t>
            </w:r>
            <w:r>
              <w:rPr>
                <w:rFonts w:cs="Arial"/>
                <w:sz w:val="18"/>
              </w:rPr>
              <w:t>odíl neúplných rodin se závislými dětmi</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 SLDB</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72186A" w:rsidP="0019197D">
            <w:pPr>
              <w:tabs>
                <w:tab w:val="left" w:pos="1134"/>
              </w:tabs>
              <w:spacing w:before="0"/>
              <w:rPr>
                <w:rFonts w:cs="Arial"/>
                <w:sz w:val="18"/>
              </w:rPr>
            </w:pPr>
            <w:r>
              <w:rPr>
                <w:rFonts w:cs="Arial"/>
                <w:sz w:val="18"/>
              </w:rPr>
              <w:t xml:space="preserve">2011–2013, </w:t>
            </w:r>
            <w:r w:rsidR="0019197D">
              <w:rPr>
                <w:rFonts w:cs="Arial"/>
                <w:sz w:val="18"/>
              </w:rPr>
              <w:br/>
            </w:r>
            <w:r w:rsidR="00BE18B3">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Záporný, záporný, záporný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normov</w:t>
            </w:r>
            <w:r w:rsidR="000F1717">
              <w:rPr>
                <w:rFonts w:cs="Arial"/>
                <w:sz w:val="18"/>
              </w:rPr>
              <w:t>aných hodnot všech tří</w:t>
            </w:r>
            <w:r>
              <w:rPr>
                <w:rFonts w:cs="Arial"/>
                <w:sz w:val="18"/>
              </w:rPr>
              <w:t xml:space="preserve"> ukazatelů. </w:t>
            </w:r>
          </w:p>
          <w:p w:rsidR="00BE18B3" w:rsidRDefault="00BE18B3" w:rsidP="00BE18B3">
            <w:pPr>
              <w:tabs>
                <w:tab w:val="left" w:pos="1134"/>
              </w:tabs>
              <w:spacing w:before="0"/>
              <w:rPr>
                <w:rFonts w:cs="Arial"/>
                <w:sz w:val="18"/>
              </w:rPr>
            </w:pPr>
            <w:r>
              <w:rPr>
                <w:rFonts w:cs="Arial"/>
                <w:sz w:val="18"/>
              </w:rPr>
              <w:t xml:space="preserve">Hrubá míra rozvodovosti a potratový index – forma tříletých průměrů z let 2011 až 2013. </w:t>
            </w:r>
          </w:p>
          <w:p w:rsidR="00BE18B3" w:rsidRDefault="00BE18B3" w:rsidP="00BE18B3">
            <w:pPr>
              <w:tabs>
                <w:tab w:val="left" w:pos="1134"/>
              </w:tabs>
              <w:spacing w:before="0"/>
              <w:rPr>
                <w:rFonts w:cs="Arial"/>
                <w:sz w:val="18"/>
              </w:rPr>
            </w:pPr>
            <w:r>
              <w:rPr>
                <w:rFonts w:cs="Arial"/>
                <w:sz w:val="18"/>
              </w:rPr>
              <w:t>Hrubá míra rozvodovosti – počet rozvodů na 1 000 obyvatel středního stavu.</w:t>
            </w:r>
          </w:p>
          <w:p w:rsidR="00BE18B3" w:rsidRDefault="00BE18B3" w:rsidP="00BE18B3">
            <w:pPr>
              <w:tabs>
                <w:tab w:val="left" w:pos="1134"/>
              </w:tabs>
              <w:spacing w:before="0"/>
              <w:rPr>
                <w:rFonts w:cs="Arial"/>
                <w:sz w:val="18"/>
              </w:rPr>
            </w:pPr>
            <w:r>
              <w:rPr>
                <w:rFonts w:cs="Arial"/>
                <w:sz w:val="18"/>
              </w:rPr>
              <w:t xml:space="preserve">Potratový index – počet potratů (bez rozlišení) na 100 živě narozených dětí. </w:t>
            </w:r>
          </w:p>
          <w:p w:rsidR="00BE18B3" w:rsidRDefault="00BE18B3" w:rsidP="00BE18B3">
            <w:pPr>
              <w:tabs>
                <w:tab w:val="left" w:pos="1134"/>
              </w:tabs>
              <w:spacing w:before="0"/>
              <w:rPr>
                <w:rFonts w:cs="Arial"/>
                <w:sz w:val="18"/>
              </w:rPr>
            </w:pPr>
            <w:r>
              <w:rPr>
                <w:rFonts w:cs="Arial"/>
                <w:sz w:val="18"/>
              </w:rPr>
              <w:t>Podíl neúplných rodin se závislými dětmi – podíl neúplných rodin se závislými dětmi na rodinách se závislými dětmi celkem.</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19" w:name="_Toc403372686"/>
      <w:r w:rsidRPr="002B54C8">
        <w:rPr>
          <w:rFonts w:cs="Arial"/>
          <w:b/>
          <w:bCs/>
          <w:sz w:val="24"/>
        </w:rPr>
        <w:t>Rekreace a sport</w:t>
      </w:r>
      <w:r w:rsidRPr="002B54C8">
        <w:rPr>
          <w:rFonts w:cs="Arial"/>
          <w:b/>
          <w:bCs/>
          <w:sz w:val="24"/>
        </w:rPr>
        <w:tab/>
      </w:r>
      <w:r w:rsidRPr="002B54C8">
        <w:rPr>
          <w:rFonts w:cs="Arial"/>
          <w:i/>
          <w:iCs/>
          <w:sz w:val="24"/>
        </w:rPr>
        <w:t>Sociální oblast</w:t>
      </w:r>
      <w:bookmarkEnd w:id="19"/>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Podíl</w:t>
            </w:r>
            <w:r w:rsidR="000F1717">
              <w:rPr>
                <w:rFonts w:cs="Arial"/>
                <w:sz w:val="18"/>
              </w:rPr>
              <w:t xml:space="preserve"> plochy</w:t>
            </w:r>
            <w:r>
              <w:rPr>
                <w:rFonts w:cs="Arial"/>
                <w:sz w:val="18"/>
              </w:rPr>
              <w:t xml:space="preserve"> sportovišť a rekreační plochy</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ČUZK</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31. 12. 2013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Podíl </w:t>
            </w:r>
            <w:r w:rsidR="000F1717">
              <w:rPr>
                <w:rFonts w:cs="Arial"/>
                <w:sz w:val="18"/>
              </w:rPr>
              <w:t xml:space="preserve">plochy </w:t>
            </w:r>
            <w:r>
              <w:rPr>
                <w:rFonts w:cs="Arial"/>
                <w:sz w:val="18"/>
              </w:rPr>
              <w:t>sportovišť a rekreační plochy na ostatních plochách podle katastru.</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20" w:name="_Toc403372687"/>
      <w:r w:rsidRPr="002B54C8">
        <w:rPr>
          <w:rFonts w:cs="Arial"/>
          <w:b/>
          <w:bCs/>
          <w:sz w:val="24"/>
        </w:rPr>
        <w:t>Občanská angažovanost</w:t>
      </w:r>
      <w:r w:rsidRPr="002B54C8">
        <w:rPr>
          <w:rFonts w:cs="Arial"/>
          <w:b/>
          <w:bCs/>
          <w:sz w:val="24"/>
        </w:rPr>
        <w:tab/>
      </w:r>
      <w:r w:rsidRPr="002B54C8">
        <w:rPr>
          <w:rFonts w:cs="Arial"/>
          <w:i/>
          <w:iCs/>
          <w:sz w:val="24"/>
        </w:rPr>
        <w:t>Sociální oblast</w:t>
      </w:r>
      <w:bookmarkEnd w:id="20"/>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0F1717">
            <w:pPr>
              <w:tabs>
                <w:tab w:val="left" w:pos="1134"/>
              </w:tabs>
              <w:spacing w:before="0"/>
              <w:rPr>
                <w:rFonts w:cs="Arial"/>
                <w:sz w:val="18"/>
              </w:rPr>
            </w:pPr>
            <w:r>
              <w:rPr>
                <w:rFonts w:cs="Arial"/>
                <w:sz w:val="18"/>
              </w:rPr>
              <w:t xml:space="preserve">Volební účast; </w:t>
            </w:r>
            <w:r w:rsidR="000F1717">
              <w:rPr>
                <w:rFonts w:cs="Arial"/>
                <w:sz w:val="18"/>
              </w:rPr>
              <w:t>P</w:t>
            </w:r>
            <w:r>
              <w:rPr>
                <w:rFonts w:cs="Arial"/>
                <w:sz w:val="18"/>
              </w:rPr>
              <w:t>očet ekonomických subjektů v neziskovém sektoru</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ČSÚ</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2014, 2013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Kladný, 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normovaných hodnot obou ukazatelů.</w:t>
            </w:r>
          </w:p>
          <w:p w:rsidR="00BE18B3" w:rsidRDefault="00BE18B3" w:rsidP="00BE18B3">
            <w:pPr>
              <w:tabs>
                <w:tab w:val="left" w:pos="1134"/>
              </w:tabs>
              <w:spacing w:before="0"/>
              <w:rPr>
                <w:rFonts w:cs="Arial"/>
                <w:sz w:val="18"/>
              </w:rPr>
            </w:pPr>
            <w:r>
              <w:rPr>
                <w:rFonts w:cs="Arial"/>
                <w:sz w:val="18"/>
              </w:rPr>
              <w:t xml:space="preserve">Volební účast </w:t>
            </w:r>
            <w:r w:rsidR="006D32B5">
              <w:rPr>
                <w:rFonts w:cs="Arial"/>
                <w:sz w:val="18"/>
              </w:rPr>
              <w:t xml:space="preserve">ve volbách do zastupitelstev obcí 10. – 11. 10. 2014 </w:t>
            </w:r>
            <w:r>
              <w:rPr>
                <w:rFonts w:cs="Arial"/>
                <w:sz w:val="18"/>
              </w:rPr>
              <w:t>– podíl vydaných</w:t>
            </w:r>
            <w:r w:rsidR="006D32B5">
              <w:rPr>
                <w:rFonts w:cs="Arial"/>
                <w:sz w:val="18"/>
              </w:rPr>
              <w:t xml:space="preserve"> úředních</w:t>
            </w:r>
            <w:r>
              <w:rPr>
                <w:rFonts w:cs="Arial"/>
                <w:sz w:val="18"/>
              </w:rPr>
              <w:t xml:space="preserve"> obálek na počtu </w:t>
            </w:r>
            <w:r w:rsidR="006D32B5">
              <w:rPr>
                <w:rFonts w:cs="Arial"/>
                <w:sz w:val="18"/>
              </w:rPr>
              <w:t>zapsanýc</w:t>
            </w:r>
            <w:r>
              <w:rPr>
                <w:rFonts w:cs="Arial"/>
                <w:sz w:val="18"/>
              </w:rPr>
              <w:t xml:space="preserve">h voličů celkem. </w:t>
            </w:r>
          </w:p>
          <w:p w:rsidR="00BE18B3" w:rsidRDefault="00BE18B3" w:rsidP="00BE18B3">
            <w:pPr>
              <w:tabs>
                <w:tab w:val="left" w:pos="1134"/>
              </w:tabs>
              <w:spacing w:before="0"/>
              <w:rPr>
                <w:rFonts w:cs="Arial"/>
                <w:sz w:val="18"/>
              </w:rPr>
            </w:pPr>
            <w:r>
              <w:rPr>
                <w:rFonts w:cs="Arial"/>
                <w:sz w:val="18"/>
              </w:rPr>
              <w:t>Počet ekonomických subjektů v neziskovém sektoru – počet ekonomických subjektů působících v sektoru neziskových institucí sloužících domácnostem v přepočtu na 1 000 obyvatel ke konci roku 2013.</w:t>
            </w:r>
          </w:p>
        </w:tc>
      </w:tr>
    </w:tbl>
    <w:p w:rsidR="00BE18B3" w:rsidRDefault="00BE18B3" w:rsidP="00BE18B3">
      <w:pPr>
        <w:tabs>
          <w:tab w:val="left" w:pos="1134"/>
        </w:tabs>
        <w:spacing w:before="0"/>
      </w:pPr>
    </w:p>
    <w:p w:rsidR="00BE18B3" w:rsidRPr="002B54C8" w:rsidRDefault="00BE18B3" w:rsidP="002B54C8">
      <w:pPr>
        <w:tabs>
          <w:tab w:val="right" w:pos="9540"/>
        </w:tabs>
        <w:spacing w:after="60"/>
        <w:rPr>
          <w:rFonts w:cs="Arial"/>
          <w:b/>
          <w:bCs/>
          <w:sz w:val="24"/>
        </w:rPr>
      </w:pPr>
      <w:bookmarkStart w:id="21" w:name="_Toc403372688"/>
      <w:r w:rsidRPr="002B54C8">
        <w:rPr>
          <w:rFonts w:cs="Arial"/>
          <w:b/>
          <w:bCs/>
          <w:sz w:val="24"/>
        </w:rPr>
        <w:t>Průměrná mzda</w:t>
      </w:r>
      <w:r w:rsidRPr="002B54C8">
        <w:rPr>
          <w:rFonts w:cs="Arial"/>
          <w:b/>
          <w:bCs/>
          <w:sz w:val="24"/>
        </w:rPr>
        <w:tab/>
      </w:r>
      <w:r w:rsidRPr="002B54C8">
        <w:rPr>
          <w:rFonts w:cs="Arial"/>
          <w:i/>
          <w:iCs/>
          <w:sz w:val="24"/>
        </w:rPr>
        <w:t>Sociální oblast</w:t>
      </w:r>
      <w:bookmarkEnd w:id="21"/>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Průměrná měsíční mzda</w:t>
            </w:r>
            <w:r w:rsidRPr="00E96A57">
              <w:rPr>
                <w:rFonts w:cs="Arial"/>
                <w:sz w:val="18"/>
              </w:rPr>
              <w:t xml:space="preserve">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ČSÚ, SLDB </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Kladný </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Expertní odhad podle odvětvové struktury zaměstnanců v jednotlivých SO ORP a výše průměrné měsíční mzdy (na fyzické osoby) podle odvětví v kraji, zpracované </w:t>
            </w:r>
            <w:proofErr w:type="spellStart"/>
            <w:r>
              <w:rPr>
                <w:rFonts w:cs="Arial"/>
                <w:sz w:val="18"/>
              </w:rPr>
              <w:t>pracovištní</w:t>
            </w:r>
            <w:proofErr w:type="spellEnd"/>
            <w:r>
              <w:rPr>
                <w:rFonts w:cs="Arial"/>
                <w:sz w:val="18"/>
              </w:rPr>
              <w:t xml:space="preserve"> metodou. Vlastní propočet.</w:t>
            </w:r>
          </w:p>
        </w:tc>
      </w:tr>
    </w:tbl>
    <w:p w:rsidR="00BE18B3" w:rsidRDefault="00BE18B3" w:rsidP="00BE18B3">
      <w:pPr>
        <w:tabs>
          <w:tab w:val="left" w:pos="1134"/>
        </w:tabs>
        <w:spacing w:before="0"/>
      </w:pPr>
    </w:p>
    <w:p w:rsidR="00BE18B3" w:rsidRPr="0072186A" w:rsidRDefault="00BE18B3" w:rsidP="00BE18B3">
      <w:pPr>
        <w:tabs>
          <w:tab w:val="right" w:pos="9540"/>
        </w:tabs>
        <w:spacing w:after="60"/>
        <w:rPr>
          <w:rFonts w:cs="Arial"/>
          <w:i/>
          <w:iCs/>
          <w:sz w:val="24"/>
        </w:rPr>
      </w:pPr>
      <w:r w:rsidRPr="0072186A">
        <w:rPr>
          <w:rFonts w:cs="Arial"/>
          <w:b/>
          <w:bCs/>
          <w:sz w:val="24"/>
        </w:rPr>
        <w:t>Ekologická stabilita</w:t>
      </w:r>
      <w:r w:rsidRPr="0072186A">
        <w:rPr>
          <w:rFonts w:cs="Arial"/>
          <w:b/>
          <w:bCs/>
          <w:sz w:val="24"/>
        </w:rPr>
        <w:tab/>
      </w:r>
      <w:r w:rsidRPr="0072186A">
        <w:rPr>
          <w:rFonts w:cs="Arial"/>
          <w:i/>
          <w:iCs/>
          <w:sz w:val="24"/>
        </w:rPr>
        <w:t>Životní prostředí</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Koeficient ekologické stability; P</w:t>
            </w:r>
            <w:r w:rsidRPr="00C70718">
              <w:rPr>
                <w:rFonts w:cs="Arial"/>
                <w:sz w:val="18"/>
              </w:rPr>
              <w:t xml:space="preserve">odíl </w:t>
            </w:r>
            <w:r>
              <w:rPr>
                <w:rFonts w:cs="Arial"/>
                <w:sz w:val="18"/>
              </w:rPr>
              <w:t>ú</w:t>
            </w:r>
            <w:r w:rsidRPr="003975E7">
              <w:rPr>
                <w:rFonts w:cs="Arial"/>
                <w:sz w:val="18"/>
              </w:rPr>
              <w:t xml:space="preserve">zemí zvýšené ochrany přírody </w:t>
            </w:r>
            <w:r w:rsidRPr="00C70718">
              <w:rPr>
                <w:rFonts w:cs="Arial"/>
                <w:sz w:val="18"/>
              </w:rPr>
              <w:t>na celkové ploše</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ČÚZK, AOPK – KU Jč. kraje,</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jc w:val="left"/>
              <w:rPr>
                <w:rFonts w:cs="Arial"/>
                <w:sz w:val="18"/>
              </w:rPr>
            </w:pPr>
            <w:r>
              <w:rPr>
                <w:rFonts w:cs="Arial"/>
                <w:sz w:val="18"/>
              </w:rPr>
              <w:t>31. 12. 2013, 31. 12. 2012</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Pr="00A348C0" w:rsidRDefault="006C232F"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Průměr n</w:t>
            </w:r>
            <w:r w:rsidR="006D32B5">
              <w:rPr>
                <w:rFonts w:cs="Arial"/>
                <w:sz w:val="18"/>
              </w:rPr>
              <w:t>ormovaných hodnot obou</w:t>
            </w:r>
            <w:r>
              <w:rPr>
                <w:rFonts w:cs="Arial"/>
                <w:sz w:val="18"/>
              </w:rPr>
              <w:t xml:space="preserve"> ukazatelů.</w:t>
            </w:r>
          </w:p>
          <w:p w:rsidR="00BE18B3" w:rsidRDefault="00BE18B3" w:rsidP="00BE18B3">
            <w:pPr>
              <w:tabs>
                <w:tab w:val="left" w:pos="1134"/>
              </w:tabs>
              <w:spacing w:before="0"/>
              <w:rPr>
                <w:rFonts w:cs="Arial"/>
                <w:sz w:val="18"/>
              </w:rPr>
            </w:pPr>
            <w:r>
              <w:rPr>
                <w:rFonts w:cs="Arial"/>
                <w:sz w:val="18"/>
              </w:rPr>
              <w:t>Koeficient ekologické stability - poměr ekologicky stabilních (např. lesy, trvalé travní porosty) a ekologicky nestabilních (např. zastavěné plochy, orná půda) ploch.</w:t>
            </w:r>
          </w:p>
          <w:p w:rsidR="00BE18B3" w:rsidRDefault="00BE18B3" w:rsidP="00BE18B3">
            <w:pPr>
              <w:tabs>
                <w:tab w:val="left" w:pos="1134"/>
              </w:tabs>
              <w:spacing w:before="0"/>
              <w:rPr>
                <w:rFonts w:cs="Arial"/>
                <w:sz w:val="18"/>
              </w:rPr>
            </w:pPr>
            <w:r>
              <w:rPr>
                <w:rFonts w:cs="Arial"/>
                <w:sz w:val="18"/>
              </w:rPr>
              <w:t>Podíl ú</w:t>
            </w:r>
            <w:r w:rsidRPr="003975E7">
              <w:rPr>
                <w:rFonts w:cs="Arial"/>
                <w:sz w:val="18"/>
              </w:rPr>
              <w:t xml:space="preserve">zemí zvýšené ochrany přírody </w:t>
            </w:r>
            <w:r>
              <w:rPr>
                <w:rFonts w:cs="Arial"/>
                <w:sz w:val="18"/>
              </w:rPr>
              <w:t>na celkové ploše  - podíl všech typů zvláště chráněných území a ploch přírodních parků na rozloze území.</w:t>
            </w:r>
          </w:p>
        </w:tc>
      </w:tr>
    </w:tbl>
    <w:p w:rsidR="00BE18B3" w:rsidRPr="00A42892" w:rsidRDefault="00BE18B3" w:rsidP="00A42892">
      <w:pPr>
        <w:tabs>
          <w:tab w:val="right" w:pos="9540"/>
        </w:tabs>
        <w:spacing w:after="60"/>
        <w:rPr>
          <w:rFonts w:cs="Arial"/>
          <w:b/>
          <w:bCs/>
          <w:sz w:val="24"/>
        </w:rPr>
      </w:pPr>
      <w:bookmarkStart w:id="22" w:name="_Toc403372689"/>
      <w:r w:rsidRPr="00A42892">
        <w:rPr>
          <w:rFonts w:cs="Arial"/>
          <w:b/>
          <w:bCs/>
          <w:sz w:val="24"/>
        </w:rPr>
        <w:t>Překročení imisního limitu</w:t>
      </w:r>
      <w:r w:rsidRPr="00A42892">
        <w:rPr>
          <w:rFonts w:cs="Arial"/>
          <w:b/>
          <w:bCs/>
          <w:sz w:val="24"/>
        </w:rPr>
        <w:tab/>
      </w:r>
      <w:r w:rsidRPr="00A42892">
        <w:rPr>
          <w:rFonts w:cs="Arial"/>
          <w:i/>
          <w:iCs/>
          <w:sz w:val="24"/>
        </w:rPr>
        <w:t>Životní prostředí</w:t>
      </w:r>
      <w:bookmarkEnd w:id="22"/>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sidRPr="00D2243E">
              <w:rPr>
                <w:rFonts w:cs="Arial"/>
                <w:sz w:val="18"/>
              </w:rPr>
              <w:t>Překročení imisní</w:t>
            </w:r>
            <w:r>
              <w:rPr>
                <w:rFonts w:cs="Arial"/>
                <w:sz w:val="18"/>
              </w:rPr>
              <w:t>ho</w:t>
            </w:r>
            <w:r w:rsidRPr="00D2243E">
              <w:rPr>
                <w:rFonts w:cs="Arial"/>
                <w:sz w:val="18"/>
              </w:rPr>
              <w:t xml:space="preserve"> limit</w:t>
            </w:r>
            <w:r>
              <w:rPr>
                <w:rFonts w:cs="Arial"/>
                <w:sz w:val="18"/>
              </w:rPr>
              <w:t>u</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sidRPr="00CF7CEE">
              <w:rPr>
                <w:rFonts w:cs="Arial"/>
                <w:sz w:val="18"/>
              </w:rPr>
              <w:t>ČHMÚ</w:t>
            </w:r>
            <w:r>
              <w:rPr>
                <w:rFonts w:cs="Arial"/>
                <w:sz w:val="18"/>
              </w:rPr>
              <w:t xml:space="preserve"> – Statistická ročenka životního prostředí 2013</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2012</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6C232F" w:rsidP="00BE18B3">
            <w:pPr>
              <w:tabs>
                <w:tab w:val="left" w:pos="1134"/>
              </w:tabs>
              <w:spacing w:before="0"/>
              <w:rPr>
                <w:rFonts w:cs="Arial"/>
                <w:sz w:val="18"/>
              </w:rPr>
            </w:pPr>
            <w:r>
              <w:rPr>
                <w:rFonts w:cs="Arial"/>
                <w:sz w:val="18"/>
              </w:rPr>
              <w:t>Z</w:t>
            </w:r>
            <w:r w:rsidR="00BE18B3">
              <w:rPr>
                <w:rFonts w:cs="Arial"/>
                <w:sz w:val="18"/>
              </w:rPr>
              <w:t>áporný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Podíl území </w:t>
            </w:r>
            <w:r w:rsidRPr="00CF7CEE">
              <w:rPr>
                <w:rFonts w:cs="Arial"/>
                <w:sz w:val="18"/>
              </w:rPr>
              <w:t>s</w:t>
            </w:r>
            <w:r>
              <w:rPr>
                <w:rFonts w:cs="Arial"/>
                <w:sz w:val="18"/>
              </w:rPr>
              <w:t xml:space="preserve"> celkovým souhrnem </w:t>
            </w:r>
            <w:r w:rsidRPr="00CF7CEE">
              <w:rPr>
                <w:rFonts w:cs="Arial"/>
                <w:sz w:val="18"/>
              </w:rPr>
              <w:t>překročen</w:t>
            </w:r>
            <w:r>
              <w:rPr>
                <w:rFonts w:cs="Arial"/>
                <w:sz w:val="18"/>
              </w:rPr>
              <w:t xml:space="preserve">í </w:t>
            </w:r>
            <w:r w:rsidRPr="00CF7CEE">
              <w:rPr>
                <w:rFonts w:cs="Arial"/>
                <w:sz w:val="18"/>
              </w:rPr>
              <w:t>imisní</w:t>
            </w:r>
            <w:r>
              <w:rPr>
                <w:rFonts w:cs="Arial"/>
                <w:sz w:val="18"/>
              </w:rPr>
              <w:t xml:space="preserve">ch </w:t>
            </w:r>
            <w:r w:rsidRPr="00CF7CEE">
              <w:rPr>
                <w:rFonts w:cs="Arial"/>
                <w:sz w:val="18"/>
              </w:rPr>
              <w:t>limit</w:t>
            </w:r>
            <w:r>
              <w:rPr>
                <w:rFonts w:cs="Arial"/>
                <w:sz w:val="18"/>
              </w:rPr>
              <w:t>ů</w:t>
            </w:r>
            <w:r w:rsidRPr="00CF7CEE">
              <w:rPr>
                <w:rFonts w:cs="Arial"/>
                <w:sz w:val="18"/>
              </w:rPr>
              <w:t xml:space="preserve"> pro ochranu zdraví (bez </w:t>
            </w:r>
            <w:r>
              <w:rPr>
                <w:rFonts w:cs="Arial"/>
                <w:sz w:val="18"/>
              </w:rPr>
              <w:t>přízemního</w:t>
            </w:r>
            <w:r w:rsidRPr="00CF7CEE">
              <w:rPr>
                <w:rFonts w:cs="Arial"/>
                <w:sz w:val="18"/>
              </w:rPr>
              <w:t xml:space="preserve"> ozonu)</w:t>
            </w:r>
            <w:r w:rsidR="006D32B5">
              <w:rPr>
                <w:rFonts w:cs="Arial"/>
                <w:sz w:val="18"/>
              </w:rPr>
              <w:t xml:space="preserve"> na celkové ploše území</w:t>
            </w:r>
            <w:r>
              <w:rPr>
                <w:rFonts w:cs="Arial"/>
                <w:sz w:val="18"/>
              </w:rPr>
              <w:t>.</w:t>
            </w:r>
          </w:p>
        </w:tc>
      </w:tr>
    </w:tbl>
    <w:p w:rsidR="00BE18B3" w:rsidRDefault="00BE18B3" w:rsidP="00BE18B3">
      <w:pPr>
        <w:tabs>
          <w:tab w:val="left" w:pos="1134"/>
        </w:tabs>
        <w:spacing w:before="0"/>
      </w:pPr>
    </w:p>
    <w:p w:rsidR="00BE18B3" w:rsidRPr="00BE18B3" w:rsidRDefault="00BE18B3" w:rsidP="00BE18B3">
      <w:pPr>
        <w:tabs>
          <w:tab w:val="left" w:pos="1134"/>
          <w:tab w:val="right" w:pos="9540"/>
        </w:tabs>
        <w:spacing w:after="60"/>
        <w:rPr>
          <w:rFonts w:cs="Arial"/>
          <w:i/>
          <w:iCs/>
          <w:sz w:val="24"/>
        </w:rPr>
      </w:pPr>
      <w:r w:rsidRPr="00BE18B3">
        <w:rPr>
          <w:rFonts w:cs="Arial"/>
          <w:b/>
          <w:bCs/>
          <w:sz w:val="24"/>
        </w:rPr>
        <w:t>Produkce komunálních odpadů</w:t>
      </w:r>
      <w:r w:rsidRPr="00BE18B3">
        <w:rPr>
          <w:rFonts w:cs="Arial"/>
          <w:b/>
          <w:bCs/>
          <w:sz w:val="24"/>
        </w:rPr>
        <w:tab/>
      </w:r>
      <w:r w:rsidRPr="00BE18B3">
        <w:rPr>
          <w:rFonts w:cs="Arial"/>
          <w:i/>
          <w:iCs/>
          <w:sz w:val="24"/>
        </w:rPr>
        <w:t>Životní prostředí</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sidRPr="0034314E">
              <w:rPr>
                <w:rFonts w:cs="Arial"/>
                <w:sz w:val="18"/>
              </w:rPr>
              <w:t>Produkce komunálních odpadů na obyvatele</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MŽP</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6C232F" w:rsidP="00BE18B3">
            <w:pPr>
              <w:tabs>
                <w:tab w:val="left" w:pos="1134"/>
              </w:tabs>
              <w:spacing w:before="0"/>
              <w:rPr>
                <w:rFonts w:cs="Arial"/>
                <w:sz w:val="18"/>
              </w:rPr>
            </w:pPr>
            <w:r>
              <w:rPr>
                <w:rFonts w:cs="Arial"/>
                <w:sz w:val="18"/>
              </w:rPr>
              <w:t>Z</w:t>
            </w:r>
            <w:r w:rsidR="00BE18B3">
              <w:rPr>
                <w:rFonts w:cs="Arial"/>
                <w:sz w:val="18"/>
              </w:rPr>
              <w:t>áporný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 xml:space="preserve">Produkce komunálního odpadu (kód 20 katalogu odpadů) z evidence </w:t>
            </w:r>
            <w:r w:rsidRPr="00E96A57">
              <w:rPr>
                <w:rFonts w:cs="Arial"/>
                <w:sz w:val="18"/>
              </w:rPr>
              <w:t>Veřejn</w:t>
            </w:r>
            <w:r>
              <w:rPr>
                <w:rFonts w:cs="Arial"/>
                <w:sz w:val="18"/>
              </w:rPr>
              <w:t>ého</w:t>
            </w:r>
            <w:r w:rsidRPr="00E96A57">
              <w:rPr>
                <w:rFonts w:cs="Arial"/>
                <w:sz w:val="18"/>
              </w:rPr>
              <w:t xml:space="preserve"> informační</w:t>
            </w:r>
            <w:r>
              <w:rPr>
                <w:rFonts w:cs="Arial"/>
                <w:sz w:val="18"/>
              </w:rPr>
              <w:t>ho</w:t>
            </w:r>
            <w:r w:rsidRPr="00E96A57">
              <w:rPr>
                <w:rFonts w:cs="Arial"/>
                <w:sz w:val="18"/>
              </w:rPr>
              <w:t xml:space="preserve"> systém</w:t>
            </w:r>
            <w:r>
              <w:rPr>
                <w:rFonts w:cs="Arial"/>
                <w:sz w:val="18"/>
              </w:rPr>
              <w:t>u</w:t>
            </w:r>
            <w:r w:rsidRPr="00E96A57">
              <w:rPr>
                <w:rFonts w:cs="Arial"/>
                <w:sz w:val="18"/>
              </w:rPr>
              <w:t xml:space="preserve"> odpadového hospodářství Ministerstva životního prostředí (VISOH)</w:t>
            </w:r>
            <w:r>
              <w:rPr>
                <w:rFonts w:cs="Arial"/>
                <w:sz w:val="18"/>
              </w:rPr>
              <w:t xml:space="preserve"> v tunách přepočtená na tis. obyvatel středního stavu.</w:t>
            </w:r>
          </w:p>
        </w:tc>
      </w:tr>
    </w:tbl>
    <w:p w:rsidR="00BE18B3" w:rsidRDefault="00BE18B3" w:rsidP="00BE18B3">
      <w:pPr>
        <w:tabs>
          <w:tab w:val="left" w:pos="1134"/>
        </w:tabs>
        <w:spacing w:before="0"/>
      </w:pPr>
    </w:p>
    <w:p w:rsidR="00BE18B3" w:rsidRPr="00A42892" w:rsidRDefault="00BE18B3" w:rsidP="00A42892">
      <w:pPr>
        <w:tabs>
          <w:tab w:val="left" w:pos="1134"/>
          <w:tab w:val="right" w:pos="9540"/>
        </w:tabs>
        <w:spacing w:after="60"/>
        <w:rPr>
          <w:rFonts w:cs="Arial"/>
          <w:b/>
          <w:bCs/>
          <w:sz w:val="24"/>
        </w:rPr>
      </w:pPr>
      <w:bookmarkStart w:id="23" w:name="_Toc403372690"/>
      <w:r w:rsidRPr="00A42892">
        <w:rPr>
          <w:rFonts w:cs="Arial"/>
          <w:b/>
          <w:bCs/>
          <w:sz w:val="24"/>
        </w:rPr>
        <w:lastRenderedPageBreak/>
        <w:t>Půda v ekologickém zemědělství</w:t>
      </w:r>
      <w:r w:rsidRPr="00A42892">
        <w:rPr>
          <w:rFonts w:cs="Arial"/>
          <w:b/>
          <w:bCs/>
          <w:sz w:val="24"/>
        </w:rPr>
        <w:tab/>
      </w:r>
      <w:r w:rsidRPr="00A42892">
        <w:rPr>
          <w:rFonts w:cs="Arial"/>
          <w:i/>
          <w:iCs/>
          <w:sz w:val="24"/>
        </w:rPr>
        <w:t>Životní prostředí</w:t>
      </w:r>
      <w:bookmarkEnd w:id="23"/>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w:t>
            </w:r>
            <w:r w:rsidRPr="00E96A57">
              <w:rPr>
                <w:rFonts w:cs="Arial"/>
                <w:sz w:val="18"/>
              </w:rPr>
              <w:t xml:space="preserve">odíl půdy v ekologickém zemědělství na zemědělské půdě </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proofErr w:type="spellStart"/>
            <w:r>
              <w:rPr>
                <w:rFonts w:cs="Arial"/>
                <w:sz w:val="18"/>
              </w:rPr>
              <w:t>MZe</w:t>
            </w:r>
            <w:proofErr w:type="spellEnd"/>
            <w:r>
              <w:rPr>
                <w:rFonts w:cs="Arial"/>
                <w:sz w:val="18"/>
              </w:rPr>
              <w:t xml:space="preserve"> – vlastní zpracování dat</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31. 12. 2013</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6C232F"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Podíl půdy v ekologickém zemědělství (včetně přechodného období) na zemědělské půdě podle katastrů.</w:t>
            </w:r>
          </w:p>
        </w:tc>
      </w:tr>
    </w:tbl>
    <w:p w:rsidR="00BE18B3" w:rsidRDefault="00BE18B3" w:rsidP="00BE18B3">
      <w:pPr>
        <w:tabs>
          <w:tab w:val="left" w:pos="1134"/>
        </w:tabs>
        <w:spacing w:before="0"/>
      </w:pPr>
    </w:p>
    <w:p w:rsidR="00BE18B3" w:rsidRPr="00BE18B3" w:rsidRDefault="00BE18B3" w:rsidP="00BE18B3">
      <w:pPr>
        <w:tabs>
          <w:tab w:val="left" w:pos="1134"/>
          <w:tab w:val="right" w:pos="9540"/>
        </w:tabs>
        <w:spacing w:after="60"/>
        <w:rPr>
          <w:rFonts w:cs="Arial"/>
          <w:i/>
          <w:iCs/>
          <w:sz w:val="24"/>
        </w:rPr>
      </w:pPr>
      <w:r w:rsidRPr="00BE18B3">
        <w:rPr>
          <w:rFonts w:cs="Arial"/>
          <w:b/>
          <w:bCs/>
          <w:sz w:val="24"/>
        </w:rPr>
        <w:t>Relativní význam ekologické dopravy</w:t>
      </w:r>
      <w:r w:rsidRPr="00BE18B3">
        <w:rPr>
          <w:rFonts w:cs="Arial"/>
          <w:b/>
          <w:bCs/>
          <w:sz w:val="24"/>
        </w:rPr>
        <w:tab/>
      </w:r>
      <w:r w:rsidRPr="00BE18B3">
        <w:rPr>
          <w:rFonts w:cs="Arial"/>
          <w:i/>
          <w:iCs/>
          <w:sz w:val="24"/>
        </w:rPr>
        <w:t>Životní prostředí</w:t>
      </w:r>
    </w:p>
    <w:tbl>
      <w:tblPr>
        <w:tblW w:w="9639" w:type="dxa"/>
        <w:tblInd w:w="7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tblPr>
      <w:tblGrid>
        <w:gridCol w:w="720"/>
        <w:gridCol w:w="414"/>
        <w:gridCol w:w="2552"/>
        <w:gridCol w:w="992"/>
        <w:gridCol w:w="1418"/>
        <w:gridCol w:w="1771"/>
        <w:gridCol w:w="1772"/>
      </w:tblGrid>
      <w:tr w:rsidR="00BE18B3" w:rsidTr="00BE18B3">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Indikátor</w:t>
            </w:r>
          </w:p>
        </w:tc>
        <w:tc>
          <w:tcPr>
            <w:tcW w:w="8505" w:type="dxa"/>
            <w:gridSpan w:val="5"/>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P</w:t>
            </w:r>
            <w:r w:rsidRPr="00FA0DDC">
              <w:rPr>
                <w:rFonts w:cs="Arial"/>
                <w:sz w:val="18"/>
              </w:rPr>
              <w:t xml:space="preserve">odíl obyvatel využívajících k dopravě do zaměstnání </w:t>
            </w:r>
            <w:r>
              <w:rPr>
                <w:rFonts w:cs="Arial"/>
                <w:sz w:val="18"/>
              </w:rPr>
              <w:t xml:space="preserve">ekologický druh </w:t>
            </w:r>
            <w:r w:rsidRPr="00FA0DDC">
              <w:rPr>
                <w:rFonts w:cs="Arial"/>
                <w:sz w:val="18"/>
              </w:rPr>
              <w:t>dopravy z celkového počtu osob denně dojíždějících za prací</w:t>
            </w:r>
          </w:p>
        </w:tc>
      </w:tr>
      <w:tr w:rsidR="00BE18B3" w:rsidTr="00BE18B3">
        <w:trPr>
          <w:trHeight w:val="244"/>
        </w:trPr>
        <w:tc>
          <w:tcPr>
            <w:tcW w:w="1134" w:type="dxa"/>
            <w:gridSpan w:val="2"/>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Zdroj dat</w:t>
            </w:r>
          </w:p>
        </w:tc>
        <w:tc>
          <w:tcPr>
            <w:tcW w:w="255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 xml:space="preserve">SLDB </w:t>
            </w:r>
          </w:p>
        </w:tc>
        <w:tc>
          <w:tcPr>
            <w:tcW w:w="992"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Období</w:t>
            </w:r>
          </w:p>
        </w:tc>
        <w:tc>
          <w:tcPr>
            <w:tcW w:w="1418"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26. 3. 2011</w:t>
            </w:r>
          </w:p>
        </w:tc>
        <w:tc>
          <w:tcPr>
            <w:tcW w:w="1771" w:type="dxa"/>
            <w:tcBorders>
              <w:top w:val="single" w:sz="8" w:space="0" w:color="auto"/>
              <w:left w:val="single" w:sz="8" w:space="0" w:color="auto"/>
              <w:bottom w:val="single" w:sz="8" w:space="0" w:color="auto"/>
              <w:right w:val="single" w:sz="8" w:space="0" w:color="auto"/>
            </w:tcBorders>
            <w:vAlign w:val="center"/>
          </w:tcPr>
          <w:p w:rsidR="00BE18B3" w:rsidRDefault="00BE18B3" w:rsidP="00BE18B3">
            <w:pPr>
              <w:tabs>
                <w:tab w:val="left" w:pos="1134"/>
              </w:tabs>
              <w:spacing w:before="0"/>
              <w:rPr>
                <w:rFonts w:cs="Arial"/>
                <w:sz w:val="18"/>
              </w:rPr>
            </w:pPr>
            <w:r>
              <w:rPr>
                <w:rFonts w:cs="Arial"/>
                <w:sz w:val="18"/>
              </w:rPr>
              <w:t>Směr působení</w:t>
            </w:r>
          </w:p>
        </w:tc>
        <w:tc>
          <w:tcPr>
            <w:tcW w:w="1772" w:type="dxa"/>
            <w:tcBorders>
              <w:top w:val="single" w:sz="8" w:space="0" w:color="auto"/>
              <w:left w:val="single" w:sz="8" w:space="0" w:color="auto"/>
              <w:bottom w:val="single" w:sz="8" w:space="0" w:color="auto"/>
              <w:right w:val="single" w:sz="8" w:space="0" w:color="auto"/>
            </w:tcBorders>
            <w:vAlign w:val="center"/>
          </w:tcPr>
          <w:p w:rsidR="00BE18B3" w:rsidRDefault="006C232F" w:rsidP="00BE18B3">
            <w:pPr>
              <w:tabs>
                <w:tab w:val="left" w:pos="1134"/>
              </w:tabs>
              <w:spacing w:before="0"/>
              <w:rPr>
                <w:rFonts w:cs="Arial"/>
                <w:sz w:val="18"/>
              </w:rPr>
            </w:pPr>
            <w:r>
              <w:rPr>
                <w:rFonts w:cs="Arial"/>
                <w:sz w:val="18"/>
              </w:rPr>
              <w:t>Kladný</w:t>
            </w:r>
          </w:p>
        </w:tc>
      </w:tr>
      <w:tr w:rsidR="00BE18B3" w:rsidTr="00BE18B3">
        <w:tc>
          <w:tcPr>
            <w:tcW w:w="720" w:type="dxa"/>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Popis</w:t>
            </w:r>
          </w:p>
          <w:p w:rsidR="00BE18B3" w:rsidRDefault="00BE18B3" w:rsidP="00BE18B3">
            <w:pPr>
              <w:tabs>
                <w:tab w:val="left" w:pos="1134"/>
              </w:tabs>
              <w:spacing w:before="0"/>
              <w:rPr>
                <w:rFonts w:cs="Arial"/>
                <w:sz w:val="18"/>
              </w:rPr>
            </w:pPr>
          </w:p>
        </w:tc>
        <w:tc>
          <w:tcPr>
            <w:tcW w:w="8919" w:type="dxa"/>
            <w:gridSpan w:val="6"/>
            <w:tcBorders>
              <w:top w:val="single" w:sz="8" w:space="0" w:color="auto"/>
              <w:left w:val="single" w:sz="8" w:space="0" w:color="auto"/>
              <w:bottom w:val="single" w:sz="8" w:space="0" w:color="auto"/>
              <w:right w:val="single" w:sz="8" w:space="0" w:color="auto"/>
            </w:tcBorders>
          </w:tcPr>
          <w:p w:rsidR="00BE18B3" w:rsidRDefault="00BE18B3" w:rsidP="00BE18B3">
            <w:pPr>
              <w:tabs>
                <w:tab w:val="left" w:pos="1134"/>
              </w:tabs>
              <w:spacing w:before="0"/>
              <w:rPr>
                <w:rFonts w:cs="Arial"/>
                <w:sz w:val="18"/>
              </w:rPr>
            </w:pPr>
            <w:r>
              <w:rPr>
                <w:rFonts w:cs="Arial"/>
                <w:sz w:val="18"/>
              </w:rPr>
              <w:t>P</w:t>
            </w:r>
            <w:r w:rsidRPr="00FA0DDC">
              <w:rPr>
                <w:rFonts w:cs="Arial"/>
                <w:sz w:val="18"/>
              </w:rPr>
              <w:t>odíl obyvatel využívajících k dopravě do zaměstnání</w:t>
            </w:r>
            <w:r>
              <w:rPr>
                <w:rFonts w:cs="Arial"/>
                <w:sz w:val="18"/>
              </w:rPr>
              <w:t xml:space="preserve"> nebo školy</w:t>
            </w:r>
            <w:r w:rsidRPr="00FA0DDC">
              <w:rPr>
                <w:rFonts w:cs="Arial"/>
                <w:sz w:val="18"/>
              </w:rPr>
              <w:t xml:space="preserve"> veřejn</w:t>
            </w:r>
            <w:r>
              <w:rPr>
                <w:rFonts w:cs="Arial"/>
                <w:sz w:val="18"/>
              </w:rPr>
              <w:t>ý</w:t>
            </w:r>
            <w:r w:rsidRPr="00FA0DDC">
              <w:rPr>
                <w:rFonts w:cs="Arial"/>
                <w:sz w:val="18"/>
              </w:rPr>
              <w:t xml:space="preserve"> druh dopravy</w:t>
            </w:r>
            <w:r>
              <w:rPr>
                <w:rFonts w:cs="Arial"/>
                <w:sz w:val="18"/>
              </w:rPr>
              <w:t>, kolo (i v kombinaci s jiným dopravním prostředkem) nebo bez využití dopravních prostředků (pouze pěšky)</w:t>
            </w:r>
            <w:r w:rsidRPr="00FA0DDC">
              <w:rPr>
                <w:rFonts w:cs="Arial"/>
                <w:sz w:val="18"/>
              </w:rPr>
              <w:t xml:space="preserve"> z celkového počtu osob dojíždějících za prací</w:t>
            </w:r>
            <w:r>
              <w:rPr>
                <w:rFonts w:cs="Arial"/>
                <w:sz w:val="18"/>
              </w:rPr>
              <w:t>.</w:t>
            </w:r>
          </w:p>
        </w:tc>
      </w:tr>
    </w:tbl>
    <w:p w:rsidR="00BE18B3" w:rsidRDefault="00BE18B3" w:rsidP="00BE18B3">
      <w:pPr>
        <w:spacing w:before="0"/>
      </w:pPr>
    </w:p>
    <w:p w:rsidR="00BE18B3" w:rsidRDefault="00BE18B3" w:rsidP="005E53BA">
      <w:pPr>
        <w:spacing w:before="0"/>
        <w:rPr>
          <w:rFonts w:cs="Arial"/>
          <w:szCs w:val="20"/>
        </w:rPr>
      </w:pPr>
    </w:p>
    <w:p w:rsidR="00FF461A" w:rsidRDefault="00BE18B3" w:rsidP="00EB26CA">
      <w:pPr>
        <w:pStyle w:val="Nadpis2"/>
      </w:pPr>
      <w:bookmarkStart w:id="24" w:name="_Toc403372691"/>
      <w:r w:rsidRPr="00BE18B3">
        <w:t>Způsob výpočtu</w:t>
      </w:r>
      <w:bookmarkEnd w:id="24"/>
    </w:p>
    <w:p w:rsidR="0072186A" w:rsidRDefault="0072186A" w:rsidP="0072186A">
      <w:pPr>
        <w:spacing w:before="0"/>
        <w:jc w:val="left"/>
        <w:rPr>
          <w:rFonts w:cs="Arial"/>
          <w:b/>
          <w:sz w:val="22"/>
          <w:szCs w:val="22"/>
        </w:rPr>
      </w:pPr>
    </w:p>
    <w:p w:rsidR="000D3276" w:rsidRDefault="006C232F" w:rsidP="0005603C">
      <w:pPr>
        <w:spacing w:before="0"/>
        <w:rPr>
          <w:rFonts w:cs="Arial"/>
          <w:szCs w:val="20"/>
        </w:rPr>
      </w:pPr>
      <w:r>
        <w:rPr>
          <w:rFonts w:cs="Arial"/>
          <w:szCs w:val="20"/>
        </w:rPr>
        <w:t>Vzhledem k tomu, že</w:t>
      </w:r>
      <w:r w:rsidR="000D3276">
        <w:rPr>
          <w:rFonts w:cs="Arial"/>
          <w:szCs w:val="20"/>
        </w:rPr>
        <w:t xml:space="preserve"> se indikátory nacházejí v různých měrných jednot</w:t>
      </w:r>
      <w:r w:rsidR="0005603C">
        <w:rPr>
          <w:rFonts w:cs="Arial"/>
          <w:szCs w:val="20"/>
        </w:rPr>
        <w:t>kách, pro možnost jejich průměrování</w:t>
      </w:r>
      <w:r w:rsidR="000D3276">
        <w:rPr>
          <w:rFonts w:cs="Arial"/>
          <w:szCs w:val="20"/>
        </w:rPr>
        <w:t xml:space="preserve"> musela být provedena normalizace dat. Hodnoty každého indikátoru tak byly transformovány do rozsahu 0</w:t>
      </w:r>
      <w:r w:rsidR="0005603C">
        <w:rPr>
          <w:rFonts w:cs="Arial"/>
          <w:szCs w:val="20"/>
        </w:rPr>
        <w:t>–</w:t>
      </w:r>
      <w:r w:rsidR="000D3276">
        <w:rPr>
          <w:rFonts w:cs="Arial"/>
          <w:szCs w:val="20"/>
        </w:rPr>
        <w:t>1 s tím, že byla dodržena jejich původní variabilita</w:t>
      </w:r>
      <w:r w:rsidR="0005603C">
        <w:rPr>
          <w:rFonts w:cs="Arial"/>
          <w:szCs w:val="20"/>
        </w:rPr>
        <w:t>.</w:t>
      </w:r>
      <w:r w:rsidR="000D3276">
        <w:rPr>
          <w:rFonts w:cs="Arial"/>
          <w:szCs w:val="20"/>
        </w:rPr>
        <w:t xml:space="preserve"> </w:t>
      </w:r>
      <w:r w:rsidR="00933C01">
        <w:rPr>
          <w:rFonts w:cs="Arial"/>
          <w:szCs w:val="20"/>
        </w:rPr>
        <w:t>Správní o</w:t>
      </w:r>
      <w:r w:rsidR="000D3276">
        <w:rPr>
          <w:rFonts w:cs="Arial"/>
          <w:szCs w:val="20"/>
        </w:rPr>
        <w:t>bvod s nejlepší hodnotou v daném ukazateli</w:t>
      </w:r>
      <w:r w:rsidR="00933C01">
        <w:rPr>
          <w:rFonts w:cs="Arial"/>
          <w:szCs w:val="20"/>
        </w:rPr>
        <w:t xml:space="preserve"> tak</w:t>
      </w:r>
      <w:r w:rsidR="000D3276">
        <w:rPr>
          <w:rFonts w:cs="Arial"/>
          <w:szCs w:val="20"/>
        </w:rPr>
        <w:t xml:space="preserve"> má po normování hodnotu 1 a obvod s nejhorším výsledkem hodnotu 0. Ostatní obvody se podle své vyšší či nižší hodnoty umístily v tomto rozmezí. Přesný výpočet normovaných hodnot byl proveden podle vzorce:</w:t>
      </w:r>
    </w:p>
    <w:p w:rsidR="000D3276" w:rsidRDefault="000D3276" w:rsidP="0005603C">
      <w:pPr>
        <w:spacing w:before="0"/>
        <w:rPr>
          <w:rFonts w:cs="Arial"/>
          <w:szCs w:val="20"/>
        </w:rPr>
      </w:pPr>
    </w:p>
    <w:p w:rsidR="0005603C" w:rsidRDefault="008F570F" w:rsidP="0005603C">
      <w:pPr>
        <w:spacing w:before="0"/>
        <w:jc w:val="center"/>
        <w:rPr>
          <w:rFonts w:cs="Arial"/>
          <w:szCs w:val="20"/>
        </w:rPr>
      </w:pPr>
      <m:oMath>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norm, k</m:t>
            </m:r>
          </m:sub>
        </m:sSub>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m:t>
            </m:r>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i</m:t>
                </m:r>
              </m:sub>
            </m:sSub>
            <m:r>
              <w:rPr>
                <w:rFonts w:ascii="Cambria Math" w:hAnsi="Cambria Math" w:cs="Arial"/>
                <w:szCs w:val="20"/>
              </w:rPr>
              <m:t>-</m:t>
            </m:r>
            <m:func>
              <m:funcPr>
                <m:ctrlPr>
                  <w:rPr>
                    <w:rFonts w:ascii="Cambria Math" w:hAnsi="Cambria Math" w:cs="Arial"/>
                    <w:szCs w:val="20"/>
                  </w:rPr>
                </m:ctrlPr>
              </m:funcPr>
              <m:fName>
                <m:r>
                  <m:rPr>
                    <m:sty m:val="p"/>
                  </m:rPr>
                  <w:rPr>
                    <w:rFonts w:ascii="Cambria Math" w:hAnsi="Cambria Math" w:cs="Arial"/>
                    <w:szCs w:val="20"/>
                  </w:rPr>
                  <m:t>min</m:t>
                </m:r>
                <m:ctrlPr>
                  <w:rPr>
                    <w:rFonts w:ascii="Cambria Math" w:hAnsi="Cambria Math" w:cs="Arial"/>
                    <w:i/>
                    <w:szCs w:val="20"/>
                  </w:rPr>
                </m:ctrlPr>
              </m:fName>
              <m:e>
                <m:d>
                  <m:dPr>
                    <m:ctrlPr>
                      <w:rPr>
                        <w:rFonts w:ascii="Cambria Math" w:hAnsi="Cambria Math" w:cs="Arial"/>
                        <w:i/>
                        <w:szCs w:val="20"/>
                      </w:rPr>
                    </m:ctrlPr>
                  </m:dPr>
                  <m:e>
                    <m:r>
                      <w:rPr>
                        <w:rFonts w:ascii="Cambria Math" w:hAnsi="Cambria Math" w:cs="Arial"/>
                        <w:szCs w:val="20"/>
                      </w:rPr>
                      <m:t>x</m:t>
                    </m:r>
                  </m:e>
                </m:d>
              </m:e>
            </m:func>
            <m:r>
              <w:rPr>
                <w:rFonts w:ascii="Cambria Math" w:hAnsi="Cambria Math" w:cs="Arial"/>
                <w:szCs w:val="20"/>
              </w:rPr>
              <m:t>)</m:t>
            </m:r>
          </m:num>
          <m:den>
            <m:r>
              <w:rPr>
                <w:rFonts w:ascii="Cambria Math" w:hAnsi="Cambria Math" w:cs="Arial"/>
                <w:szCs w:val="20"/>
              </w:rPr>
              <m:t>(</m:t>
            </m:r>
            <m:func>
              <m:funcPr>
                <m:ctrlPr>
                  <w:rPr>
                    <w:rFonts w:ascii="Cambria Math" w:hAnsi="Cambria Math" w:cs="Arial"/>
                    <w:szCs w:val="20"/>
                  </w:rPr>
                </m:ctrlPr>
              </m:funcPr>
              <m:fName>
                <m:r>
                  <m:rPr>
                    <m:sty m:val="p"/>
                  </m:rPr>
                  <w:rPr>
                    <w:rFonts w:ascii="Cambria Math" w:hAnsi="Cambria Math" w:cs="Arial"/>
                    <w:szCs w:val="20"/>
                  </w:rPr>
                  <m:t>max</m:t>
                </m:r>
                <m:ctrlPr>
                  <w:rPr>
                    <w:rFonts w:ascii="Cambria Math" w:hAnsi="Cambria Math" w:cs="Arial"/>
                    <w:i/>
                    <w:szCs w:val="20"/>
                  </w:rPr>
                </m:ctrlPr>
              </m:fName>
              <m:e>
                <m:d>
                  <m:dPr>
                    <m:ctrlPr>
                      <w:rPr>
                        <w:rFonts w:ascii="Cambria Math" w:hAnsi="Cambria Math" w:cs="Arial"/>
                        <w:i/>
                        <w:szCs w:val="20"/>
                      </w:rPr>
                    </m:ctrlPr>
                  </m:dPr>
                  <m:e>
                    <m:r>
                      <w:rPr>
                        <w:rFonts w:ascii="Cambria Math" w:hAnsi="Cambria Math" w:cs="Arial"/>
                        <w:szCs w:val="20"/>
                      </w:rPr>
                      <m:t>x</m:t>
                    </m:r>
                  </m:e>
                </m:d>
              </m:e>
            </m:func>
            <m:r>
              <w:rPr>
                <w:rFonts w:ascii="Cambria Math" w:hAnsi="Cambria Math" w:cs="Arial"/>
                <w:szCs w:val="20"/>
              </w:rPr>
              <m:t>-</m:t>
            </m:r>
            <m:func>
              <m:funcPr>
                <m:ctrlPr>
                  <w:rPr>
                    <w:rFonts w:ascii="Cambria Math" w:hAnsi="Cambria Math" w:cs="Arial"/>
                    <w:szCs w:val="20"/>
                  </w:rPr>
                </m:ctrlPr>
              </m:funcPr>
              <m:fName>
                <m:r>
                  <m:rPr>
                    <m:sty m:val="p"/>
                  </m:rPr>
                  <w:rPr>
                    <w:rFonts w:ascii="Cambria Math" w:hAnsi="Cambria Math" w:cs="Arial"/>
                    <w:szCs w:val="20"/>
                  </w:rPr>
                  <m:t>min</m:t>
                </m:r>
                <m:ctrlPr>
                  <w:rPr>
                    <w:rFonts w:ascii="Cambria Math" w:hAnsi="Cambria Math" w:cs="Arial"/>
                    <w:i/>
                    <w:szCs w:val="20"/>
                  </w:rPr>
                </m:ctrlPr>
              </m:fName>
              <m:e>
                <m:d>
                  <m:dPr>
                    <m:ctrlPr>
                      <w:rPr>
                        <w:rFonts w:ascii="Cambria Math" w:hAnsi="Cambria Math" w:cs="Arial"/>
                        <w:i/>
                        <w:szCs w:val="20"/>
                      </w:rPr>
                    </m:ctrlPr>
                  </m:dPr>
                  <m:e>
                    <m:r>
                      <w:rPr>
                        <w:rFonts w:ascii="Cambria Math" w:hAnsi="Cambria Math" w:cs="Arial"/>
                        <w:szCs w:val="20"/>
                      </w:rPr>
                      <m:t>x</m:t>
                    </m:r>
                  </m:e>
                </m:d>
              </m:e>
            </m:func>
            <m:r>
              <w:rPr>
                <w:rFonts w:ascii="Cambria Math" w:hAnsi="Cambria Math" w:cs="Arial"/>
                <w:szCs w:val="20"/>
              </w:rPr>
              <m:t>)</m:t>
            </m:r>
          </m:den>
        </m:f>
      </m:oMath>
      <w:r w:rsidR="000D3276">
        <w:rPr>
          <w:rFonts w:cs="Arial"/>
          <w:szCs w:val="20"/>
        </w:rPr>
        <w:t xml:space="preserve"> </w:t>
      </w:r>
      <w:r w:rsidR="00C864CA">
        <w:rPr>
          <w:rFonts w:cs="Arial"/>
          <w:szCs w:val="20"/>
        </w:rPr>
        <w:t xml:space="preserve"> </w:t>
      </w:r>
      <w:r w:rsidR="0005603C">
        <w:rPr>
          <w:rFonts w:cs="Arial"/>
          <w:szCs w:val="20"/>
        </w:rPr>
        <w:t xml:space="preserve">  </w:t>
      </w:r>
      <w:r w:rsidR="00C864CA">
        <w:rPr>
          <w:rFonts w:cs="Arial"/>
          <w:szCs w:val="20"/>
        </w:rPr>
        <w:t>či</w:t>
      </w:r>
      <w:r w:rsidR="0005603C">
        <w:rPr>
          <w:rFonts w:cs="Arial"/>
          <w:szCs w:val="20"/>
        </w:rPr>
        <w:t xml:space="preserve">  </w:t>
      </w:r>
      <w:r w:rsidR="00C864CA">
        <w:rPr>
          <w:rFonts w:cs="Arial"/>
          <w:szCs w:val="20"/>
        </w:rPr>
        <w:t xml:space="preserve"> </w:t>
      </w:r>
      <m:oMath>
        <m:sSub>
          <m:sSubPr>
            <m:ctrlPr>
              <w:rPr>
                <w:rFonts w:ascii="Cambria Math" w:hAnsi="Cambria Math" w:cs="Arial"/>
                <w:i/>
                <w:szCs w:val="20"/>
              </w:rPr>
            </m:ctrlPr>
          </m:sSubPr>
          <m:e>
            <m:r>
              <w:rPr>
                <w:rFonts w:ascii="Cambria Math" w:hAnsi="Cambria Math" w:cs="Arial"/>
                <w:szCs w:val="20"/>
              </w:rPr>
              <m:t>X</m:t>
            </m:r>
          </m:e>
          <m:sub>
            <m:r>
              <w:rPr>
                <w:rFonts w:ascii="Cambria Math" w:hAnsi="Cambria Math" w:cs="Arial"/>
                <w:szCs w:val="20"/>
              </w:rPr>
              <m:t>norm,z</m:t>
            </m:r>
          </m:sub>
        </m:sSub>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m:t>
            </m:r>
            <m:sSub>
              <m:sSubPr>
                <m:ctrlPr>
                  <w:rPr>
                    <w:rFonts w:ascii="Cambria Math" w:hAnsi="Cambria Math" w:cs="Arial"/>
                    <w:i/>
                    <w:szCs w:val="20"/>
                  </w:rPr>
                </m:ctrlPr>
              </m:sSubPr>
              <m:e>
                <m:func>
                  <m:funcPr>
                    <m:ctrlPr>
                      <w:rPr>
                        <w:rFonts w:ascii="Cambria Math" w:hAnsi="Cambria Math" w:cs="Arial"/>
                        <w:szCs w:val="20"/>
                      </w:rPr>
                    </m:ctrlPr>
                  </m:funcPr>
                  <m:fName>
                    <m:r>
                      <m:rPr>
                        <m:sty m:val="p"/>
                      </m:rPr>
                      <w:rPr>
                        <w:rFonts w:ascii="Cambria Math" w:hAnsi="Cambria Math" w:cs="Arial"/>
                        <w:szCs w:val="20"/>
                      </w:rPr>
                      <m:t>max</m:t>
                    </m:r>
                  </m:fName>
                  <m:e>
                    <m:d>
                      <m:dPr>
                        <m:ctrlPr>
                          <w:rPr>
                            <w:rFonts w:ascii="Cambria Math" w:hAnsi="Cambria Math" w:cs="Arial"/>
                            <w:i/>
                            <w:szCs w:val="20"/>
                          </w:rPr>
                        </m:ctrlPr>
                      </m:dPr>
                      <m:e>
                        <m:r>
                          <w:rPr>
                            <w:rFonts w:ascii="Cambria Math" w:hAnsi="Cambria Math" w:cs="Arial"/>
                            <w:szCs w:val="20"/>
                          </w:rPr>
                          <m:t>x</m:t>
                        </m:r>
                      </m:e>
                    </m:d>
                  </m:e>
                </m:func>
                <m:r>
                  <w:rPr>
                    <w:rFonts w:ascii="Cambria Math" w:hAnsi="Cambria Math" w:cs="Arial"/>
                    <w:szCs w:val="20"/>
                  </w:rPr>
                  <m:t>-x</m:t>
                </m:r>
              </m:e>
              <m:sub>
                <m:r>
                  <w:rPr>
                    <w:rFonts w:ascii="Cambria Math" w:hAnsi="Cambria Math" w:cs="Arial"/>
                    <w:szCs w:val="20"/>
                  </w:rPr>
                  <m:t>i</m:t>
                </m:r>
              </m:sub>
            </m:sSub>
            <m:r>
              <w:rPr>
                <w:rFonts w:ascii="Cambria Math" w:hAnsi="Cambria Math" w:cs="Arial"/>
                <w:szCs w:val="20"/>
              </w:rPr>
              <m:t>)</m:t>
            </m:r>
          </m:num>
          <m:den>
            <m:r>
              <w:rPr>
                <w:rFonts w:ascii="Cambria Math" w:hAnsi="Cambria Math" w:cs="Arial"/>
                <w:szCs w:val="20"/>
              </w:rPr>
              <m:t>(</m:t>
            </m:r>
            <m:func>
              <m:funcPr>
                <m:ctrlPr>
                  <w:rPr>
                    <w:rFonts w:ascii="Cambria Math" w:hAnsi="Cambria Math" w:cs="Arial"/>
                    <w:szCs w:val="20"/>
                  </w:rPr>
                </m:ctrlPr>
              </m:funcPr>
              <m:fName>
                <m:r>
                  <m:rPr>
                    <m:sty m:val="p"/>
                  </m:rPr>
                  <w:rPr>
                    <w:rFonts w:ascii="Cambria Math" w:hAnsi="Cambria Math" w:cs="Arial"/>
                    <w:szCs w:val="20"/>
                  </w:rPr>
                  <m:t>max</m:t>
                </m:r>
                <m:ctrlPr>
                  <w:rPr>
                    <w:rFonts w:ascii="Cambria Math" w:hAnsi="Cambria Math" w:cs="Arial"/>
                    <w:i/>
                    <w:szCs w:val="20"/>
                  </w:rPr>
                </m:ctrlPr>
              </m:fName>
              <m:e>
                <m:d>
                  <m:dPr>
                    <m:ctrlPr>
                      <w:rPr>
                        <w:rFonts w:ascii="Cambria Math" w:hAnsi="Cambria Math" w:cs="Arial"/>
                        <w:i/>
                        <w:szCs w:val="20"/>
                      </w:rPr>
                    </m:ctrlPr>
                  </m:dPr>
                  <m:e>
                    <m:r>
                      <w:rPr>
                        <w:rFonts w:ascii="Cambria Math" w:hAnsi="Cambria Math" w:cs="Arial"/>
                        <w:szCs w:val="20"/>
                      </w:rPr>
                      <m:t>x</m:t>
                    </m:r>
                  </m:e>
                </m:d>
              </m:e>
            </m:func>
            <m:r>
              <w:rPr>
                <w:rFonts w:ascii="Cambria Math" w:hAnsi="Cambria Math" w:cs="Arial"/>
                <w:szCs w:val="20"/>
              </w:rPr>
              <m:t>-</m:t>
            </m:r>
            <m:func>
              <m:funcPr>
                <m:ctrlPr>
                  <w:rPr>
                    <w:rFonts w:ascii="Cambria Math" w:hAnsi="Cambria Math" w:cs="Arial"/>
                    <w:szCs w:val="20"/>
                  </w:rPr>
                </m:ctrlPr>
              </m:funcPr>
              <m:fName>
                <m:r>
                  <m:rPr>
                    <m:sty m:val="p"/>
                  </m:rPr>
                  <w:rPr>
                    <w:rFonts w:ascii="Cambria Math" w:hAnsi="Cambria Math" w:cs="Arial"/>
                    <w:szCs w:val="20"/>
                  </w:rPr>
                  <m:t>min</m:t>
                </m:r>
                <m:ctrlPr>
                  <w:rPr>
                    <w:rFonts w:ascii="Cambria Math" w:hAnsi="Cambria Math" w:cs="Arial"/>
                    <w:i/>
                    <w:szCs w:val="20"/>
                  </w:rPr>
                </m:ctrlPr>
              </m:fName>
              <m:e>
                <m:d>
                  <m:dPr>
                    <m:ctrlPr>
                      <w:rPr>
                        <w:rFonts w:ascii="Cambria Math" w:hAnsi="Cambria Math" w:cs="Arial"/>
                        <w:i/>
                        <w:szCs w:val="20"/>
                      </w:rPr>
                    </m:ctrlPr>
                  </m:dPr>
                  <m:e>
                    <m:r>
                      <w:rPr>
                        <w:rFonts w:ascii="Cambria Math" w:hAnsi="Cambria Math" w:cs="Arial"/>
                        <w:szCs w:val="20"/>
                      </w:rPr>
                      <m:t>x</m:t>
                    </m:r>
                  </m:e>
                </m:d>
              </m:e>
            </m:func>
            <m:r>
              <w:rPr>
                <w:rFonts w:ascii="Cambria Math" w:hAnsi="Cambria Math" w:cs="Arial"/>
                <w:szCs w:val="20"/>
              </w:rPr>
              <m:t>)</m:t>
            </m:r>
          </m:den>
        </m:f>
      </m:oMath>
      <w:r w:rsidR="006C232F">
        <w:rPr>
          <w:rFonts w:cs="Arial"/>
          <w:szCs w:val="20"/>
        </w:rPr>
        <w:t xml:space="preserve"> </w:t>
      </w:r>
    </w:p>
    <w:p w:rsidR="0005603C" w:rsidRDefault="0005603C" w:rsidP="0005603C">
      <w:pPr>
        <w:spacing w:before="0"/>
        <w:rPr>
          <w:rFonts w:cs="Arial"/>
          <w:szCs w:val="20"/>
        </w:rPr>
      </w:pPr>
    </w:p>
    <w:p w:rsidR="000D3276" w:rsidRDefault="00C864CA" w:rsidP="0005603C">
      <w:pPr>
        <w:spacing w:before="0"/>
        <w:rPr>
          <w:rFonts w:cs="Arial"/>
          <w:szCs w:val="20"/>
        </w:rPr>
      </w:pPr>
      <w:r>
        <w:rPr>
          <w:rFonts w:cs="Arial"/>
          <w:szCs w:val="20"/>
        </w:rPr>
        <w:t>kde „</w:t>
      </w:r>
      <w:proofErr w:type="spellStart"/>
      <w:r w:rsidRPr="0005603C">
        <w:rPr>
          <w:rFonts w:cs="Arial"/>
          <w:i/>
          <w:szCs w:val="20"/>
        </w:rPr>
        <w:t>x</w:t>
      </w:r>
      <w:r w:rsidRPr="0005603C">
        <w:rPr>
          <w:rFonts w:cs="Arial"/>
          <w:i/>
          <w:szCs w:val="20"/>
          <w:vertAlign w:val="subscript"/>
        </w:rPr>
        <w:t>i</w:t>
      </w:r>
      <w:proofErr w:type="spellEnd"/>
      <w:r w:rsidRPr="00C864CA">
        <w:rPr>
          <w:rFonts w:cs="Arial"/>
          <w:szCs w:val="20"/>
        </w:rPr>
        <w:t>“</w:t>
      </w:r>
      <w:r>
        <w:rPr>
          <w:rFonts w:cs="Arial"/>
          <w:szCs w:val="20"/>
        </w:rPr>
        <w:t xml:space="preserve"> je původní hodnota indikátoru v obvodu „</w:t>
      </w:r>
      <w:r w:rsidRPr="0005603C">
        <w:rPr>
          <w:rFonts w:cs="Arial"/>
          <w:i/>
          <w:szCs w:val="20"/>
        </w:rPr>
        <w:t>i</w:t>
      </w:r>
      <w:r>
        <w:rPr>
          <w:rFonts w:cs="Arial"/>
          <w:szCs w:val="20"/>
        </w:rPr>
        <w:t>“, „</w:t>
      </w:r>
      <w:proofErr w:type="spellStart"/>
      <w:proofErr w:type="gramStart"/>
      <w:r w:rsidRPr="0005603C">
        <w:rPr>
          <w:rFonts w:cs="Arial"/>
          <w:i/>
          <w:szCs w:val="20"/>
        </w:rPr>
        <w:t>max</w:t>
      </w:r>
      <w:proofErr w:type="spellEnd"/>
      <w:r w:rsidRPr="0005603C">
        <w:rPr>
          <w:rFonts w:cs="Arial"/>
          <w:i/>
          <w:szCs w:val="20"/>
        </w:rPr>
        <w:t>(x)</w:t>
      </w:r>
      <w:r>
        <w:rPr>
          <w:rFonts w:cs="Arial"/>
          <w:szCs w:val="20"/>
        </w:rPr>
        <w:t>“ je</w:t>
      </w:r>
      <w:proofErr w:type="gramEnd"/>
      <w:r>
        <w:rPr>
          <w:rFonts w:cs="Arial"/>
          <w:szCs w:val="20"/>
        </w:rPr>
        <w:t xml:space="preserve"> maximální hodnota tohoto ukazatele (obdržená u jednoho z obvodů) a „</w:t>
      </w:r>
      <w:r w:rsidRPr="0005603C">
        <w:rPr>
          <w:rFonts w:cs="Arial"/>
          <w:i/>
          <w:szCs w:val="20"/>
        </w:rPr>
        <w:t>min(x)</w:t>
      </w:r>
      <w:r>
        <w:rPr>
          <w:rFonts w:cs="Arial"/>
          <w:szCs w:val="20"/>
        </w:rPr>
        <w:t xml:space="preserve">“ je minimální hodnota ukazatele (obdržená u jednoho z obvodů). Použití vzorce </w:t>
      </w:r>
      <w:r w:rsidR="0005603C">
        <w:rPr>
          <w:rFonts w:cs="Arial"/>
          <w:szCs w:val="20"/>
        </w:rPr>
        <w:t>„</w:t>
      </w:r>
      <w:proofErr w:type="spellStart"/>
      <w:r w:rsidRPr="0005603C">
        <w:rPr>
          <w:rFonts w:cs="Arial"/>
          <w:i/>
          <w:szCs w:val="20"/>
        </w:rPr>
        <w:t>X</w:t>
      </w:r>
      <w:r w:rsidRPr="0005603C">
        <w:rPr>
          <w:rFonts w:cs="Arial"/>
          <w:i/>
          <w:szCs w:val="20"/>
          <w:vertAlign w:val="subscript"/>
        </w:rPr>
        <w:t>norm</w:t>
      </w:r>
      <w:proofErr w:type="spellEnd"/>
      <w:r w:rsidRPr="0005603C">
        <w:rPr>
          <w:rFonts w:cs="Arial"/>
          <w:i/>
          <w:szCs w:val="20"/>
          <w:vertAlign w:val="subscript"/>
        </w:rPr>
        <w:t>,k</w:t>
      </w:r>
      <w:r w:rsidR="0005603C">
        <w:rPr>
          <w:rFonts w:cs="Arial"/>
          <w:szCs w:val="20"/>
        </w:rPr>
        <w:t>“</w:t>
      </w:r>
      <w:r>
        <w:rPr>
          <w:rFonts w:cs="Arial"/>
          <w:szCs w:val="20"/>
        </w:rPr>
        <w:t xml:space="preserve"> či </w:t>
      </w:r>
      <w:r w:rsidR="0005603C">
        <w:rPr>
          <w:rFonts w:cs="Arial"/>
          <w:szCs w:val="20"/>
        </w:rPr>
        <w:t>„</w:t>
      </w:r>
      <w:proofErr w:type="spellStart"/>
      <w:r w:rsidRPr="0005603C">
        <w:rPr>
          <w:rFonts w:cs="Arial"/>
          <w:i/>
          <w:szCs w:val="20"/>
        </w:rPr>
        <w:t>X</w:t>
      </w:r>
      <w:r w:rsidRPr="0005603C">
        <w:rPr>
          <w:rFonts w:cs="Arial"/>
          <w:i/>
          <w:szCs w:val="20"/>
          <w:vertAlign w:val="subscript"/>
        </w:rPr>
        <w:t>norm</w:t>
      </w:r>
      <w:proofErr w:type="spellEnd"/>
      <w:r w:rsidRPr="0005603C">
        <w:rPr>
          <w:rFonts w:cs="Arial"/>
          <w:i/>
          <w:szCs w:val="20"/>
          <w:vertAlign w:val="subscript"/>
        </w:rPr>
        <w:t>,z</w:t>
      </w:r>
      <w:r w:rsidR="0005603C">
        <w:rPr>
          <w:rFonts w:cs="Arial"/>
          <w:szCs w:val="20"/>
        </w:rPr>
        <w:t>“</w:t>
      </w:r>
      <w:r>
        <w:rPr>
          <w:rFonts w:cs="Arial"/>
          <w:szCs w:val="20"/>
        </w:rPr>
        <w:t xml:space="preserve"> je závislé na „směru působení“ indikátoru. Kladným směrem </w:t>
      </w:r>
      <w:r w:rsidR="0005603C">
        <w:rPr>
          <w:rFonts w:cs="Arial"/>
          <w:szCs w:val="20"/>
        </w:rPr>
        <w:t>(„</w:t>
      </w:r>
      <w:r w:rsidR="0005603C" w:rsidRPr="0005603C">
        <w:rPr>
          <w:rFonts w:cs="Arial"/>
          <w:i/>
          <w:szCs w:val="20"/>
        </w:rPr>
        <w:t>k</w:t>
      </w:r>
      <w:r w:rsidR="0005603C">
        <w:rPr>
          <w:rFonts w:cs="Arial"/>
          <w:i/>
          <w:szCs w:val="20"/>
        </w:rPr>
        <w:t>“</w:t>
      </w:r>
      <w:r w:rsidR="0005603C">
        <w:rPr>
          <w:rFonts w:cs="Arial"/>
          <w:szCs w:val="20"/>
        </w:rPr>
        <w:t xml:space="preserve">) </w:t>
      </w:r>
      <w:r>
        <w:rPr>
          <w:rFonts w:cs="Arial"/>
          <w:szCs w:val="20"/>
        </w:rPr>
        <w:t>se rozumí, že vyšší hodnota ukazatele je pro obvod lepší a i normovaný ukazatel pak bude ve smysl</w:t>
      </w:r>
      <w:r w:rsidR="00933C01">
        <w:rPr>
          <w:rFonts w:cs="Arial"/>
          <w:szCs w:val="20"/>
        </w:rPr>
        <w:t>u „čím lepší, tím vyšší</w:t>
      </w:r>
      <w:r>
        <w:rPr>
          <w:rFonts w:cs="Arial"/>
          <w:szCs w:val="20"/>
        </w:rPr>
        <w:t>“.</w:t>
      </w:r>
      <w:r w:rsidR="0005603C">
        <w:rPr>
          <w:rFonts w:cs="Arial"/>
          <w:szCs w:val="20"/>
        </w:rPr>
        <w:t xml:space="preserve"> Například tedy obvod s nejvyšší hodnotou v ukazateli kvality bydlení či významu ekologické dopravy bude mít v normovaném indexu hodnotu 1.</w:t>
      </w:r>
      <w:r>
        <w:rPr>
          <w:rFonts w:cs="Arial"/>
          <w:szCs w:val="20"/>
        </w:rPr>
        <w:t xml:space="preserve"> Naopak, pokud je „směr působení“ záporný</w:t>
      </w:r>
      <w:r w:rsidR="0005603C">
        <w:rPr>
          <w:rFonts w:cs="Arial"/>
          <w:szCs w:val="20"/>
        </w:rPr>
        <w:t xml:space="preserve"> („</w:t>
      </w:r>
      <w:r w:rsidR="0005603C" w:rsidRPr="0005603C">
        <w:rPr>
          <w:rFonts w:cs="Arial"/>
          <w:i/>
          <w:szCs w:val="20"/>
        </w:rPr>
        <w:t>z</w:t>
      </w:r>
      <w:r w:rsidR="0005603C">
        <w:rPr>
          <w:rFonts w:cs="Arial"/>
          <w:i/>
          <w:szCs w:val="20"/>
        </w:rPr>
        <w:t>“</w:t>
      </w:r>
      <w:r w:rsidR="0005603C">
        <w:rPr>
          <w:rFonts w:cs="Arial"/>
          <w:szCs w:val="20"/>
        </w:rPr>
        <w:t>)</w:t>
      </w:r>
      <w:r>
        <w:rPr>
          <w:rFonts w:cs="Arial"/>
          <w:szCs w:val="20"/>
        </w:rPr>
        <w:t>, znamená to, že obvod s nižšími původními výsledky je na tom lépe než obvod s vyšším</w:t>
      </w:r>
      <w:r w:rsidR="0005603C">
        <w:rPr>
          <w:rFonts w:cs="Arial"/>
          <w:szCs w:val="20"/>
        </w:rPr>
        <w:t>i</w:t>
      </w:r>
      <w:r>
        <w:rPr>
          <w:rFonts w:cs="Arial"/>
          <w:szCs w:val="20"/>
        </w:rPr>
        <w:t xml:space="preserve"> výsledky. </w:t>
      </w:r>
      <w:r w:rsidR="0005603C">
        <w:rPr>
          <w:rFonts w:cs="Arial"/>
          <w:szCs w:val="20"/>
        </w:rPr>
        <w:t>Tedy i výsledné normované hodnoty budou ve smyslu „čím horší, tím vyšší“ – například obvod s nejnižší mírou nezaměstnanosti či nejnižší úmrtností bude mít v normovaném ukazateli hodnotu 1.</w:t>
      </w:r>
    </w:p>
    <w:p w:rsidR="006C232F" w:rsidRPr="00C864CA" w:rsidRDefault="006C232F" w:rsidP="0005603C">
      <w:pPr>
        <w:spacing w:before="0"/>
        <w:rPr>
          <w:rFonts w:cs="Arial"/>
          <w:szCs w:val="20"/>
        </w:rPr>
      </w:pPr>
    </w:p>
    <w:p w:rsidR="0072186A" w:rsidRDefault="0072186A" w:rsidP="00EB26CA">
      <w:pPr>
        <w:pStyle w:val="Nadpis2"/>
      </w:pPr>
      <w:bookmarkStart w:id="25" w:name="_Toc403372692"/>
      <w:r>
        <w:t>Interpretace výsledků</w:t>
      </w:r>
      <w:bookmarkEnd w:id="25"/>
    </w:p>
    <w:p w:rsidR="0072186A" w:rsidRDefault="0072186A" w:rsidP="0072186A">
      <w:pPr>
        <w:pStyle w:val="Odstavecseseznamem"/>
        <w:rPr>
          <w:rFonts w:cs="Arial"/>
          <w:b/>
          <w:sz w:val="22"/>
          <w:szCs w:val="22"/>
        </w:rPr>
      </w:pPr>
    </w:p>
    <w:p w:rsidR="0072186A" w:rsidRDefault="00B74514" w:rsidP="00232BA8">
      <w:pPr>
        <w:spacing w:before="0"/>
        <w:rPr>
          <w:rFonts w:cs="Arial"/>
          <w:szCs w:val="20"/>
        </w:rPr>
      </w:pPr>
      <w:r w:rsidRPr="00B74514">
        <w:rPr>
          <w:rFonts w:cs="Arial"/>
          <w:szCs w:val="20"/>
        </w:rPr>
        <w:t>Přestože autorský kolektiv byl veden snahou</w:t>
      </w:r>
      <w:r>
        <w:rPr>
          <w:rFonts w:cs="Arial"/>
          <w:szCs w:val="20"/>
        </w:rPr>
        <w:t xml:space="preserve"> o co největší objektivitu, je nutno přistupovat k vyhodnocování výsledků obezřetně. Celkové hodnocení závisí v největší míře na výběru ukazatelů. Při něm bylo uplatněno několik principů. Důraz byl kladen</w:t>
      </w:r>
      <w:r w:rsidR="00452F0A">
        <w:rPr>
          <w:rFonts w:cs="Arial"/>
          <w:szCs w:val="20"/>
        </w:rPr>
        <w:t xml:space="preserve"> na</w:t>
      </w:r>
      <w:r>
        <w:rPr>
          <w:rFonts w:cs="Arial"/>
          <w:szCs w:val="20"/>
        </w:rPr>
        <w:t xml:space="preserve"> </w:t>
      </w:r>
      <w:r w:rsidRPr="00B74514">
        <w:rPr>
          <w:rFonts w:cs="Arial"/>
          <w:szCs w:val="20"/>
        </w:rPr>
        <w:t>srovnatelnost</w:t>
      </w:r>
      <w:r w:rsidR="00452F0A">
        <w:rPr>
          <w:rFonts w:cs="Arial"/>
          <w:szCs w:val="20"/>
        </w:rPr>
        <w:t xml:space="preserve"> a </w:t>
      </w:r>
      <w:r w:rsidRPr="00B74514">
        <w:rPr>
          <w:rFonts w:cs="Arial"/>
          <w:szCs w:val="20"/>
        </w:rPr>
        <w:t xml:space="preserve">ukazatele byly </w:t>
      </w:r>
      <w:r w:rsidR="00452F0A">
        <w:rPr>
          <w:rFonts w:cs="Arial"/>
          <w:szCs w:val="20"/>
        </w:rPr>
        <w:t>k</w:t>
      </w:r>
      <w:r w:rsidRPr="00B74514">
        <w:rPr>
          <w:rFonts w:cs="Arial"/>
          <w:szCs w:val="20"/>
        </w:rPr>
        <w:t>onstruovány tak, aby</w:t>
      </w:r>
      <w:r w:rsidR="00452F0A">
        <w:rPr>
          <w:rFonts w:cs="Arial"/>
          <w:szCs w:val="20"/>
        </w:rPr>
        <w:t xml:space="preserve"> </w:t>
      </w:r>
      <w:r w:rsidRPr="00B74514">
        <w:rPr>
          <w:rFonts w:cs="Arial"/>
          <w:szCs w:val="20"/>
        </w:rPr>
        <w:t>co nejvíce eliminovaly odlišnou velikost</w:t>
      </w:r>
      <w:r w:rsidR="00452F0A">
        <w:rPr>
          <w:rFonts w:cs="Arial"/>
          <w:szCs w:val="20"/>
        </w:rPr>
        <w:t xml:space="preserve"> </w:t>
      </w:r>
      <w:r w:rsidRPr="00B74514">
        <w:rPr>
          <w:rFonts w:cs="Arial"/>
          <w:szCs w:val="20"/>
        </w:rPr>
        <w:t>jednotlivých obvod</w:t>
      </w:r>
      <w:r w:rsidR="00452F0A">
        <w:rPr>
          <w:rFonts w:cs="Arial"/>
          <w:szCs w:val="20"/>
        </w:rPr>
        <w:t xml:space="preserve"> </w:t>
      </w:r>
      <w:r w:rsidRPr="00B74514">
        <w:rPr>
          <w:rFonts w:cs="Arial"/>
          <w:szCs w:val="20"/>
        </w:rPr>
        <w:t>ů</w:t>
      </w:r>
      <w:r w:rsidR="00452F0A">
        <w:rPr>
          <w:rFonts w:cs="Arial"/>
          <w:szCs w:val="20"/>
        </w:rPr>
        <w:t xml:space="preserve"> </w:t>
      </w:r>
      <w:r w:rsidRPr="00B74514">
        <w:rPr>
          <w:rFonts w:cs="Arial"/>
          <w:szCs w:val="20"/>
        </w:rPr>
        <w:t>ORP</w:t>
      </w:r>
      <w:r w:rsidR="00452F0A">
        <w:rPr>
          <w:rFonts w:cs="Arial"/>
          <w:szCs w:val="20"/>
        </w:rPr>
        <w:t xml:space="preserve">. Dalším kritériem je </w:t>
      </w:r>
      <w:r w:rsidR="00452F0A" w:rsidRPr="00452F0A">
        <w:rPr>
          <w:rFonts w:cs="Arial"/>
          <w:szCs w:val="20"/>
        </w:rPr>
        <w:t>vypovídací schopnost</w:t>
      </w:r>
      <w:r w:rsidR="00452F0A">
        <w:rPr>
          <w:rFonts w:cs="Arial"/>
          <w:szCs w:val="20"/>
        </w:rPr>
        <w:t>. D</w:t>
      </w:r>
      <w:r w:rsidR="00452F0A" w:rsidRPr="00452F0A">
        <w:rPr>
          <w:rFonts w:cs="Arial"/>
          <w:szCs w:val="20"/>
        </w:rPr>
        <w:t xml:space="preserve">ata </w:t>
      </w:r>
      <w:r w:rsidR="00452F0A">
        <w:rPr>
          <w:rFonts w:cs="Arial"/>
          <w:szCs w:val="20"/>
        </w:rPr>
        <w:t>byla</w:t>
      </w:r>
      <w:r w:rsidR="00452F0A" w:rsidRPr="00452F0A">
        <w:rPr>
          <w:rFonts w:cs="Arial"/>
          <w:szCs w:val="20"/>
        </w:rPr>
        <w:t xml:space="preserve"> posuzována v určitém kontextu; byly vybrány takové ukazatele,</w:t>
      </w:r>
      <w:r w:rsidR="00452F0A">
        <w:rPr>
          <w:rFonts w:cs="Arial"/>
          <w:szCs w:val="20"/>
        </w:rPr>
        <w:t xml:space="preserve"> </w:t>
      </w:r>
      <w:r w:rsidR="00452F0A" w:rsidRPr="00452F0A">
        <w:rPr>
          <w:rFonts w:cs="Arial"/>
          <w:szCs w:val="20"/>
        </w:rPr>
        <w:t>u kterých lze stanovit v daném tematickém okruhu směr působení (optimum)</w:t>
      </w:r>
      <w:r w:rsidR="006C232F">
        <w:rPr>
          <w:rFonts w:cs="Arial"/>
          <w:szCs w:val="20"/>
        </w:rPr>
        <w:t>,</w:t>
      </w:r>
      <w:r w:rsidR="00452F0A" w:rsidRPr="00452F0A">
        <w:rPr>
          <w:rFonts w:cs="Arial"/>
          <w:szCs w:val="20"/>
        </w:rPr>
        <w:t xml:space="preserve"> a které jsou</w:t>
      </w:r>
      <w:r w:rsidR="00452F0A">
        <w:rPr>
          <w:rFonts w:cs="Arial"/>
          <w:szCs w:val="20"/>
        </w:rPr>
        <w:t xml:space="preserve"> </w:t>
      </w:r>
      <w:r w:rsidR="00452F0A" w:rsidRPr="00452F0A">
        <w:rPr>
          <w:rFonts w:cs="Arial"/>
          <w:szCs w:val="20"/>
        </w:rPr>
        <w:t xml:space="preserve">interpretovatelné. </w:t>
      </w:r>
      <w:r w:rsidR="00452F0A">
        <w:rPr>
          <w:rFonts w:cs="Arial"/>
          <w:szCs w:val="20"/>
        </w:rPr>
        <w:t xml:space="preserve">Z dalších principů uvádíme ještě </w:t>
      </w:r>
      <w:r w:rsidR="00452F0A" w:rsidRPr="00452F0A">
        <w:rPr>
          <w:rFonts w:cs="Arial"/>
          <w:szCs w:val="20"/>
        </w:rPr>
        <w:t>úplnost a reprezentativnost</w:t>
      </w:r>
      <w:r w:rsidR="00452F0A">
        <w:rPr>
          <w:rFonts w:cs="Arial"/>
          <w:szCs w:val="20"/>
        </w:rPr>
        <w:t xml:space="preserve">. </w:t>
      </w:r>
      <w:r w:rsidR="00232BA8">
        <w:rPr>
          <w:rFonts w:cs="Arial"/>
          <w:szCs w:val="20"/>
        </w:rPr>
        <w:t xml:space="preserve">Jde zde o </w:t>
      </w:r>
      <w:r w:rsidR="00452F0A" w:rsidRPr="00452F0A">
        <w:rPr>
          <w:rFonts w:cs="Arial"/>
          <w:szCs w:val="20"/>
        </w:rPr>
        <w:t xml:space="preserve">co nejlepší </w:t>
      </w:r>
      <w:r w:rsidR="00452F0A">
        <w:rPr>
          <w:rFonts w:cs="Arial"/>
          <w:szCs w:val="20"/>
        </w:rPr>
        <w:t>p</w:t>
      </w:r>
      <w:r w:rsidR="00452F0A" w:rsidRPr="00452F0A">
        <w:rPr>
          <w:rFonts w:cs="Arial"/>
          <w:szCs w:val="20"/>
        </w:rPr>
        <w:t>okrytí všech důležitých oblastí života obyvatel regionu</w:t>
      </w:r>
      <w:r w:rsidR="00452F0A">
        <w:rPr>
          <w:rFonts w:cs="Arial"/>
          <w:szCs w:val="20"/>
        </w:rPr>
        <w:t xml:space="preserve"> </w:t>
      </w:r>
      <w:r w:rsidR="00452F0A" w:rsidRPr="00452F0A">
        <w:rPr>
          <w:rFonts w:cs="Arial"/>
          <w:szCs w:val="20"/>
        </w:rPr>
        <w:t>s důrazem na ty ukazatele,</w:t>
      </w:r>
      <w:r w:rsidR="00232BA8">
        <w:rPr>
          <w:rFonts w:cs="Arial"/>
          <w:szCs w:val="20"/>
        </w:rPr>
        <w:t xml:space="preserve"> </w:t>
      </w:r>
      <w:r w:rsidR="00452F0A" w:rsidRPr="00452F0A">
        <w:rPr>
          <w:rFonts w:cs="Arial"/>
          <w:szCs w:val="20"/>
        </w:rPr>
        <w:t>které charakterizují</w:t>
      </w:r>
      <w:r w:rsidR="00452F0A">
        <w:rPr>
          <w:rFonts w:cs="Arial"/>
          <w:szCs w:val="20"/>
        </w:rPr>
        <w:t xml:space="preserve"> </w:t>
      </w:r>
      <w:r w:rsidR="00452F0A" w:rsidRPr="00452F0A">
        <w:rPr>
          <w:rFonts w:cs="Arial"/>
          <w:szCs w:val="20"/>
        </w:rPr>
        <w:t>významné jevy a vykazují signifikantní regionální rozdíly</w:t>
      </w:r>
      <w:r w:rsidR="00452F0A">
        <w:rPr>
          <w:rFonts w:cs="Arial"/>
          <w:szCs w:val="20"/>
        </w:rPr>
        <w:t>.</w:t>
      </w:r>
    </w:p>
    <w:p w:rsidR="009048C2" w:rsidRDefault="009048C2" w:rsidP="00232BA8">
      <w:pPr>
        <w:spacing w:before="0"/>
        <w:rPr>
          <w:rFonts w:cs="Arial"/>
          <w:szCs w:val="20"/>
        </w:rPr>
      </w:pPr>
    </w:p>
    <w:p w:rsidR="009048C2" w:rsidRDefault="00232BA8" w:rsidP="00232BA8">
      <w:pPr>
        <w:spacing w:before="0"/>
        <w:rPr>
          <w:rFonts w:cs="Arial"/>
          <w:szCs w:val="20"/>
        </w:rPr>
      </w:pPr>
      <w:r>
        <w:rPr>
          <w:rFonts w:cs="Arial"/>
          <w:szCs w:val="20"/>
        </w:rPr>
        <w:t xml:space="preserve">Můžeme říci, že z výše uvedených principů jsme požadavkům na srovnatelnost a vypovídací schopnost vyhověli. Naproti tomu poslední uvedený princip plně dodržen nebyl a ani nemohl být. Přestože okruh ukazatelů byl </w:t>
      </w:r>
      <w:r w:rsidR="009048C2">
        <w:rPr>
          <w:rFonts w:cs="Arial"/>
          <w:szCs w:val="20"/>
        </w:rPr>
        <w:t xml:space="preserve">proti obvykle sledovaným </w:t>
      </w:r>
      <w:r>
        <w:rPr>
          <w:rFonts w:cs="Arial"/>
          <w:szCs w:val="20"/>
        </w:rPr>
        <w:t>rozšířen</w:t>
      </w:r>
      <w:r w:rsidR="009048C2">
        <w:rPr>
          <w:rFonts w:cs="Arial"/>
          <w:szCs w:val="20"/>
        </w:rPr>
        <w:t>, zůstala celá řada důležitých charakteristik nepopsána.</w:t>
      </w:r>
      <w:r>
        <w:rPr>
          <w:rFonts w:cs="Arial"/>
          <w:szCs w:val="20"/>
        </w:rPr>
        <w:t xml:space="preserve"> </w:t>
      </w:r>
      <w:r w:rsidR="009048C2">
        <w:rPr>
          <w:rFonts w:cs="Arial"/>
          <w:szCs w:val="20"/>
        </w:rPr>
        <w:t>Také princip reprezentativnosti se ne vždy podařilo zcela naplnit. V některých oblastech by se jistě daly najít indikátory, které by ji lépe popisovaly. Bohužel úplná absence dat zahrnutí do analýzy znemožňuje.</w:t>
      </w:r>
    </w:p>
    <w:p w:rsidR="009048C2" w:rsidRDefault="009048C2" w:rsidP="00232BA8">
      <w:pPr>
        <w:spacing w:before="0"/>
        <w:rPr>
          <w:rFonts w:cs="Arial"/>
          <w:szCs w:val="20"/>
        </w:rPr>
      </w:pPr>
    </w:p>
    <w:p w:rsidR="00232BA8" w:rsidRDefault="009048C2" w:rsidP="00232BA8">
      <w:pPr>
        <w:spacing w:before="0"/>
        <w:rPr>
          <w:rFonts w:cs="Arial"/>
          <w:szCs w:val="20"/>
        </w:rPr>
      </w:pPr>
      <w:r>
        <w:rPr>
          <w:rFonts w:cs="Arial"/>
          <w:szCs w:val="20"/>
        </w:rPr>
        <w:t>Přes všechny výše uvedené výhrady se domníváme, že zpracovaná analýz</w:t>
      </w:r>
      <w:r w:rsidR="00BC6506">
        <w:rPr>
          <w:rFonts w:cs="Arial"/>
          <w:szCs w:val="20"/>
        </w:rPr>
        <w:t>a</w:t>
      </w:r>
      <w:r>
        <w:rPr>
          <w:rFonts w:cs="Arial"/>
          <w:szCs w:val="20"/>
        </w:rPr>
        <w:t xml:space="preserve"> přináš</w:t>
      </w:r>
      <w:r w:rsidR="00BC6506">
        <w:rPr>
          <w:rFonts w:cs="Arial"/>
          <w:szCs w:val="20"/>
        </w:rPr>
        <w:t>í zajímavé výsledky. V některých ohledech se i liší od obvyklého pohledu na konkrétní správní obvod. To je ale dle našeho názoru její základní přínos.</w:t>
      </w:r>
    </w:p>
    <w:p w:rsidR="00232BA8" w:rsidRPr="00B74514" w:rsidRDefault="00232BA8" w:rsidP="00452F0A">
      <w:pPr>
        <w:spacing w:before="0"/>
        <w:jc w:val="left"/>
        <w:rPr>
          <w:rFonts w:cs="Arial"/>
          <w:szCs w:val="20"/>
        </w:rPr>
      </w:pPr>
    </w:p>
    <w:p w:rsidR="004B2E41" w:rsidRPr="004B2E41" w:rsidRDefault="004B2E41" w:rsidP="00EB26CA">
      <w:pPr>
        <w:pStyle w:val="Nadpis2"/>
      </w:pPr>
      <w:bookmarkStart w:id="26" w:name="_Toc403372693"/>
      <w:r w:rsidRPr="004B2E41">
        <w:lastRenderedPageBreak/>
        <w:t>Postavení jednotlivých SO ORP</w:t>
      </w:r>
      <w:bookmarkEnd w:id="26"/>
    </w:p>
    <w:p w:rsidR="00130C06" w:rsidRDefault="00130C06" w:rsidP="00113E61">
      <w:pPr>
        <w:pStyle w:val="StylORP"/>
      </w:pPr>
    </w:p>
    <w:p w:rsidR="00130C06" w:rsidRDefault="00130C06" w:rsidP="00113E61">
      <w:pPr>
        <w:pStyle w:val="StylORP"/>
      </w:pPr>
      <w:bookmarkStart w:id="27" w:name="_Toc403372694"/>
      <w:r w:rsidRPr="007C5AD6">
        <w:t>SO ORP Blatná</w:t>
      </w:r>
      <w:bookmarkEnd w:id="27"/>
    </w:p>
    <w:p w:rsidR="00130C06" w:rsidRDefault="00130C06" w:rsidP="00130C06">
      <w:r>
        <w:t>Podle celkových výsledků se správní obvod zařadil až na samotný závěr hodnocení, konkrétně na předposlední místo. Projevilo se zde především horší postavení v  ekonomické oblasti, kde obvod má druhé nejhorší umístění. Jen o jednu pozici lépe je na tom v demografické oblasti. Situace v environmentální oblasti ho řadí na 14. místo a v sociální sféře na 13. pozici.</w:t>
      </w:r>
    </w:p>
    <w:p w:rsidR="00130C06" w:rsidRDefault="00130C06" w:rsidP="0060622F">
      <w:r>
        <w:t xml:space="preserve">V demografii se negativně projevuje především rozdrobená sídelní struktura a nepříznivá věková skladba obyvatelstva. </w:t>
      </w:r>
      <w:r w:rsidR="0066511E">
        <w:t>P</w:t>
      </w:r>
      <w:r>
        <w:t>odíl cizinců a stěhování výsledky zlepšují. Ekonomiku charakterizuje horší odvětvová struktura včetně horší pozice v cestovním ruchu. Protipólem je relativně dobré postavení v bytové výstavbě a investiční aktivitě obcí (7. a 6. místo). V životním prostředí má obvod nejnižší podíl půdy v ekologickém zemědělství a o moc lépe na tom není ani v produkci komunálního odpadu na obyvatele (15. místo). Naproti tomu v ekologickém způsobu dopravy do škol a zaměstnání mu přísluší druhá nejlepší pozice.</w:t>
      </w:r>
      <w:r w:rsidR="00670BDF">
        <w:t xml:space="preserve"> V sociální oblasti převažuje horší postavení obvodu, když opakem je pouze dostupnost zdravotnických služeb a lepší stav v sociálně patologických jevech.</w:t>
      </w:r>
    </w:p>
    <w:p w:rsidR="00130C06" w:rsidRDefault="00130C06" w:rsidP="00130C06">
      <w:pPr>
        <w:spacing w:before="0"/>
      </w:pPr>
    </w:p>
    <w:p w:rsidR="00130C06" w:rsidRDefault="00130C06" w:rsidP="00113E61">
      <w:pPr>
        <w:pStyle w:val="StylORP"/>
      </w:pPr>
      <w:bookmarkStart w:id="28" w:name="_Toc403372695"/>
      <w:r w:rsidRPr="007C5AD6">
        <w:t xml:space="preserve">SO ORP </w:t>
      </w:r>
      <w:r>
        <w:t>České Budějovice</w:t>
      </w:r>
      <w:bookmarkEnd w:id="28"/>
    </w:p>
    <w:p w:rsidR="00130C06" w:rsidRDefault="00130C06" w:rsidP="00130C06">
      <w:pPr>
        <w:pStyle w:val="URtext"/>
        <w:rPr>
          <w:szCs w:val="24"/>
        </w:rPr>
      </w:pPr>
      <w:r>
        <w:rPr>
          <w:szCs w:val="24"/>
        </w:rPr>
        <w:t xml:space="preserve">V celkovém hodnocení se obvod umístil jednoznačně na prvém místě. K tomu přispělo prvenství ve všech sledovaných okruzích s výjimkou environmentální oblasti. Souhrnné hodnocení ukazatelů životního prostředí zařazuje obvod na předposlední pozici ze všech obvodů v kraji. </w:t>
      </w:r>
    </w:p>
    <w:p w:rsidR="00130C06" w:rsidRDefault="00130C06" w:rsidP="0060622F">
      <w:r>
        <w:t>V demografii patří obvodu převážně přední místa ve většině vybraných indikátorů, „nejhorší“ umístění má ve věkové struktuře obyvatelstva, ale i zde se jedná o lepší průměr (6. místo). V ekonomické a sociální oblasti jsou již výsledky diferencovanější. Pozitivní (1. místo) je zejména ekonomická struktura, podnikání,</w:t>
      </w:r>
      <w:r w:rsidR="002D5488">
        <w:t xml:space="preserve"> stupeň vzdělanosti,</w:t>
      </w:r>
      <w:r>
        <w:t xml:space="preserve"> bydlení (včetně bytové výstavby) a zaměstnanost žen a starších obyvatel. Rovněž úrovní průměrné mzdy a v nezaměstnanosti patří obvod k nejlepším. Naopak horší pozici zaujímá v ekonomické oblasti podle investiční aktivity obcí (12. místo) a v sociální oblasti u ukazatelů občanské angažovanosti (poslední místo) a sociálně patologických jevů (14. pozice). Na postavení obvodu v environmentální oblasti se negativně projevuje především kvalita ovzduší (poslední místo) a v poněkud menší míře ekologická stabilita a ekologické zemědělství (12. a 11. místo). Pozitivně naopak působí preference ekologických způsobů dopravy do škol a zaměstnání.</w:t>
      </w:r>
      <w:r w:rsidRPr="002E72CA">
        <w:t xml:space="preserve"> </w:t>
      </w:r>
    </w:p>
    <w:p w:rsidR="00130C06" w:rsidRDefault="00130C06" w:rsidP="00130C06">
      <w:pPr>
        <w:spacing w:before="0"/>
      </w:pPr>
    </w:p>
    <w:p w:rsidR="00130C06" w:rsidRDefault="00130C06" w:rsidP="00113E61">
      <w:pPr>
        <w:pStyle w:val="StylORP"/>
      </w:pPr>
      <w:bookmarkStart w:id="29" w:name="_Toc403372696"/>
      <w:r w:rsidRPr="007C5AD6">
        <w:t xml:space="preserve">SO ORP </w:t>
      </w:r>
      <w:r>
        <w:t>Český Krumlov</w:t>
      </w:r>
      <w:bookmarkEnd w:id="29"/>
    </w:p>
    <w:p w:rsidR="00130C06" w:rsidRDefault="00130C06" w:rsidP="00130C06">
      <w:pPr>
        <w:pStyle w:val="URtext"/>
        <w:rPr>
          <w:szCs w:val="24"/>
        </w:rPr>
      </w:pPr>
      <w:r>
        <w:rPr>
          <w:szCs w:val="24"/>
        </w:rPr>
        <w:t>V souhrnu všech indikátorů se obvod zařadil k těm nejlepším a konkrétně mu patří 2. místo. Tuto pozici (vypočítanou stejně jako u všech ostatních obvodů jako průměr z normovaných hodnot jednotlivých oblastí) dosáhl díky dobrému hodnocení v ekonomice (2. místo) i v okruzích demografie a životní prostředí (3. pořadí). Naproti tomu sociální oblast umístění zhoršuje a obvod se zde umístil na poslední pozici mezi všemi správními obvody kraje.</w:t>
      </w:r>
    </w:p>
    <w:p w:rsidR="00130C06" w:rsidRDefault="00130C06" w:rsidP="0060622F">
      <w:r>
        <w:t>K dobrému postavení v rámci demografických ukazatelů přispívá především příznivá sídelní struktura (jejíž vliv ale významně redukuje druhá nejhorší hustota osídlení), příznivá věková struktura s nízkou úmrtností a 3. nejvyšší podíl cizinců. V ekonomické oblasti se většina ukazatelů pohybuje v popředí tabulky mezi 4. a 6. místem. Nejlépe je zde hodnocena oblast cestovního ruchu, kde obvodu přísluší jednoznačně první pozice v kraji. Ekologická stabilita a ekologické zemědělství (3. místo v obou případech) a čistota ovzduší, to jsou pozitivní faktory pro hodnocení životního prostředí v obvodu. Naopak převažující způsob dojížďky do zaměstnání a škol spolu s produkcí komunálního odpadu výsledky zhoršují. Postavení až na poslední příčce v sociální oblasti je jednoznačné. Z osmi sledovaných okruhů je ve třech přisouzeno obvodu poslední místo v kraji. Zvlášť je to patrné v míře nezaměstnanosti, kde dosažená hodnota přesahuje téměř o polovinu krajský průměr. Obdobně potratovost je nad průměrnou krajskou úrovní zhruba o třetinu.</w:t>
      </w:r>
      <w:r w:rsidRPr="00F0473A">
        <w:t xml:space="preserve"> </w:t>
      </w:r>
    </w:p>
    <w:p w:rsidR="00130C06" w:rsidRDefault="00130C06" w:rsidP="00130C06">
      <w:pPr>
        <w:spacing w:before="0"/>
      </w:pPr>
    </w:p>
    <w:p w:rsidR="00130C06" w:rsidRDefault="00130C06" w:rsidP="00113E61">
      <w:pPr>
        <w:pStyle w:val="StylORP"/>
      </w:pPr>
      <w:bookmarkStart w:id="30" w:name="_Toc403372697"/>
      <w:r w:rsidRPr="007C5AD6">
        <w:t xml:space="preserve">SO ORP </w:t>
      </w:r>
      <w:proofErr w:type="spellStart"/>
      <w:r>
        <w:t>Dačice</w:t>
      </w:r>
      <w:bookmarkEnd w:id="30"/>
      <w:proofErr w:type="spellEnd"/>
    </w:p>
    <w:p w:rsidR="00130C06" w:rsidRDefault="00130C06" w:rsidP="00130C06">
      <w:pPr>
        <w:pStyle w:val="URtext"/>
        <w:rPr>
          <w:szCs w:val="24"/>
        </w:rPr>
      </w:pPr>
      <w:r>
        <w:rPr>
          <w:szCs w:val="24"/>
        </w:rPr>
        <w:t xml:space="preserve">Podle hodnocení všech indikátorů se obvod zařadil do skupiny s nejhoršími výsledky, když zaujal </w:t>
      </w:r>
      <w:r w:rsidR="002D5488">
        <w:rPr>
          <w:szCs w:val="24"/>
        </w:rPr>
        <w:t>čtvrtou</w:t>
      </w:r>
      <w:r>
        <w:rPr>
          <w:szCs w:val="24"/>
        </w:rPr>
        <w:t xml:space="preserve"> nejhorší pozicí. Největší vliv zde má zejména oblast ekonomiky, která je mezi všemi správními obvody kraje hodnocena jako nejhorší. Také demografické ukazatele ve svém souhrnu vyjadřují horší pozici, což je konkretizováno 14. místem. V sociální oblasti mu patří 11. pořadí a pouze životní prostředí tak v obvodě vyznívá lépe a lze ho hodnotit jako lepší průměr.</w:t>
      </w:r>
    </w:p>
    <w:p w:rsidR="00130C06" w:rsidRDefault="00130C06" w:rsidP="00130C06">
      <w:pPr>
        <w:spacing w:before="0"/>
      </w:pPr>
      <w:r>
        <w:lastRenderedPageBreak/>
        <w:t>Relativně nepříznivá struktura ekonomiky, nízká bytová výstavba (v obou případech 16. místo), ale i nižší podnikatelská aktivita a cestovní ruch – to jsou hlavní faktory, které ovlivňují ekonomickou oblast. Ve spojení s kvalifikací a oceněním pracovní síly (16. a 13. místo) pak nepřekvapí nejnižší možnost pro uplatnění starších občanů a žen na trhu práce</w:t>
      </w:r>
      <w:r w:rsidR="00B2168C">
        <w:t>. V rámci sociálních indikátorů má sice nejlepší umístění v oblasti sociálně patologických jevů, ale vzdělaností se řadí až na předposlední místo v kraji. Nezaměstnanost</w:t>
      </w:r>
      <w:r>
        <w:t xml:space="preserve"> je jen mírně nadprůměrná (11. místo mezi obvody kraje)</w:t>
      </w:r>
      <w:r w:rsidR="00B2168C">
        <w:t>;</w:t>
      </w:r>
      <w:r>
        <w:t xml:space="preserve"> </w:t>
      </w:r>
      <w:r w:rsidR="00B2168C">
        <w:t>k</w:t>
      </w:r>
      <w:r>
        <w:t> posouzení, zda je to důsledek rozšířené nabídky volných míst či řešení problematiky nezaměstnanosti jinými způsoby (např. předčasné odchody do důchodu), nemáme dostatek relevantních podkladů. Vcelku homogenní výsledky poskytuje srovnání demografických ukazatelů. S výjimkou úmrtnosti (7. pozice) se však všechny ostatní zařazují do druhé poloviny tabulky pořadí. Zvlášť patrné je to v zastoupení cizinců a stěhování obyvatelstva (v obou případech 16. místo). Ukazatele z oblasti životního prostředí se většinou pohybují na úrovni lepšího průměru. Za zmínku stojí především produkce komunálního odpadu, která je v přepočtu na obyvatele čtvrtá nejnižší.</w:t>
      </w:r>
    </w:p>
    <w:p w:rsidR="00130C06" w:rsidRDefault="00130C06" w:rsidP="00130C06">
      <w:pPr>
        <w:spacing w:before="0"/>
      </w:pPr>
    </w:p>
    <w:p w:rsidR="00130C06" w:rsidRDefault="00130C06" w:rsidP="00113E61">
      <w:pPr>
        <w:pStyle w:val="StylORP"/>
      </w:pPr>
      <w:bookmarkStart w:id="31" w:name="_Toc403372698"/>
      <w:r w:rsidRPr="007C5AD6">
        <w:t xml:space="preserve">SO ORP </w:t>
      </w:r>
      <w:r>
        <w:t>Jindřichův Hradec</w:t>
      </w:r>
      <w:bookmarkEnd w:id="31"/>
    </w:p>
    <w:p w:rsidR="00130C06" w:rsidRDefault="00130C06" w:rsidP="00130C06">
      <w:pPr>
        <w:pStyle w:val="URtext"/>
        <w:rPr>
          <w:szCs w:val="24"/>
        </w:rPr>
      </w:pPr>
      <w:r>
        <w:rPr>
          <w:szCs w:val="24"/>
        </w:rPr>
        <w:t>Jak podle jednotlivých analyzovaných oblastí, tak v souhrnu za všechny indikátory, patří obvod k průměru kraje. Celkově mu přísluší 7. pomyslná příčka. Přitom</w:t>
      </w:r>
      <w:r w:rsidRPr="00792684">
        <w:rPr>
          <w:szCs w:val="24"/>
        </w:rPr>
        <w:t xml:space="preserve"> </w:t>
      </w:r>
      <w:r>
        <w:rPr>
          <w:szCs w:val="24"/>
        </w:rPr>
        <w:t>v demografii a ekonomice je jeho umístění nepatrně horší (8. pozice) a naopak sociální a environmentální oblast je pak hodnocena poněkud lépe – konkrétně 6. místem.</w:t>
      </w:r>
    </w:p>
    <w:p w:rsidR="00130C06" w:rsidRDefault="00130C06" w:rsidP="0060622F">
      <w:r>
        <w:t>Stejně jako v celkovém hodnocení je poměrně malá variabilita  postavení obvodu v demografické, sociální i environmentální oblasti. Většina demografických indikátorů umisťuje obvod mírně pod průměr kraje, významnější výjimkou je jen v podílu cizinců na obyvatelstvu (12. místo). Obdobně v oblasti životního prostředí v porovnání s celkovým postavením obvodu v této oblasti jen mírně vybočuje ze všech analyzovaných indikátorů ekologické zemědělství (9. pozice). V sociální oblasti pak vybočuje zejména oblast sociálně patologických jevů (11. místo).  Na rozdíl od výše uvedených oblastí jsou v ekonomice rozdíly v postavení podle jednotlivých indikátorů výrazné. Na jedné straně lze jmenovat preferenci stavebnictví (2. místo) či význam cestovního ruchu (4. pozice). Na druhé straně investiční aktivita obcí (14. místo) nebo generační výměna pracovní síly (15. pozice) řadí obvod až k samému závěru pořadí.</w:t>
      </w:r>
    </w:p>
    <w:p w:rsidR="00130C06" w:rsidRDefault="00130C06" w:rsidP="00130C06">
      <w:pPr>
        <w:spacing w:before="0"/>
      </w:pPr>
    </w:p>
    <w:p w:rsidR="00130C06" w:rsidRDefault="00130C06" w:rsidP="00113E61">
      <w:pPr>
        <w:pStyle w:val="StylORP"/>
      </w:pPr>
      <w:bookmarkStart w:id="32" w:name="_Toc403372699"/>
      <w:r w:rsidRPr="007C5AD6">
        <w:t xml:space="preserve">SO ORP </w:t>
      </w:r>
      <w:r>
        <w:t>Kaplice</w:t>
      </w:r>
      <w:bookmarkEnd w:id="32"/>
    </w:p>
    <w:p w:rsidR="00130C06" w:rsidRDefault="00130C06" w:rsidP="00130C06">
      <w:pPr>
        <w:pStyle w:val="URtext"/>
        <w:rPr>
          <w:szCs w:val="24"/>
        </w:rPr>
      </w:pPr>
      <w:r>
        <w:rPr>
          <w:szCs w:val="24"/>
        </w:rPr>
        <w:t>Celkové hodnocení obvodu ho zařazuje na přední místo v kraji. Průměr  z normovaných hodnot jednotlivých oblastí mu přisuzuje 4. místo. To je ovlivněno pozitivním postavením v demografii a životním prostředí – v obou případech druhá nejlepší pozice v kraji. Naproti tomu ekonomika je hodnocena jako průměrná (10. pozice) a sociální oblast vychází v porovnání s ostatními obvody jako druhá nejhorší.</w:t>
      </w:r>
    </w:p>
    <w:p w:rsidR="00130C06" w:rsidRDefault="00130C06" w:rsidP="0060622F">
      <w:r>
        <w:t>Z celkového počtu 7 okruhů demografických indikátorů řadí čtyři obvod na 1. místo v kraji. Naopak nepříznivá je hustota obyvatelstva a především migrace, jejíž saldo je relativně nejhorší v kraji. Také většina indikátorů z oblasti životního prostředí řadí obvod k těm nejlepším. Výjimkou je využívání ekologických způsobů dopravy do škol a zaměstnání, které je2. nejnižší v kraji. Umístění v polovině tabulky v ekonomice je dáno značnou diferenciací v pořadí jednotlivých ukazatelů. Vysoká investiční aktivita obcí, stejně jako generační výměna pracovní síly, přisuzují obvodu 2. nejlepší pořadí. Naproti tomu podnikatelská aktivita (15. místo) a cestovní ruch (poslední pozice) postavení obvodu zhoršují. Nepříznivé postavení obvodu v sociální oblasti je dáno zejména úrovní vzdělanosti (nejhorší v kraji), vysokou nezaměstnaností (3. nejvyšší) a významným vlivem sociálně patologických jevů (2. nejhorší pozice).</w:t>
      </w:r>
      <w:r w:rsidRPr="00C73429">
        <w:t xml:space="preserve"> </w:t>
      </w:r>
    </w:p>
    <w:p w:rsidR="00130C06" w:rsidRDefault="00130C06" w:rsidP="00130C06">
      <w:pPr>
        <w:spacing w:before="0"/>
      </w:pPr>
    </w:p>
    <w:p w:rsidR="00130C06" w:rsidRDefault="00130C06" w:rsidP="00113E61">
      <w:pPr>
        <w:pStyle w:val="StylORP"/>
      </w:pPr>
      <w:bookmarkStart w:id="33" w:name="_Toc403372700"/>
      <w:r w:rsidRPr="007C5AD6">
        <w:t xml:space="preserve">SO ORP </w:t>
      </w:r>
      <w:r>
        <w:t>Milevsko</w:t>
      </w:r>
      <w:bookmarkEnd w:id="33"/>
    </w:p>
    <w:p w:rsidR="00130C06" w:rsidRDefault="00130C06" w:rsidP="00130C06">
      <w:pPr>
        <w:spacing w:before="0"/>
      </w:pPr>
      <w:r>
        <w:t>Podle celkových výsledků se správní obvod zařadil až na samotný závěr hodnocení. Projevilo se zde především nejhorší postavení v demografické oblasti a rovněž umístnění v závěru tabulky (15. místo) v ekonomické a sociální oblasti. Situaci v environmentální oblasti lze pak charakterizovat jako mírně horší průměr.</w:t>
      </w:r>
    </w:p>
    <w:p w:rsidR="00130C06" w:rsidRDefault="00130C06" w:rsidP="0060622F">
      <w:r>
        <w:t xml:space="preserve">Z demografických indikátorů dosáhl obvod nejlepší umístění (10. místo) v hustotě osídlení. Další čtyři indikátory mu přisuzují 13. resp. 14. pozici a věková struktura obyvatelstva spolu s podílem cizinců ho řadí až na samý závěr tabulky. V ekonomice působí nepříznivě zejména odvětvová struktura hospodářství a rozsah bytové výstavby (oba indikátory 15. místo). </w:t>
      </w:r>
      <w:r w:rsidR="00B2168C">
        <w:t>Na d</w:t>
      </w:r>
      <w:r>
        <w:t xml:space="preserve">ruhou nejhorší pozici pak obvod </w:t>
      </w:r>
      <w:r w:rsidR="00B2168C">
        <w:t>řadí</w:t>
      </w:r>
      <w:r>
        <w:t> možnost</w:t>
      </w:r>
      <w:r w:rsidR="0060622F">
        <w:t xml:space="preserve"> </w:t>
      </w:r>
      <w:r>
        <w:t>uplatnění žen a starších obyvatel na pracovním trhu. V sociální oblasti, přestože nezaměstnanost patří svou nízkou úrovní k nejl</w:t>
      </w:r>
      <w:r w:rsidR="0060622F">
        <w:t>épe hodnoceným</w:t>
      </w:r>
      <w:r>
        <w:t xml:space="preserve"> v kraji, se obvod řadí na poslední pozice zejména díky ocenění pracovní síly a „dostupnosti“ lékařské péče. Životní prostředí je pozitivně ovlivňováno především 6. nejnižší produkcí komunálního odpadu (v přepočtu na obyvatele), naopak ekologické zemědělství a význam ekologické dopravy (oba ukazatele 14. pozice) postavení zhoršují.</w:t>
      </w:r>
    </w:p>
    <w:p w:rsidR="00130C06" w:rsidRDefault="00130C06" w:rsidP="00130C06">
      <w:pPr>
        <w:spacing w:before="0"/>
      </w:pPr>
    </w:p>
    <w:p w:rsidR="00130C06" w:rsidRDefault="00130C06" w:rsidP="00113E61">
      <w:pPr>
        <w:pStyle w:val="StylORP"/>
      </w:pPr>
      <w:bookmarkStart w:id="34" w:name="_Toc403372701"/>
      <w:r w:rsidRPr="007C5AD6">
        <w:lastRenderedPageBreak/>
        <w:t xml:space="preserve">SO ORP </w:t>
      </w:r>
      <w:r>
        <w:t>Písek</w:t>
      </w:r>
      <w:bookmarkEnd w:id="34"/>
    </w:p>
    <w:p w:rsidR="00130C06" w:rsidRDefault="00130C06" w:rsidP="00130C06">
      <w:pPr>
        <w:pStyle w:val="URtext"/>
        <w:rPr>
          <w:szCs w:val="24"/>
        </w:rPr>
      </w:pPr>
      <w:r>
        <w:rPr>
          <w:szCs w:val="24"/>
        </w:rPr>
        <w:t>V celkovém hodnocení se obvod umístil ve středu tabulky, konkrétně na 10</w:t>
      </w:r>
      <w:r w:rsidR="00166344">
        <w:rPr>
          <w:szCs w:val="24"/>
        </w:rPr>
        <w:t>.</w:t>
      </w:r>
      <w:r>
        <w:rPr>
          <w:szCs w:val="24"/>
        </w:rPr>
        <w:t xml:space="preserve"> pozici. Tomu odpovídá 9. místo v demografii a životním prostředí i 11. pozice v ekonomice. V sociální oblasti je postavení obvodu výrazně lepší a určuje mu 4. místo.</w:t>
      </w:r>
    </w:p>
    <w:p w:rsidR="00130C06" w:rsidRDefault="00130C06" w:rsidP="0060622F">
      <w:r>
        <w:t xml:space="preserve">Ze sedmi demografických ukazatelů se tři pohybují zhruba ve středu hodnocení. Pozitivně vybočuje zejména saldo migrace obyvatelstva (3. místo) a hustota obyvatelstva (4. pozice). Naproti tomu indikátor porodnosti a plodnosti je v souhrnu druhý nejhorší v kraji. V ostatních třech hodnocených oblastech je pořadí obvodu podle jednotlivých indikátorů již podstatně variabilnější. Ekonomické ukazatele charakterizuje především příznivá odvětvová struktura (3. místo), úroveň podnikání i zaměstnanost žen a starších osob (oba indikátory 4. místo). Opakem je pak postavení v rámci investiční aktivity obcí a generační výměně pracovní síly (shodně 16. místo). V rámci sociální oblasti jsou 3 indikátory, které řadí obvod na přední pozice, ve 3 indikátorech se pohybuje kolem pomyslného středu a v občanské angažovanosti a sociálně patologických jevech se řadí až na zadní příčky. Z indikátorů životního prostředí má obvod nejhorší pozici v kvalitě ovzduší (16. místo). Naproti tomu podprůměrná je produkce komunálních odpadů (7. pozice) a postavení zlepšuje rovněž význam ekologické dopravy (4. místo). </w:t>
      </w:r>
    </w:p>
    <w:p w:rsidR="00130C06" w:rsidRDefault="00130C06" w:rsidP="00130C06">
      <w:pPr>
        <w:spacing w:before="0"/>
      </w:pPr>
    </w:p>
    <w:p w:rsidR="00130C06" w:rsidRDefault="00130C06" w:rsidP="00113E61">
      <w:pPr>
        <w:pStyle w:val="StylORP"/>
      </w:pPr>
      <w:bookmarkStart w:id="35" w:name="_Toc403372702"/>
      <w:r w:rsidRPr="007C5AD6">
        <w:t xml:space="preserve">SO ORP </w:t>
      </w:r>
      <w:r>
        <w:t>Prachatice</w:t>
      </w:r>
      <w:bookmarkEnd w:id="35"/>
    </w:p>
    <w:p w:rsidR="00130C06" w:rsidRDefault="00130C06" w:rsidP="00130C06">
      <w:pPr>
        <w:pStyle w:val="URtext"/>
        <w:rPr>
          <w:szCs w:val="24"/>
        </w:rPr>
      </w:pPr>
      <w:r>
        <w:rPr>
          <w:szCs w:val="24"/>
        </w:rPr>
        <w:t xml:space="preserve">Celkové postavení obvodu, konkrétně 5. místo, zde plně koresponduje s umístěním v jednotlivých analyzovaných oblastech.  V demografii a sociální oblasti obsadil obvod 7. místo, v ekonomice je to 6. pozice a v životním prostředí 4. pozice. </w:t>
      </w:r>
      <w:r w:rsidR="00166344">
        <w:rPr>
          <w:szCs w:val="24"/>
        </w:rPr>
        <w:t>V souhrnu za oblasti</w:t>
      </w:r>
      <w:r>
        <w:rPr>
          <w:szCs w:val="24"/>
        </w:rPr>
        <w:t xml:space="preserve"> je ale celkový výsledek ovlivněn jednotlivými indikátory značně diferencovaně.</w:t>
      </w:r>
    </w:p>
    <w:p w:rsidR="00130C06" w:rsidRDefault="00130C06" w:rsidP="0060622F">
      <w:r>
        <w:t>V demografické oblasti patří ke kladům především nízká míra úmrtnosti (3. pozice) i vysoká porodnost a plodnost (v souhrnu obou 6. místo). Lze sem zahrnout i příznivou věkovou strukturu (4. pozice). Naopak nízká hustota obyvatelstva (15. místo), záporné saldo migrace obyvatelstva (řadící obvod na 13. pozici) a sídelní rozdrobenost (12. příčka) postavení obvodu zhoršují. V ekonomice zařazuje celá polovina vybraných indikátorů obvod k nejlepším v kraji (3. a 4. místo). Postavení naopak zhoršuje až 13. příčka v bytové výstavbě. V sociální oblasti působí kladně zejména nízká nezaměstnanost (3. pozice) a vysoká občanská angažovanost</w:t>
      </w:r>
      <w:r w:rsidR="00166344">
        <w:t xml:space="preserve"> (2. místo)</w:t>
      </w:r>
      <w:r>
        <w:t xml:space="preserve">. Protipólem je pak nejnižší podíl ploch pro rekreaci a sport (z ostatních ploch) a horší dostupnost lékařské péče. V environmentální oblasti stojí za </w:t>
      </w:r>
      <w:r w:rsidR="00166344">
        <w:t xml:space="preserve">zmínku především nejnižší </w:t>
      </w:r>
      <w:r>
        <w:t>produkce komunálního odpadu na obyvatele. Relativně špatná pozice významu ekologické dopravy (13. místo) pak jistě souvisí s možnostmi a geografickou polohou tohoto regionu.</w:t>
      </w:r>
    </w:p>
    <w:p w:rsidR="00130C06" w:rsidRDefault="00130C06" w:rsidP="00130C06">
      <w:pPr>
        <w:spacing w:before="0"/>
      </w:pPr>
    </w:p>
    <w:p w:rsidR="00130C06" w:rsidRDefault="00130C06" w:rsidP="00113E61">
      <w:pPr>
        <w:pStyle w:val="StylORP"/>
      </w:pPr>
      <w:bookmarkStart w:id="36" w:name="_Toc403372703"/>
      <w:r w:rsidRPr="007C5AD6">
        <w:t xml:space="preserve">SO ORP </w:t>
      </w:r>
      <w:r>
        <w:t>Soběslav</w:t>
      </w:r>
      <w:bookmarkEnd w:id="36"/>
    </w:p>
    <w:p w:rsidR="00130C06" w:rsidRDefault="00130C06" w:rsidP="00130C06">
      <w:pPr>
        <w:pStyle w:val="URtext"/>
        <w:rPr>
          <w:szCs w:val="24"/>
        </w:rPr>
      </w:pPr>
      <w:r>
        <w:rPr>
          <w:szCs w:val="24"/>
        </w:rPr>
        <w:t>Podle hodnocení všech indikátorů se obvod zařadil na třetí nejhorší pozici v kraji. Příčinou je zejména špatné (druhé nejhorší) umístění v demografické oblasti. Z hlediska ekonomiky a životního prostředí se obvod umístil shodně na 12. pozici. Nejlepšího hodnocení dosáhl v oblasti sociální, kde skončil na místě desátém.</w:t>
      </w:r>
    </w:p>
    <w:p w:rsidR="00130C06" w:rsidRDefault="00130C06" w:rsidP="00130C06">
      <w:pPr>
        <w:pStyle w:val="URtext"/>
        <w:rPr>
          <w:szCs w:val="24"/>
        </w:rPr>
      </w:pPr>
      <w:r>
        <w:rPr>
          <w:szCs w:val="24"/>
        </w:rPr>
        <w:t xml:space="preserve">Z demografického hlediska je pro </w:t>
      </w:r>
      <w:proofErr w:type="spellStart"/>
      <w:r>
        <w:rPr>
          <w:szCs w:val="24"/>
        </w:rPr>
        <w:t>Soběslav</w:t>
      </w:r>
      <w:r w:rsidR="00166344">
        <w:rPr>
          <w:szCs w:val="24"/>
        </w:rPr>
        <w:t>sko</w:t>
      </w:r>
      <w:proofErr w:type="spellEnd"/>
      <w:r>
        <w:rPr>
          <w:szCs w:val="24"/>
        </w:rPr>
        <w:t xml:space="preserve"> charakteristické starší obyvatelstvo a vyšší sídelní rozdrobenost. Díky vyššímu průměrnému věku i indexu stáří je v hodnocení věkové struktury na 15. pozici a v úmrtnosti dokonce na pozici poslední. Třetí od konce je i v podílu cizinců. Světlým bodem při hodnocení ukazatelů v této oblasti je pouze kladné migrační saldo. Podprůměrné postavení v ekonomické oblasti obvodu zajišťuje především nízká zaměstnanost žen a starších obyvatel (3. nejnižší), nepříznivá situace v generační výměně pracovních sil (poslední pozice), nízká úroveň bytové výstavby a také poměrně nízká investiční aktivita obcí. Za zmínku ale stojí vyšší preference stavebnictví v tomto obvodě; index lokalizace ve stavebnictví má Soběslav ze všech obvodů nejvyšší. V sociální oblasti působí kladně především první místo v ukazateli podílu sportovních a rekreačních ploch, ale také vcelku nízká úroveň sociálně patologických jevů (6. místo). Naopak záporným směrem působí předposlední místa v dostupnosti lékařské péče či v občanské angažovanosti. Navíc je v obvodu poměrně vysoká nezaměstnanost (4. nejvyšší v kraji). Z hlediska životního prostředí se obvod umístil vždy v horší polovině. „Nejlepšího“ výsledku dosáhl v kvalitě ovzduší, když za ním zaostává dalších 8 obvodů. Naopak nejhorším ukazatelem je pro tento obvod podíl půdy v ekologickém zemědělství, ve kterém se nachází na 15. pozici.</w:t>
      </w:r>
    </w:p>
    <w:p w:rsidR="00130C06" w:rsidRDefault="00130C06" w:rsidP="00130C06">
      <w:pPr>
        <w:pStyle w:val="URtext"/>
        <w:rPr>
          <w:szCs w:val="24"/>
        </w:rPr>
      </w:pPr>
    </w:p>
    <w:p w:rsidR="00130C06" w:rsidRPr="00F7241B" w:rsidRDefault="00130C06" w:rsidP="00113E61">
      <w:pPr>
        <w:pStyle w:val="StylORP"/>
      </w:pPr>
      <w:bookmarkStart w:id="37" w:name="_Toc403372704"/>
      <w:r w:rsidRPr="00F7241B">
        <w:t>SO ORP Strakonice</w:t>
      </w:r>
      <w:bookmarkEnd w:id="37"/>
      <w:r w:rsidRPr="00F7241B">
        <w:t xml:space="preserve"> </w:t>
      </w:r>
    </w:p>
    <w:p w:rsidR="00130C06" w:rsidRDefault="00130C06" w:rsidP="00130C06">
      <w:pPr>
        <w:pStyle w:val="URtext"/>
        <w:rPr>
          <w:szCs w:val="24"/>
        </w:rPr>
      </w:pPr>
      <w:r>
        <w:rPr>
          <w:szCs w:val="24"/>
        </w:rPr>
        <w:t xml:space="preserve">Správní obvod Strakonice je v celkovém hodnocení na 12. místě. Nejlepších výsledů dosáhl v oblasti environmentální a sociální, kde obsadil shodně 8. pozici. V demografické části zaujal 11. příčku a v části ekonomické pak příčku 14. Právě ekonomická oblast ho posunula v žebříčku na </w:t>
      </w:r>
      <w:r w:rsidR="00166344">
        <w:rPr>
          <w:szCs w:val="24"/>
        </w:rPr>
        <w:t>horší</w:t>
      </w:r>
      <w:r>
        <w:rPr>
          <w:szCs w:val="24"/>
        </w:rPr>
        <w:t xml:space="preserve"> pozici.</w:t>
      </w:r>
    </w:p>
    <w:p w:rsidR="00130C06" w:rsidRDefault="00130C06" w:rsidP="00130C06">
      <w:pPr>
        <w:pStyle w:val="URtext"/>
        <w:rPr>
          <w:szCs w:val="24"/>
        </w:rPr>
      </w:pPr>
      <w:r>
        <w:rPr>
          <w:szCs w:val="24"/>
        </w:rPr>
        <w:lastRenderedPageBreak/>
        <w:t xml:space="preserve">V demografické části obvod dopadl nejlépe při hodnocení hustoty osídlení (3. místo). Naopak v hodnocení sídelní struktury skončil na místě 15. To je způsobeno především tím, že jde zde velké množství malých obcí.  Ve všech ostatních ukazatelích pak dosahuje hodnot kolem 10. místa v kraji. Ekonomika, která je v tomto obvodu z vybraných oblastí hodnocena nejhůře, vděčí za své postavení především nízké investiční aktivitě obcí (nejnižší v kraji) a také nízké lokalizaci ve stavebnictví (4. nejhorší pozice). Na druhou stranu je zde poměrně dobrá zaměstnanost vybraných skupin a příznivá ekonomická struktura (7. místo). Hodnoty ostatních indikátorů pak dosahují v průměru 11. příčky. Sociální skupina ukazatelů je ve svém hodnocení tohoto obvodu poměrně heterogenní. Ve třech ukazatelích – vzdělání, sociálně patologické jevy a průměrná mzda – patří obvod Strakonice na přední příčky žebříčku (3., resp. 4. místa). V ostatních však obvod dosahuje kolem 12. místa. V oblasti životního prostředí doplácí především na špatnou ekologickou stabilitu (16. pozice) a 4. </w:t>
      </w:r>
      <w:r w:rsidRPr="009A15B7">
        <w:rPr>
          <w:szCs w:val="24"/>
        </w:rPr>
        <w:t>nejvyšší podíl</w:t>
      </w:r>
      <w:r>
        <w:rPr>
          <w:szCs w:val="24"/>
        </w:rPr>
        <w:t xml:space="preserve"> území s překročováním imisního limitu. Postavení obvodu naopak vylepšuje ukazatel produkce komunálních odpadů (2. nejnižší).</w:t>
      </w:r>
    </w:p>
    <w:p w:rsidR="00130C06" w:rsidRDefault="00130C06" w:rsidP="00130C06">
      <w:pPr>
        <w:pStyle w:val="URtext"/>
        <w:rPr>
          <w:szCs w:val="24"/>
        </w:rPr>
      </w:pPr>
    </w:p>
    <w:p w:rsidR="00130C06" w:rsidRDefault="00130C06" w:rsidP="00113E61">
      <w:pPr>
        <w:pStyle w:val="StylORP"/>
      </w:pPr>
      <w:bookmarkStart w:id="38" w:name="_Toc403372705"/>
      <w:r w:rsidRPr="00012E24">
        <w:t>SO ORP Tábor</w:t>
      </w:r>
      <w:bookmarkEnd w:id="38"/>
    </w:p>
    <w:p w:rsidR="00130C06" w:rsidRDefault="00130C06" w:rsidP="00130C06">
      <w:pPr>
        <w:pStyle w:val="URtext"/>
        <w:rPr>
          <w:szCs w:val="24"/>
        </w:rPr>
      </w:pPr>
      <w:r>
        <w:rPr>
          <w:szCs w:val="24"/>
        </w:rPr>
        <w:t>Obvod Tábor v celkovém hodnocení obsadil 9. pozici. Horší než 9. místo však zaujal jen v oblasti životního prostředí (13. pozice), ve všech</w:t>
      </w:r>
      <w:r w:rsidR="00166344">
        <w:rPr>
          <w:szCs w:val="24"/>
        </w:rPr>
        <w:t xml:space="preserve"> ostatních</w:t>
      </w:r>
      <w:r>
        <w:rPr>
          <w:szCs w:val="24"/>
        </w:rPr>
        <w:t xml:space="preserve"> oblastech</w:t>
      </w:r>
      <w:r w:rsidR="00F40E2A">
        <w:rPr>
          <w:szCs w:val="24"/>
        </w:rPr>
        <w:t xml:space="preserve"> byl</w:t>
      </w:r>
      <w:r>
        <w:rPr>
          <w:szCs w:val="24"/>
        </w:rPr>
        <w:t xml:space="preserve"> lepší. V demografické oblasti skončil na místě 6., v oblasti ekonomické na místě 7. a v oblasti sociální dokonce na místě 3.</w:t>
      </w:r>
    </w:p>
    <w:p w:rsidR="00130C06" w:rsidRPr="00012E24" w:rsidRDefault="00130C06" w:rsidP="00130C06">
      <w:pPr>
        <w:pStyle w:val="URtext"/>
        <w:rPr>
          <w:szCs w:val="24"/>
        </w:rPr>
      </w:pPr>
      <w:r>
        <w:rPr>
          <w:szCs w:val="24"/>
        </w:rPr>
        <w:t xml:space="preserve">Nejvýraznější odchylkou od celkového šestého místa v demografických ukazatelích je místo 14. v charakteristice věkové struktury. Obvod má poměrně vysoký průměrný věk i index stáří (oboje 5. příčka mezi obvody). Záporně na výsledek v demografické oblasti působí i obdržené 11. místo v zastoupení cizinců. Naopak dobré výsledky má v hustotě osídlení (2. pozice) i v sídelní struktuře (5. pozice). Celkové 7. místo v oblasti ekonomiky vyplývá hlavně z lepších průměrných výsledků v oblasti zaměstnanosti, podnikání, investiční aktivitě obcí, cestovním ruchu a bytové výstavbě. </w:t>
      </w:r>
      <w:proofErr w:type="spellStart"/>
      <w:r>
        <w:rPr>
          <w:szCs w:val="24"/>
        </w:rPr>
        <w:t>Táborsko</w:t>
      </w:r>
      <w:proofErr w:type="spellEnd"/>
      <w:r>
        <w:rPr>
          <w:szCs w:val="24"/>
        </w:rPr>
        <w:t xml:space="preserve"> má </w:t>
      </w:r>
      <w:r w:rsidR="00F40E2A">
        <w:rPr>
          <w:szCs w:val="24"/>
        </w:rPr>
        <w:t>především</w:t>
      </w:r>
      <w:r>
        <w:rPr>
          <w:szCs w:val="24"/>
        </w:rPr>
        <w:t xml:space="preserve"> druhou nejpříznivější ekonomickou strukturu v kraji. Horší místo obsazuje pouze v lokalizaci stavebnictví (11. pozice) a v generační výměně pracovních sil (14. pozice). Jak bylo řečeno, nejlépe tento obvod dopadl v  oblasti</w:t>
      </w:r>
      <w:r w:rsidRPr="008022F7">
        <w:rPr>
          <w:szCs w:val="24"/>
        </w:rPr>
        <w:t xml:space="preserve"> </w:t>
      </w:r>
      <w:r>
        <w:rPr>
          <w:szCs w:val="24"/>
        </w:rPr>
        <w:t>sociální. Třetí místo v této skupině indikátorů je zapříčiněno především dobrou pozicí ve vzdělání obyvatelstva (2. nejvyšší), kvalitě bydlení (3. nejvyšší) a průměrné mzdě (6. nejvyšší). Nejhorší pozici v sociální skupině ukazatelů získal naopak v občanské angažovanosti (13. místo). Navíc zde negativně zapůsobila</w:t>
      </w:r>
      <w:r w:rsidR="00F40E2A">
        <w:rPr>
          <w:szCs w:val="24"/>
        </w:rPr>
        <w:t xml:space="preserve"> i </w:t>
      </w:r>
      <w:r>
        <w:rPr>
          <w:szCs w:val="24"/>
        </w:rPr>
        <w:t>poměrně vysoká nezaměstnanost (12. pozice). V oblasti s nejhoršími výsledky, tedy v životním prostředí, je pozitivní pouze třetí místo ve významu ekologické dopravy. V ostatních ukazatelích se obvod Tábor umístil dvakrát na 13.</w:t>
      </w:r>
      <w:r w:rsidRPr="00437130">
        <w:rPr>
          <w:szCs w:val="24"/>
        </w:rPr>
        <w:t xml:space="preserve"> </w:t>
      </w:r>
      <w:r w:rsidR="00F40E2A">
        <w:rPr>
          <w:szCs w:val="24"/>
        </w:rPr>
        <w:t>místě, jednou na 14. a v</w:t>
      </w:r>
      <w:r>
        <w:rPr>
          <w:szCs w:val="24"/>
        </w:rPr>
        <w:t xml:space="preserve"> kvalitě ovzduší dokonce na 3</w:t>
      </w:r>
      <w:r w:rsidR="00F40E2A">
        <w:rPr>
          <w:szCs w:val="24"/>
        </w:rPr>
        <w:t>.</w:t>
      </w:r>
      <w:r>
        <w:rPr>
          <w:szCs w:val="24"/>
        </w:rPr>
        <w:t xml:space="preserve"> nejhorší pozici.</w:t>
      </w:r>
    </w:p>
    <w:p w:rsidR="00130C06" w:rsidRDefault="00130C06" w:rsidP="00130C06">
      <w:pPr>
        <w:pStyle w:val="URtext"/>
        <w:rPr>
          <w:szCs w:val="24"/>
        </w:rPr>
      </w:pPr>
    </w:p>
    <w:p w:rsidR="00130C06" w:rsidRPr="002D4196" w:rsidRDefault="00130C06" w:rsidP="00113E61">
      <w:pPr>
        <w:pStyle w:val="StylORP"/>
      </w:pPr>
      <w:bookmarkStart w:id="39" w:name="_Toc403372706"/>
      <w:r w:rsidRPr="002D4196">
        <w:t xml:space="preserve">SO ORP Trhové </w:t>
      </w:r>
      <w:proofErr w:type="spellStart"/>
      <w:r w:rsidRPr="002D4196">
        <w:t>Sviny</w:t>
      </w:r>
      <w:bookmarkEnd w:id="39"/>
      <w:proofErr w:type="spellEnd"/>
    </w:p>
    <w:p w:rsidR="00130C06" w:rsidRDefault="00130C06" w:rsidP="00130C06">
      <w:pPr>
        <w:pStyle w:val="URtext"/>
        <w:rPr>
          <w:szCs w:val="24"/>
        </w:rPr>
      </w:pPr>
      <w:r>
        <w:rPr>
          <w:szCs w:val="24"/>
        </w:rPr>
        <w:t>Podle celkových výsledků se obvod umístil na místě 11. S touto pozicí koresponduje postavení v oblasti demografické (12. pozice), oblasti životního prostředí (10. pozice) i oblasti ekonomické (9. pozice). Celkovému umístění se tak mírně vymyká pouze dosažení 5. pozice v oblasti sociální.</w:t>
      </w:r>
    </w:p>
    <w:p w:rsidR="00130C06" w:rsidRDefault="00130C06" w:rsidP="00130C06">
      <w:pPr>
        <w:pStyle w:val="URtext"/>
        <w:rPr>
          <w:szCs w:val="24"/>
        </w:rPr>
      </w:pPr>
      <w:r>
        <w:rPr>
          <w:szCs w:val="24"/>
        </w:rPr>
        <w:t xml:space="preserve">Obvod se ve většině demografických ukazatelů nachází v rozmezí mezi 11. až 13. místem. Výjimkou je umístění obvodu na šesté a sedmé pozici v sídelní a věkové struktuře. V rámci ekonomických indikátorů se obvod nejčastěji nachází na místě 11. – a to rovnou v polovině ukazatelů. Jeho pozici v této oblasti vylepšují ukazatele investiční aktivity obcí a bytové výstavby (v obou 3. pozice). Naopak negativně na výsledek skupiny působí ukazatel charakterizující podnikatelskou aktivitu – v té se obvod umístil na předposlední příčce. </w:t>
      </w:r>
      <w:r w:rsidR="00F40E2A">
        <w:rPr>
          <w:szCs w:val="24"/>
        </w:rPr>
        <w:t xml:space="preserve">V </w:t>
      </w:r>
      <w:r>
        <w:rPr>
          <w:szCs w:val="24"/>
        </w:rPr>
        <w:t xml:space="preserve">sociální oblasti obvod dosáhl pátého nejlepšího umístění, a to především díky prvenství v občanské angažovanosti. V ostatních ukazatelích se obvod nachází povětšinou na 5. či 6. pozici. Výjimku tvoří horší postavení obvodu z hlediska ukazatele vzdělání (13. pozice). Environmentální oblast je ve správním obvodu Trhové </w:t>
      </w:r>
      <w:proofErr w:type="spellStart"/>
      <w:r>
        <w:rPr>
          <w:szCs w:val="24"/>
        </w:rPr>
        <w:t>Sviny</w:t>
      </w:r>
      <w:proofErr w:type="spellEnd"/>
      <w:r>
        <w:rPr>
          <w:szCs w:val="24"/>
        </w:rPr>
        <w:t xml:space="preserve"> poměrně variabilní. Kladně zde působí především poměrně vysoký podíl půdy v ekologickém zemědělství, na</w:t>
      </w:r>
      <w:r w:rsidR="00F40E2A">
        <w:rPr>
          <w:szCs w:val="24"/>
        </w:rPr>
        <w:t xml:space="preserve"> druhou stranu je zde nejnižší podíl</w:t>
      </w:r>
      <w:r>
        <w:rPr>
          <w:szCs w:val="24"/>
        </w:rPr>
        <w:t xml:space="preserve"> ekologické dopravy do škol a zaměstnání v kraji.</w:t>
      </w:r>
    </w:p>
    <w:p w:rsidR="00130C06" w:rsidRPr="00012E24" w:rsidRDefault="00130C06" w:rsidP="00130C06">
      <w:pPr>
        <w:pStyle w:val="URtext"/>
        <w:rPr>
          <w:szCs w:val="24"/>
        </w:rPr>
      </w:pPr>
      <w:r>
        <w:rPr>
          <w:szCs w:val="24"/>
        </w:rPr>
        <w:t xml:space="preserve"> </w:t>
      </w:r>
    </w:p>
    <w:p w:rsidR="00130C06" w:rsidRPr="00012E24" w:rsidRDefault="00130C06" w:rsidP="00113E61">
      <w:pPr>
        <w:pStyle w:val="StylORP"/>
      </w:pPr>
      <w:bookmarkStart w:id="40" w:name="_Toc403372707"/>
      <w:r>
        <w:t>SO ORP Třeboň</w:t>
      </w:r>
      <w:bookmarkEnd w:id="40"/>
    </w:p>
    <w:p w:rsidR="00130C06" w:rsidRDefault="00130C06" w:rsidP="00130C06">
      <w:pPr>
        <w:pStyle w:val="URtext"/>
        <w:rPr>
          <w:szCs w:val="24"/>
        </w:rPr>
      </w:pPr>
      <w:r>
        <w:rPr>
          <w:szCs w:val="24"/>
        </w:rPr>
        <w:t xml:space="preserve">Celkový výsledek </w:t>
      </w:r>
      <w:proofErr w:type="spellStart"/>
      <w:r>
        <w:rPr>
          <w:szCs w:val="24"/>
        </w:rPr>
        <w:t>multikriteriálního</w:t>
      </w:r>
      <w:proofErr w:type="spellEnd"/>
      <w:r>
        <w:rPr>
          <w:szCs w:val="24"/>
        </w:rPr>
        <w:t xml:space="preserve"> srovnání je pro obvod Třeboň poměrně příznivý; řadí ho na třetí příčku mezi všemi obvody. Obvod dopadl nejlépe v hodnocení ekonomické oblasti (3. pozice). V oblasti demografické a environmentální skončil na místě 5. Nejhůře pak dopadl v oblasti sociální (14. příčka).</w:t>
      </w:r>
    </w:p>
    <w:p w:rsidR="00130C06" w:rsidRDefault="00130C06" w:rsidP="00130C06">
      <w:pPr>
        <w:pStyle w:val="URtext"/>
        <w:rPr>
          <w:szCs w:val="24"/>
        </w:rPr>
      </w:pPr>
      <w:r>
        <w:rPr>
          <w:szCs w:val="24"/>
        </w:rPr>
        <w:t xml:space="preserve">Umístění obvodu Třeboň je v demografické oblasti podle jednotlivých indikátorů od místa 1. do místa 11. První pozici získal v migraci obyvatelstva. Což v relaci s poměrně příznivou ekonomickou strukturou a zvláště pak s bytovou výstavbou není nijak zarážející. Ukazatelem, který pro obvod vyšel nejméně příznivě, je hustota osídlení. Lehce podprůměrný je i v ukazatelích charakterizujících věkovou strukturu a také živě </w:t>
      </w:r>
      <w:r>
        <w:rPr>
          <w:szCs w:val="24"/>
        </w:rPr>
        <w:lastRenderedPageBreak/>
        <w:t>narozené. Obvod se v ekonomické oblasti dobře umístil mimo již jmenovanou bytovou výstavbu i díky investiční aktivitě obcí a cestovnímu ruchu – ve všech třech těchto ukazatelích se vešel mezi nejlepší tři obvody v kraji. Horších výsledků v ekonomické oblasti dosáhl pouze v lokalizaci ve stavebnictví (druhý nejhorší obvod) a částečně i v zaměstnanosti žen a starších obyvatel (12. pozice). Na</w:t>
      </w:r>
      <w:r w:rsidR="006714BB">
        <w:rPr>
          <w:szCs w:val="24"/>
        </w:rPr>
        <w:t xml:space="preserve"> celkové hodnocení</w:t>
      </w:r>
      <w:r>
        <w:rPr>
          <w:szCs w:val="24"/>
        </w:rPr>
        <w:t xml:space="preserve"> životního prostředí na Třeboňsku mají příznivý vliv dobrá kvalita ovzduší a také výborná ekologická stabilita (2. místo). Poněkud horší je obvod v ukazateli produkce komunálního odpadu. Již zmíněné tři oblasti tedy pro Třeboňsko dopadly poměrně pozitivně. Sociální oblast však v obvodu nijak příznivá není. V šesti z osmi indikátorů je na 10. a horším místě. Nejhorší postavení zaujímá v průměrné mzdě (v kraji 2. nejnižší). Jediné, v čem je ze sociální oblasti alespoň lehce nadprůměrný, je občanská angažovanost. </w:t>
      </w:r>
    </w:p>
    <w:p w:rsidR="00130C06" w:rsidRDefault="00130C06" w:rsidP="00130C06">
      <w:pPr>
        <w:pStyle w:val="URtext"/>
        <w:rPr>
          <w:szCs w:val="24"/>
        </w:rPr>
      </w:pPr>
    </w:p>
    <w:p w:rsidR="00130C06" w:rsidRPr="004C18BF" w:rsidRDefault="00130C06" w:rsidP="00113E61">
      <w:pPr>
        <w:pStyle w:val="StylORP"/>
      </w:pPr>
      <w:bookmarkStart w:id="41" w:name="_Toc403372708"/>
      <w:r w:rsidRPr="004C18BF">
        <w:t>SO ORP Týn nad Vltavou</w:t>
      </w:r>
      <w:bookmarkEnd w:id="41"/>
    </w:p>
    <w:p w:rsidR="00130C06" w:rsidRDefault="00130C06" w:rsidP="00130C06">
      <w:pPr>
        <w:pStyle w:val="URtext"/>
        <w:rPr>
          <w:szCs w:val="24"/>
        </w:rPr>
      </w:pPr>
      <w:r>
        <w:rPr>
          <w:szCs w:val="24"/>
        </w:rPr>
        <w:t xml:space="preserve">Celkové hodnocení </w:t>
      </w:r>
      <w:proofErr w:type="spellStart"/>
      <w:r>
        <w:rPr>
          <w:szCs w:val="24"/>
        </w:rPr>
        <w:t>Vltavotýnska</w:t>
      </w:r>
      <w:proofErr w:type="spellEnd"/>
      <w:r>
        <w:rPr>
          <w:szCs w:val="24"/>
        </w:rPr>
        <w:t xml:space="preserve"> vychází z poměrně rozmanitých výsledků. Obvod dosáhl 2. nejlepšího ohodnocení v sociální oblasti, 4. nejlepšího v demografické oblasti, 5. nejlepšího v ekonomické oblasti, nicméně v oblasti životního prostředí byl až na místě 17. Výslednou pozicí je tedy 8. příčka. </w:t>
      </w:r>
    </w:p>
    <w:p w:rsidR="00130C06" w:rsidRDefault="00130C06" w:rsidP="00130C06">
      <w:pPr>
        <w:pStyle w:val="URtext"/>
        <w:rPr>
          <w:szCs w:val="24"/>
        </w:rPr>
      </w:pPr>
      <w:r>
        <w:rPr>
          <w:szCs w:val="24"/>
        </w:rPr>
        <w:t xml:space="preserve">Jako nejlepší oblast se projevila oblast sociální. Tady </w:t>
      </w:r>
      <w:r w:rsidR="006714BB">
        <w:rPr>
          <w:szCs w:val="24"/>
        </w:rPr>
        <w:t xml:space="preserve">se </w:t>
      </w:r>
      <w:r>
        <w:rPr>
          <w:szCs w:val="24"/>
        </w:rPr>
        <w:t xml:space="preserve">obvod </w:t>
      </w:r>
      <w:r w:rsidR="006714BB">
        <w:rPr>
          <w:szCs w:val="24"/>
        </w:rPr>
        <w:t xml:space="preserve">umístil na 1. místě v odhadu </w:t>
      </w:r>
      <w:r>
        <w:rPr>
          <w:szCs w:val="24"/>
        </w:rPr>
        <w:t>průměrn</w:t>
      </w:r>
      <w:r w:rsidR="006714BB">
        <w:rPr>
          <w:szCs w:val="24"/>
        </w:rPr>
        <w:t>é</w:t>
      </w:r>
      <w:r>
        <w:rPr>
          <w:szCs w:val="24"/>
        </w:rPr>
        <w:t xml:space="preserve"> měsíční mzd</w:t>
      </w:r>
      <w:r w:rsidR="006714BB">
        <w:rPr>
          <w:szCs w:val="24"/>
        </w:rPr>
        <w:t>y</w:t>
      </w:r>
      <w:r>
        <w:rPr>
          <w:szCs w:val="24"/>
        </w:rPr>
        <w:t xml:space="preserve"> a má druhou nejlepší kvalitu bydlení. V první polovině obvodů se nachází i při hodnocení podle nezaměstnanosti, vzdělání obyvatelstva, zastoupením ploch pro sport a rekreaci či podle občanské angažovanosti. Poněkud horší je situace v sociálně patologických jevech, kde je na 13. příčce. Ani v demografické oblasti na tom obvod není špatně. Za svou pozici vděčí hlavně dobré věkové i sídelní struktuře. Jediný indikátor, ve kterém zaznamenal </w:t>
      </w:r>
      <w:r w:rsidR="006714BB">
        <w:rPr>
          <w:szCs w:val="24"/>
        </w:rPr>
        <w:t>horší</w:t>
      </w:r>
      <w:r>
        <w:rPr>
          <w:szCs w:val="24"/>
        </w:rPr>
        <w:t xml:space="preserve"> pořadí, je podíl cizinců (14. místo). Celková pátá příčka v ekonomické oblasti je výsledkem poměrně různorodých hodnot. Obvod má velmi příznivou zaměstnanost vybraných skupin i generační výměnu pracovních sil. Dobré umístění má i v lokalizaci ve stavebnictví a investiční aktivitě obcí. Na druhou stranu je poslední v oblasti podnikání a bytové výstavbě. Příliš dobrý zde není ani cestovní ruch a ekonomická struktura (oba 14. příčka). Co však tento správní obvod v celkovém hodnocení sráží je jeho kvalita životního prostředí. Týn nad Vltavou má nejhorší ekologickou stabilitu i nejvyšší produkci komunálního odpadu ze všech správních obvodů v kraji. Průměrné hodnocení v environmentální o</w:t>
      </w:r>
      <w:r w:rsidR="00EA460F">
        <w:rPr>
          <w:szCs w:val="24"/>
        </w:rPr>
        <w:t>blasti obdržel pouze v</w:t>
      </w:r>
      <w:r>
        <w:rPr>
          <w:szCs w:val="24"/>
        </w:rPr>
        <w:t xml:space="preserve"> </w:t>
      </w:r>
      <w:r w:rsidR="00EA460F">
        <w:rPr>
          <w:szCs w:val="24"/>
        </w:rPr>
        <w:t>podílu</w:t>
      </w:r>
      <w:r>
        <w:rPr>
          <w:szCs w:val="24"/>
        </w:rPr>
        <w:t xml:space="preserve"> ekologické dopravy do škol a zaměstnání, kde se umístil na 9. místě.</w:t>
      </w:r>
    </w:p>
    <w:p w:rsidR="00130C06" w:rsidRDefault="00130C06" w:rsidP="00130C06">
      <w:pPr>
        <w:pStyle w:val="URtext"/>
        <w:rPr>
          <w:szCs w:val="24"/>
        </w:rPr>
      </w:pPr>
    </w:p>
    <w:p w:rsidR="00130C06" w:rsidRPr="000A58EF" w:rsidRDefault="00130C06" w:rsidP="00113E61">
      <w:pPr>
        <w:pStyle w:val="StylORP"/>
      </w:pPr>
      <w:bookmarkStart w:id="42" w:name="_Toc403372709"/>
      <w:r w:rsidRPr="000A58EF">
        <w:t>SO ORP Vimperk</w:t>
      </w:r>
      <w:bookmarkEnd w:id="42"/>
    </w:p>
    <w:p w:rsidR="00130C06" w:rsidRDefault="00130C06" w:rsidP="00130C06">
      <w:pPr>
        <w:pStyle w:val="URtext"/>
        <w:rPr>
          <w:szCs w:val="24"/>
        </w:rPr>
      </w:pPr>
      <w:r>
        <w:rPr>
          <w:szCs w:val="24"/>
        </w:rPr>
        <w:t>Správní obvod Vimperk v celkovém hodnocení obsadil 6. příčku. Za toto poměrně dobré umístění vděčí především oblasti životního prostředí, neboť zde byl vyhodnocen obvodem nejlepším. Dobré hodnocení získal i v oblasti ekonomické, zde je 4. Poněkud hůře dopadl v oblasti sociální a demografické (9. a 10. pozice).</w:t>
      </w:r>
    </w:p>
    <w:p w:rsidR="00130C06" w:rsidRDefault="00130C06" w:rsidP="00130C06">
      <w:pPr>
        <w:pStyle w:val="URtext"/>
        <w:rPr>
          <w:szCs w:val="24"/>
        </w:rPr>
      </w:pPr>
      <w:r>
        <w:rPr>
          <w:szCs w:val="24"/>
        </w:rPr>
        <w:t xml:space="preserve">Pro </w:t>
      </w:r>
      <w:proofErr w:type="spellStart"/>
      <w:r>
        <w:rPr>
          <w:szCs w:val="24"/>
        </w:rPr>
        <w:t>Vimpersko</w:t>
      </w:r>
      <w:proofErr w:type="spellEnd"/>
      <w:r>
        <w:rPr>
          <w:szCs w:val="24"/>
        </w:rPr>
        <w:t xml:space="preserve"> ležící v příhraniční oblasti kraje je typické, že značnou plochu jeho území zabírá Šumava, což mu zajišťuje nejen příznivé životní prostředí, ale také cestovní ruch. Ve skupině indikátorů charakterizujících životní prostředí se tedy umístil na prvním místě. Obvod má nejlepší ekologickou stabilitu a také velmi dobrou kvalitu ovzduší. I v podílu půdy využívané v ekologickém zemědělství je na výborném druhém místě. Co mu ale kazí průměr v této oblasti je 16. místo v produkci komunálního odpadu a také relativně nízká preference ekologické dopravy. Další oblastí, která pro </w:t>
      </w:r>
      <w:proofErr w:type="spellStart"/>
      <w:r>
        <w:rPr>
          <w:szCs w:val="24"/>
        </w:rPr>
        <w:t>Vimpersko</w:t>
      </w:r>
      <w:proofErr w:type="spellEnd"/>
      <w:r>
        <w:rPr>
          <w:szCs w:val="24"/>
        </w:rPr>
        <w:t xml:space="preserve"> dopadla příznivě, je oblast ekonomiky. V této oblasti je pozitivním ukazatelem především již zmíněný cestovní ruch, ale také velmi dobré charakteristiky podnikání. Ve zbytku ekonomických ukazatelů se obvod pohyboval nejčastěji kolem 8. pozice. Nejhorší (11. místo) obsadil v investiční aktivitě obcí. Z hlediska demografické struktury se v obvodu projevuje velmi nízká hustota osídlení, záporné migrační saldo a také vysoká úmrtnost (2. nejvyšší v kraji). Věkovou strukturu tak dorovnává alespoň vysoké hodnocení ukazatelů porodnosti a plodnosti (2. místo). Díky příhraniční poloze je zde navíc poměrně výrazné zastoupení cizinců. V rámci sociální oblasti jsou hodnoty ukazatelů pro tento obvod poměrně heterogenní. Nejlepšího hodnocení dosahuje obvod v občanské angažovanosti a také míře nezaměstnanosti (oboje 4. místo). Naopak z dalších ukazatelů vyplývá, že zdejší obyvatelstvo má v kraji 3. nejhorší kvalitu bydlení a čtvrtou nejnižší průměrnou měsíční mzdu.</w:t>
      </w:r>
    </w:p>
    <w:p w:rsidR="00130C06" w:rsidRDefault="00130C06" w:rsidP="00130C06">
      <w:pPr>
        <w:pStyle w:val="URtext"/>
        <w:rPr>
          <w:szCs w:val="24"/>
        </w:rPr>
      </w:pPr>
    </w:p>
    <w:p w:rsidR="00130C06" w:rsidRPr="006D3EFD" w:rsidRDefault="00130C06" w:rsidP="00113E61">
      <w:pPr>
        <w:pStyle w:val="StylORP"/>
      </w:pPr>
      <w:bookmarkStart w:id="43" w:name="_Toc403372710"/>
      <w:r w:rsidRPr="006D3EFD">
        <w:t xml:space="preserve">SO ORP </w:t>
      </w:r>
      <w:proofErr w:type="spellStart"/>
      <w:r w:rsidRPr="006D3EFD">
        <w:t>Vodňany</w:t>
      </w:r>
      <w:bookmarkEnd w:id="43"/>
      <w:proofErr w:type="spellEnd"/>
    </w:p>
    <w:p w:rsidR="00130C06" w:rsidRDefault="00130C06" w:rsidP="00130C06">
      <w:pPr>
        <w:pStyle w:val="URtext"/>
        <w:rPr>
          <w:szCs w:val="24"/>
        </w:rPr>
      </w:pPr>
      <w:r>
        <w:rPr>
          <w:szCs w:val="24"/>
        </w:rPr>
        <w:t xml:space="preserve">Obdržené 13. pořadí v celkovém hodnocení pro správní obvod </w:t>
      </w:r>
      <w:proofErr w:type="spellStart"/>
      <w:r>
        <w:rPr>
          <w:szCs w:val="24"/>
        </w:rPr>
        <w:t>Vodňany</w:t>
      </w:r>
      <w:proofErr w:type="spellEnd"/>
      <w:r>
        <w:rPr>
          <w:szCs w:val="24"/>
        </w:rPr>
        <w:t xml:space="preserve"> je v souladu s jeho umístěním v dílčích oblastech a plně se s ním shoduje v hodnocení demografické struktury a ekonomické situace. Směrem k lepšímu postavení se odchýlila sociální oblast (12. pozice). Naopak směrem k horšímu postavení oblast životního prostředí (15. místo). </w:t>
      </w:r>
    </w:p>
    <w:p w:rsidR="00130C06" w:rsidRDefault="00130C06" w:rsidP="00130C06">
      <w:pPr>
        <w:pStyle w:val="URtext"/>
        <w:rPr>
          <w:szCs w:val="24"/>
        </w:rPr>
      </w:pPr>
      <w:r>
        <w:rPr>
          <w:szCs w:val="24"/>
        </w:rPr>
        <w:lastRenderedPageBreak/>
        <w:t xml:space="preserve">V demografickém srovnání se </w:t>
      </w:r>
      <w:proofErr w:type="spellStart"/>
      <w:r>
        <w:rPr>
          <w:szCs w:val="24"/>
        </w:rPr>
        <w:t>Vodňansko</w:t>
      </w:r>
      <w:proofErr w:type="spellEnd"/>
      <w:r>
        <w:rPr>
          <w:szCs w:val="24"/>
        </w:rPr>
        <w:t xml:space="preserve"> v první polovině obvodů ocitlo pouze třikrát – a sice v hustotě osídlení, věkové struktuře a významně lépe dopadlo v podílu cizinců (2. pozice). Postavení v demografické skupině mu značně sráží ukazatele porodnosti a plodnosti – v těch je na poslední příčce. V obv</w:t>
      </w:r>
      <w:r w:rsidR="00EA460F">
        <w:rPr>
          <w:szCs w:val="24"/>
        </w:rPr>
        <w:t xml:space="preserve">odu je navíc </w:t>
      </w:r>
      <w:r>
        <w:rPr>
          <w:szCs w:val="24"/>
        </w:rPr>
        <w:t xml:space="preserve">poměrně vysoká sídelní rozdrobenost a míra úmrtnosti. Skupinu ekonomických ukazatelů charakterizuje poměrně vysoká variabilita – obvod se například umístil nadprůměrně dobře v generační obměně pracovních sil nebo bytové výstavbě (5. a 6. místo). Naopak pohořel na cestovním ruchu či investiční aktivitě obcí (16. a 15. pozice). Ani skupina sociálních ukazatelů není v tomto případě příliš homogenní. V první polovině obvodů se </w:t>
      </w:r>
      <w:proofErr w:type="spellStart"/>
      <w:r>
        <w:rPr>
          <w:szCs w:val="24"/>
        </w:rPr>
        <w:t>Vodňansko</w:t>
      </w:r>
      <w:proofErr w:type="spellEnd"/>
      <w:r>
        <w:rPr>
          <w:szCs w:val="24"/>
        </w:rPr>
        <w:t xml:space="preserve"> ocitá při hodnocení dostupnosti zdravotnických služeb nebo zastoupení ploch pro sport a rekreaci. Naopak mezi zdejšími obyvateli je nejvyšší procento těch, kteří bydlí v bytech se sníženou kvalitou bydlení. Obvod má navíc   druhou nejvyšší nezaměstnanost. Nejhůře však dopadlo </w:t>
      </w:r>
      <w:proofErr w:type="spellStart"/>
      <w:r>
        <w:rPr>
          <w:szCs w:val="24"/>
        </w:rPr>
        <w:t>Vodňansko</w:t>
      </w:r>
      <w:proofErr w:type="spellEnd"/>
      <w:r>
        <w:rPr>
          <w:szCs w:val="24"/>
        </w:rPr>
        <w:t xml:space="preserve"> při hodnocení environmentální oblasti. V obvodě je druhý nejnižší podíl půdy v ekologickém zemědělství a navíc 3. nejhorší ekologická stabilita. Jediným pozitivním faktorem ze skupiny životního prostředí je umístění obvodu na 7. místě v ukazateli významu ekologické dopravy do škol a zaměstnání.     </w:t>
      </w:r>
    </w:p>
    <w:p w:rsidR="00572348" w:rsidRPr="00994EB5" w:rsidRDefault="00572348">
      <w:pPr>
        <w:spacing w:before="0" w:after="200" w:line="276" w:lineRule="auto"/>
        <w:jc w:val="left"/>
        <w:rPr>
          <w:szCs w:val="20"/>
        </w:rPr>
      </w:pPr>
    </w:p>
    <w:p w:rsidR="00572348" w:rsidRPr="00BC6506" w:rsidRDefault="00BC6506" w:rsidP="00EB26CA">
      <w:pPr>
        <w:pStyle w:val="Nadpis2"/>
      </w:pPr>
      <w:bookmarkStart w:id="44" w:name="_Toc403372711"/>
      <w:r>
        <w:t>S</w:t>
      </w:r>
      <w:r w:rsidR="00572348" w:rsidRPr="00BC6506">
        <w:t>ouhrnné vyhodnocení výsledků</w:t>
      </w:r>
      <w:bookmarkEnd w:id="44"/>
    </w:p>
    <w:p w:rsidR="00572348" w:rsidRPr="00BE1315" w:rsidRDefault="00572348" w:rsidP="00113E61">
      <w:pPr>
        <w:pStyle w:val="Stylhodnoceni"/>
      </w:pPr>
      <w:bookmarkStart w:id="45" w:name="_Toc403372712"/>
      <w:r w:rsidRPr="00BE1315">
        <w:t>Demografická oblast</w:t>
      </w:r>
      <w:bookmarkEnd w:id="45"/>
    </w:p>
    <w:p w:rsidR="00280D84" w:rsidRDefault="00280D84" w:rsidP="00C70718">
      <w:pPr>
        <w:spacing w:before="0"/>
      </w:pPr>
    </w:p>
    <w:p w:rsidR="0017635C" w:rsidRDefault="008806EE" w:rsidP="00C70718">
      <w:pPr>
        <w:spacing w:before="0"/>
      </w:pPr>
      <w:r>
        <w:t>Vybrané ukazatele v d</w:t>
      </w:r>
      <w:r w:rsidR="0017635C">
        <w:t>emografick</w:t>
      </w:r>
      <w:r>
        <w:t>é</w:t>
      </w:r>
      <w:r w:rsidR="0017635C">
        <w:t xml:space="preserve"> oblast</w:t>
      </w:r>
      <w:r>
        <w:t>i charakterizují</w:t>
      </w:r>
      <w:r w:rsidR="0017635C">
        <w:t xml:space="preserve"> </w:t>
      </w:r>
      <w:r w:rsidR="00572348">
        <w:t>věkovou strukturu</w:t>
      </w:r>
      <w:r w:rsidR="0017635C">
        <w:t>,</w:t>
      </w:r>
      <w:r w:rsidR="00572348">
        <w:t xml:space="preserve"> přirozený </w:t>
      </w:r>
      <w:r w:rsidR="0017635C">
        <w:t>a</w:t>
      </w:r>
      <w:r w:rsidR="00572348">
        <w:t xml:space="preserve"> migrační pohyb obyvatelstva</w:t>
      </w:r>
      <w:r w:rsidR="0017635C">
        <w:t xml:space="preserve"> </w:t>
      </w:r>
      <w:r w:rsidR="000D4D4B">
        <w:t xml:space="preserve">a zastoupení </w:t>
      </w:r>
      <w:r w:rsidR="0017635C">
        <w:t xml:space="preserve">cizinců. Mimo těchto demografických ukazatelů byl přidán ještě ukazatel charakterizující </w:t>
      </w:r>
      <w:r w:rsidR="00B373F2">
        <w:t>o</w:t>
      </w:r>
      <w:r w:rsidR="0017635C">
        <w:t>síd</w:t>
      </w:r>
      <w:r w:rsidR="00B373F2">
        <w:t>le</w:t>
      </w:r>
      <w:r w:rsidR="0017635C">
        <w:t>ní správního obvodu.</w:t>
      </w:r>
    </w:p>
    <w:p w:rsidR="00993F34" w:rsidRDefault="00993F34" w:rsidP="00C70718">
      <w:pPr>
        <w:spacing w:before="0"/>
      </w:pPr>
    </w:p>
    <w:p w:rsidR="00993F34" w:rsidRDefault="000D4D4B" w:rsidP="00C70718">
      <w:pPr>
        <w:spacing w:before="0"/>
      </w:pPr>
      <w:r>
        <w:t>Z provedené analýzy vyplývá</w:t>
      </w:r>
      <w:r w:rsidR="00993F34">
        <w:t xml:space="preserve">, že v hodnocení demografické struktury většina SO ORP </w:t>
      </w:r>
      <w:r w:rsidR="00651473">
        <w:t>byla zařazena do skupiny s</w:t>
      </w:r>
      <w:r w:rsidR="00993F34">
        <w:t> horší</w:t>
      </w:r>
      <w:r w:rsidR="00651473">
        <w:t>mi výsledky</w:t>
      </w:r>
      <w:r w:rsidR="00993F34">
        <w:t>. S ohodnocením „</w:t>
      </w:r>
      <w:r w:rsidR="00A43237">
        <w:t>špatné“ a „nejhorší“ skončilo 10 z </w:t>
      </w:r>
      <w:r w:rsidR="00651473">
        <w:t xml:space="preserve">celkového počtu </w:t>
      </w:r>
      <w:r w:rsidR="00A43237">
        <w:t xml:space="preserve">17 </w:t>
      </w:r>
      <w:r w:rsidR="00F25B43">
        <w:t>správních obvodů</w:t>
      </w:r>
      <w:r w:rsidR="00A43237">
        <w:t xml:space="preserve">. </w:t>
      </w:r>
      <w:r w:rsidR="00651473">
        <w:t xml:space="preserve">Jako „dobré“ se umístily </w:t>
      </w:r>
      <w:r w:rsidR="00A43237">
        <w:t xml:space="preserve">4 obvody a pouze 3 </w:t>
      </w:r>
      <w:r w:rsidR="00651473">
        <w:t xml:space="preserve">získaly ohodnocení </w:t>
      </w:r>
      <w:r w:rsidR="00A43237">
        <w:t>„velmi dobré“ nebo „nejlepší“. Z územního pohledu se obvody s horším postavením</w:t>
      </w:r>
      <w:r w:rsidR="00F25B43">
        <w:t xml:space="preserve"> v demografické oblasti </w:t>
      </w:r>
      <w:r w:rsidR="00A43237">
        <w:t>nacházejí na severozápadní straně kraje, především pak v okresech Strakonic</w:t>
      </w:r>
      <w:r w:rsidR="00DE4CF4">
        <w:t>e</w:t>
      </w:r>
      <w:r w:rsidR="00A43237">
        <w:t xml:space="preserve"> a Písek</w:t>
      </w:r>
      <w:r w:rsidR="00651473">
        <w:t>. Horší je</w:t>
      </w:r>
      <w:r w:rsidR="00DE4CF4">
        <w:t xml:space="preserve"> také</w:t>
      </w:r>
      <w:r w:rsidR="00651473">
        <w:t xml:space="preserve"> hodnocení obvodů</w:t>
      </w:r>
      <w:r w:rsidR="00DE4CF4">
        <w:t xml:space="preserve"> na </w:t>
      </w:r>
      <w:r w:rsidR="009E28BD">
        <w:t>východě</w:t>
      </w:r>
      <w:r w:rsidR="00851A32">
        <w:t xml:space="preserve"> </w:t>
      </w:r>
      <w:r w:rsidR="00F24A1F">
        <w:t xml:space="preserve">konkrétně </w:t>
      </w:r>
      <w:proofErr w:type="spellStart"/>
      <w:r w:rsidR="00782C74">
        <w:t>Dačice</w:t>
      </w:r>
      <w:proofErr w:type="spellEnd"/>
      <w:r w:rsidR="00782C74">
        <w:t xml:space="preserve">, </w:t>
      </w:r>
      <w:r w:rsidR="00DE4CF4">
        <w:t xml:space="preserve">Jindřichův Hradec či Soběslav. Protipólem je pak jih kraje, </w:t>
      </w:r>
      <w:r w:rsidR="00A5609A">
        <w:t xml:space="preserve">konkrétně okres </w:t>
      </w:r>
      <w:r w:rsidR="00DE4CF4">
        <w:t>Český Krumlov</w:t>
      </w:r>
      <w:r w:rsidR="00A5609A">
        <w:t>. V jeho rámci</w:t>
      </w:r>
      <w:r w:rsidR="00DE4CF4">
        <w:t xml:space="preserve"> je </w:t>
      </w:r>
      <w:r w:rsidR="00F24A1F">
        <w:t>č</w:t>
      </w:r>
      <w:r w:rsidR="00DE4CF4">
        <w:t>esko</w:t>
      </w:r>
      <w:r w:rsidR="00F25B43">
        <w:t>kr</w:t>
      </w:r>
      <w:r w:rsidR="00DE4CF4">
        <w:t xml:space="preserve">umlovský </w:t>
      </w:r>
      <w:r w:rsidR="00A5609A">
        <w:t xml:space="preserve">správní </w:t>
      </w:r>
      <w:r w:rsidR="00DE4CF4">
        <w:t xml:space="preserve">obvod hodnocen jako „velmi dobrý“ a obvod Kaplice jako „výborný“. </w:t>
      </w:r>
      <w:r w:rsidR="00EA460F">
        <w:t>Pominout nemůžeme an</w:t>
      </w:r>
      <w:r w:rsidR="00DE4CF4">
        <w:t xml:space="preserve">i střed kraje, především </w:t>
      </w:r>
      <w:r w:rsidR="00A5609A">
        <w:t xml:space="preserve">správní </w:t>
      </w:r>
      <w:r w:rsidR="00DE4CF4">
        <w:t xml:space="preserve">obvod České Budějovice, který </w:t>
      </w:r>
      <w:r w:rsidR="000216CC">
        <w:t>v</w:t>
      </w:r>
      <w:r w:rsidR="00A5609A">
        <w:t xml:space="preserve"> souhrnném </w:t>
      </w:r>
      <w:r w:rsidR="000216CC">
        <w:t>hodnocení</w:t>
      </w:r>
      <w:r w:rsidR="00A5609A">
        <w:t xml:space="preserve"> demografických ind</w:t>
      </w:r>
      <w:r w:rsidR="009E28BD">
        <w:t>i</w:t>
      </w:r>
      <w:r w:rsidR="00A5609A">
        <w:t>kátorů</w:t>
      </w:r>
      <w:r w:rsidR="000216CC">
        <w:t xml:space="preserve"> dopadl nejlépe</w:t>
      </w:r>
      <w:r w:rsidR="00DE4CF4">
        <w:t xml:space="preserve">. </w:t>
      </w:r>
    </w:p>
    <w:p w:rsidR="00A42892" w:rsidRDefault="00A42892" w:rsidP="00C70718">
      <w:pPr>
        <w:spacing w:before="0"/>
      </w:pPr>
    </w:p>
    <w:p w:rsidR="0017635C" w:rsidRDefault="00A42892" w:rsidP="00C70718">
      <w:pPr>
        <w:spacing w:before="0"/>
      </w:pPr>
      <w:r>
        <w:rPr>
          <w:noProof/>
        </w:rPr>
        <w:drawing>
          <wp:inline distT="0" distB="0" distL="0" distR="0">
            <wp:extent cx="6115050" cy="4324350"/>
            <wp:effectExtent l="19050" t="0" r="0" b="0"/>
            <wp:docPr id="9" name="obrázek 9" descr="ORP31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RP31DEM"/>
                    <pic:cNvPicPr>
                      <a:picLocks noChangeAspect="1" noChangeArrowheads="1"/>
                    </pic:cNvPicPr>
                  </pic:nvPicPr>
                  <pic:blipFill>
                    <a:blip r:embed="rId8" cstate="print"/>
                    <a:srcRect/>
                    <a:stretch>
                      <a:fillRect/>
                    </a:stretch>
                  </pic:blipFill>
                  <pic:spPr bwMode="auto">
                    <a:xfrm>
                      <a:off x="0" y="0"/>
                      <a:ext cx="6115050" cy="4324350"/>
                    </a:xfrm>
                    <a:prstGeom prst="rect">
                      <a:avLst/>
                    </a:prstGeom>
                    <a:noFill/>
                    <a:ln w="9525">
                      <a:noFill/>
                      <a:miter lim="800000"/>
                      <a:headEnd/>
                      <a:tailEnd/>
                    </a:ln>
                  </pic:spPr>
                </pic:pic>
              </a:graphicData>
            </a:graphic>
          </wp:inline>
        </w:drawing>
      </w:r>
    </w:p>
    <w:p w:rsidR="00DA6053" w:rsidRDefault="0017635C" w:rsidP="00C70718">
      <w:pPr>
        <w:spacing w:before="0"/>
      </w:pPr>
      <w:r>
        <w:lastRenderedPageBreak/>
        <w:t>V</w:t>
      </w:r>
      <w:r w:rsidR="00F25B43">
        <w:t xml:space="preserve"> celkovém </w:t>
      </w:r>
      <w:r>
        <w:t>hodnocení se</w:t>
      </w:r>
      <w:r w:rsidR="00F25B43">
        <w:t xml:space="preserve"> tedy</w:t>
      </w:r>
      <w:r>
        <w:t xml:space="preserve"> </w:t>
      </w:r>
      <w:r w:rsidR="00572348">
        <w:t xml:space="preserve">na prvních příčkách umístily SO ORP České Budějovice, Kaplice a Český Krumlov. Mezi těmito správními obvody má </w:t>
      </w:r>
      <w:r w:rsidR="00947DB7">
        <w:t xml:space="preserve">Českobudějovicko </w:t>
      </w:r>
      <w:r w:rsidR="00572348">
        <w:t>výsadní postavení</w:t>
      </w:r>
      <w:r w:rsidR="00DA6053">
        <w:t xml:space="preserve"> hlavně díky</w:t>
      </w:r>
      <w:r w:rsidR="00DC4795">
        <w:t xml:space="preserve"> vysok</w:t>
      </w:r>
      <w:r w:rsidR="00DA6053">
        <w:t>é</w:t>
      </w:r>
      <w:r w:rsidR="00DC4795">
        <w:t xml:space="preserve"> hustot</w:t>
      </w:r>
      <w:r>
        <w:t>ě</w:t>
      </w:r>
      <w:r w:rsidR="00DC4795">
        <w:t xml:space="preserve"> osídlení</w:t>
      </w:r>
      <w:r w:rsidR="00947DB7">
        <w:t xml:space="preserve"> (</w:t>
      </w:r>
      <w:r w:rsidR="0059194E">
        <w:t xml:space="preserve">je dvakrát vyšší než u druhého nejzalidněnějšího </w:t>
      </w:r>
      <w:proofErr w:type="spellStart"/>
      <w:r w:rsidR="0059194E">
        <w:t>Táborska</w:t>
      </w:r>
      <w:proofErr w:type="spellEnd"/>
      <w:r w:rsidR="00947DB7">
        <w:t>)</w:t>
      </w:r>
      <w:r w:rsidR="0059194E">
        <w:t xml:space="preserve"> a nízké sídelní rozdrobenosti. Navíc má na rozdíl od </w:t>
      </w:r>
      <w:r w:rsidR="00A5609A">
        <w:t xml:space="preserve">správních obvodů </w:t>
      </w:r>
      <w:r w:rsidR="0059194E">
        <w:t xml:space="preserve">Kaplice a </w:t>
      </w:r>
      <w:r w:rsidR="00A5609A">
        <w:t xml:space="preserve">Český </w:t>
      </w:r>
      <w:r w:rsidR="0059194E">
        <w:t>Krumlov</w:t>
      </w:r>
      <w:r w:rsidR="00DC4795">
        <w:t xml:space="preserve"> kladn</w:t>
      </w:r>
      <w:r w:rsidR="0059194E">
        <w:t>ý</w:t>
      </w:r>
      <w:r w:rsidR="00DC4795">
        <w:t xml:space="preserve"> migrační přírůst</w:t>
      </w:r>
      <w:r w:rsidR="0059194E">
        <w:t>ek</w:t>
      </w:r>
      <w:r w:rsidR="00DC4795">
        <w:t xml:space="preserve"> obyvatelstva</w:t>
      </w:r>
      <w:r w:rsidR="0059194E">
        <w:t>.</w:t>
      </w:r>
      <w:r w:rsidR="00DC4795">
        <w:t xml:space="preserve"> </w:t>
      </w:r>
      <w:r w:rsidR="00152CF9">
        <w:t>Na druhou stranu Kaplice, která má migrační saldo nejhorší</w:t>
      </w:r>
      <w:r w:rsidR="00DA6053">
        <w:t xml:space="preserve"> ze všech obvodů</w:t>
      </w:r>
      <w:r w:rsidR="00152CF9">
        <w:t xml:space="preserve">, se na druhé místo v demografické skupině ukazatelů dostala hlavně díky </w:t>
      </w:r>
      <w:r w:rsidR="00FF47D9" w:rsidRPr="00FC6DD1">
        <w:t>dobré věkové struktuře</w:t>
      </w:r>
      <w:r w:rsidR="00947DB7">
        <w:t xml:space="preserve"> a také </w:t>
      </w:r>
      <w:r w:rsidR="00C07C03">
        <w:t>nejvyššímu</w:t>
      </w:r>
      <w:r w:rsidR="00FC6DD1">
        <w:t xml:space="preserve"> </w:t>
      </w:r>
      <w:r w:rsidR="00947DB7">
        <w:t>podílu cizinců</w:t>
      </w:r>
      <w:r w:rsidR="00152CF9">
        <w:t xml:space="preserve">. </w:t>
      </w:r>
      <w:r w:rsidR="00C07C03">
        <w:t xml:space="preserve">Ten je proti krajskému průměru téměř trojnásobný. </w:t>
      </w:r>
      <w:r w:rsidR="00FC6DD1">
        <w:t xml:space="preserve">Mimo ukazatele popisující věkovou strukturu obyvatelstva se </w:t>
      </w:r>
      <w:r w:rsidR="00DA6053">
        <w:t xml:space="preserve">Kaplice </w:t>
      </w:r>
      <w:r w:rsidR="00947DB7">
        <w:t>umístila</w:t>
      </w:r>
      <w:r w:rsidR="00DA6053">
        <w:t xml:space="preserve"> na nejlepší pozici </w:t>
      </w:r>
      <w:r w:rsidR="00FC6DD1">
        <w:t xml:space="preserve">také </w:t>
      </w:r>
      <w:r w:rsidR="00DA6053">
        <w:t>v</w:t>
      </w:r>
      <w:r w:rsidR="00FC6DD1">
        <w:t> porodnosti a úmrtnosti</w:t>
      </w:r>
      <w:r w:rsidR="00DA6053">
        <w:t>.</w:t>
      </w:r>
      <w:r w:rsidR="00947DB7">
        <w:t xml:space="preserve"> </w:t>
      </w:r>
      <w:r w:rsidR="004F109F">
        <w:t>Svými výsledky se tak dostala do skupin</w:t>
      </w:r>
      <w:r w:rsidR="00045B26">
        <w:t>y správních obvod</w:t>
      </w:r>
      <w:r w:rsidR="009E28BD">
        <w:t>ů</w:t>
      </w:r>
      <w:r w:rsidR="00045B26">
        <w:t xml:space="preserve"> klasifikovaných</w:t>
      </w:r>
      <w:r w:rsidR="004F109F">
        <w:t xml:space="preserve"> jako „nejlepší“.</w:t>
      </w:r>
      <w:r w:rsidR="00370D2F">
        <w:t xml:space="preserve"> Česk</w:t>
      </w:r>
      <w:r w:rsidR="009A39EC">
        <w:t>ok</w:t>
      </w:r>
      <w:r w:rsidR="00370D2F">
        <w:t>rumlov</w:t>
      </w:r>
      <w:r w:rsidR="009A39EC">
        <w:t>sko</w:t>
      </w:r>
      <w:r w:rsidR="00370D2F">
        <w:t xml:space="preserve"> patří jako jediný správní obvod do skupiny velmi dobrých. Jeho</w:t>
      </w:r>
      <w:r w:rsidR="00F739CB">
        <w:t xml:space="preserve"> </w:t>
      </w:r>
      <w:r w:rsidR="00045B26">
        <w:t xml:space="preserve">pozici </w:t>
      </w:r>
      <w:r w:rsidR="00F739CB">
        <w:t xml:space="preserve">určila především dobrá věková </w:t>
      </w:r>
      <w:r w:rsidR="00801E9E">
        <w:t xml:space="preserve">skladba </w:t>
      </w:r>
      <w:r w:rsidR="00F739CB">
        <w:t xml:space="preserve">obyvatelstva stejně jako nízká úmrtnost </w:t>
      </w:r>
      <w:r w:rsidR="00310A01">
        <w:t xml:space="preserve">či třetí </w:t>
      </w:r>
      <w:r w:rsidR="00045B26">
        <w:t>místo</w:t>
      </w:r>
      <w:r w:rsidR="00310A01">
        <w:t xml:space="preserve"> v podílu cizinců.</w:t>
      </w:r>
    </w:p>
    <w:p w:rsidR="0017635C" w:rsidRDefault="0017635C" w:rsidP="00C70718">
      <w:pPr>
        <w:spacing w:before="0"/>
      </w:pPr>
    </w:p>
    <w:p w:rsidR="00572348" w:rsidRDefault="00045B26" w:rsidP="00C70718">
      <w:pPr>
        <w:spacing w:before="0"/>
      </w:pPr>
      <w:r>
        <w:t>V poslední skupině, tedy v okresech s nejhorší demografickou či sídelní strukturou,</w:t>
      </w:r>
      <w:r w:rsidR="00DA6053">
        <w:t xml:space="preserve"> se oc</w:t>
      </w:r>
      <w:r>
        <w:t>itly SO ORP Milevsko, Soběslav,</w:t>
      </w:r>
      <w:r w:rsidR="00DA6053">
        <w:t xml:space="preserve"> Blatná</w:t>
      </w:r>
      <w:r>
        <w:t xml:space="preserve"> a </w:t>
      </w:r>
      <w:proofErr w:type="spellStart"/>
      <w:r>
        <w:t>Dačice</w:t>
      </w:r>
      <w:proofErr w:type="spellEnd"/>
      <w:r w:rsidR="00DA6053">
        <w:t xml:space="preserve">. </w:t>
      </w:r>
      <w:r w:rsidR="00801E9E">
        <w:t xml:space="preserve">Na </w:t>
      </w:r>
      <w:r w:rsidR="008603B8">
        <w:t>vý</w:t>
      </w:r>
      <w:r w:rsidR="00797466">
        <w:t>sledcích lze vidět, že všechny čtyři</w:t>
      </w:r>
      <w:r w:rsidR="008603B8">
        <w:t xml:space="preserve"> správní obvody</w:t>
      </w:r>
      <w:r w:rsidR="00152CF9">
        <w:t xml:space="preserve"> </w:t>
      </w:r>
      <w:r w:rsidR="008603B8">
        <w:t xml:space="preserve">mají vysokou sídelní rozdrobenost, tedy je zde vysoký podíl obyvatel žijících v malých obcích. Obyvatelstvo všech </w:t>
      </w:r>
      <w:r>
        <w:t>čtyř</w:t>
      </w:r>
      <w:r w:rsidR="008603B8">
        <w:t xml:space="preserve"> obvodů navíc patří mezi nejstarší v kraji, což se projev</w:t>
      </w:r>
      <w:r w:rsidR="000C3B8B">
        <w:t>uje</w:t>
      </w:r>
      <w:r w:rsidR="008603B8">
        <w:t xml:space="preserve"> i na vysoké úmrtnosti obyvatelstva</w:t>
      </w:r>
      <w:r w:rsidR="00797466">
        <w:t xml:space="preserve"> (například v Soběslavi je hrubá míra úmrtnosti 11</w:t>
      </w:r>
      <w:r w:rsidR="000C3B8B">
        <w:t>,</w:t>
      </w:r>
      <w:r w:rsidR="00797466">
        <w:t>9</w:t>
      </w:r>
      <w:r w:rsidR="007559E5">
        <w:t xml:space="preserve"> ‰</w:t>
      </w:r>
      <w:r w:rsidR="00B54EE7">
        <w:t xml:space="preserve">, téměř o polovinu více než v nejlepší </w:t>
      </w:r>
      <w:proofErr w:type="spellStart"/>
      <w:r w:rsidR="00B54EE7">
        <w:t>Kaplici</w:t>
      </w:r>
      <w:proofErr w:type="spellEnd"/>
      <w:r w:rsidR="00797466">
        <w:t>)</w:t>
      </w:r>
      <w:r w:rsidR="008603B8">
        <w:t>. Milevsko</w:t>
      </w:r>
      <w:r w:rsidR="00797466">
        <w:t xml:space="preserve">, </w:t>
      </w:r>
      <w:proofErr w:type="spellStart"/>
      <w:r w:rsidR="00797466">
        <w:t>Dačice</w:t>
      </w:r>
      <w:proofErr w:type="spellEnd"/>
      <w:r w:rsidR="00797466">
        <w:t xml:space="preserve"> i</w:t>
      </w:r>
      <w:r w:rsidR="008603B8">
        <w:t xml:space="preserve"> Soběslav navíc zaujímají poslední </w:t>
      </w:r>
      <w:r w:rsidR="00797466">
        <w:t>tři místa</w:t>
      </w:r>
      <w:r w:rsidR="008603B8">
        <w:t xml:space="preserve"> v podílu cizinců</w:t>
      </w:r>
      <w:r w:rsidR="00280D84">
        <w:t xml:space="preserve">. Situaci </w:t>
      </w:r>
      <w:proofErr w:type="spellStart"/>
      <w:r w:rsidR="00280D84">
        <w:t>Blat</w:t>
      </w:r>
      <w:r w:rsidR="009A39EC">
        <w:t>e</w:t>
      </w:r>
      <w:r w:rsidR="00280D84">
        <w:t>n</w:t>
      </w:r>
      <w:r w:rsidR="009A39EC">
        <w:t>ska</w:t>
      </w:r>
      <w:proofErr w:type="spellEnd"/>
      <w:r w:rsidR="00280D84">
        <w:t xml:space="preserve"> a </w:t>
      </w:r>
      <w:proofErr w:type="spellStart"/>
      <w:r w:rsidR="00280D84">
        <w:t>Soběslav</w:t>
      </w:r>
      <w:r w:rsidR="009A39EC">
        <w:t>ska</w:t>
      </w:r>
      <w:proofErr w:type="spellEnd"/>
      <w:r w:rsidR="00280D84">
        <w:t xml:space="preserve"> alespoň mírně vylepšuje jejich kladná migrační aktivita.</w:t>
      </w:r>
      <w:r w:rsidR="008603B8">
        <w:t xml:space="preserve"> </w:t>
      </w:r>
    </w:p>
    <w:p w:rsidR="00A42892" w:rsidRDefault="00A42892" w:rsidP="00113E61">
      <w:pPr>
        <w:pStyle w:val="Stylhodnoceni"/>
      </w:pPr>
      <w:bookmarkStart w:id="46" w:name="_Toc403372713"/>
    </w:p>
    <w:p w:rsidR="00526E68" w:rsidRPr="00BE1315" w:rsidRDefault="00526E68" w:rsidP="00113E61">
      <w:pPr>
        <w:pStyle w:val="Stylhodnoceni"/>
      </w:pPr>
      <w:r w:rsidRPr="00BE1315">
        <w:t>Ekonomická oblast</w:t>
      </w:r>
      <w:bookmarkEnd w:id="46"/>
    </w:p>
    <w:p w:rsidR="00B43481" w:rsidRDefault="00C7167A" w:rsidP="00526E68">
      <w:pPr>
        <w:pStyle w:val="URtext"/>
      </w:pPr>
      <w:r>
        <w:t>V e</w:t>
      </w:r>
      <w:r w:rsidR="003A6448">
        <w:t>konomick</w:t>
      </w:r>
      <w:r>
        <w:t>é</w:t>
      </w:r>
      <w:r w:rsidR="003A6448">
        <w:t xml:space="preserve"> oblast</w:t>
      </w:r>
      <w:r>
        <w:t>i</w:t>
      </w:r>
      <w:r w:rsidR="007559E5">
        <w:t xml:space="preserve"> je p</w:t>
      </w:r>
      <w:r w:rsidR="009D4C41">
        <w:t xml:space="preserve">ozornost </w:t>
      </w:r>
      <w:r>
        <w:t xml:space="preserve">věnována odvětvové struktuře hospodářství s důrazem na </w:t>
      </w:r>
      <w:r w:rsidR="007559E5">
        <w:t xml:space="preserve">služby, </w:t>
      </w:r>
      <w:r>
        <w:t xml:space="preserve">stavebnictví (včetně bytové výstavby) a cestovní ruch. Zařazeny byly rovněž indikátory podnikatelské aktivity </w:t>
      </w:r>
      <w:r w:rsidR="003A6448">
        <w:t>obyvatelstva</w:t>
      </w:r>
      <w:r w:rsidR="009D4C41">
        <w:t>,</w:t>
      </w:r>
      <w:r w:rsidR="00B43481">
        <w:t xml:space="preserve"> </w:t>
      </w:r>
      <w:r w:rsidR="000C3B8B">
        <w:t xml:space="preserve">investiční </w:t>
      </w:r>
      <w:r>
        <w:t xml:space="preserve">aktivity </w:t>
      </w:r>
      <w:r w:rsidR="000C3B8B">
        <w:t>obcí</w:t>
      </w:r>
      <w:r w:rsidR="009D4C41">
        <w:t xml:space="preserve"> a</w:t>
      </w:r>
      <w:r w:rsidR="007559E5">
        <w:t xml:space="preserve"> ukazatele</w:t>
      </w:r>
      <w:r w:rsidR="009D4C41">
        <w:t>, charakterizující schopnost ekonomiky zaměstnat ženy a starší věkové skupiny obyvatel.</w:t>
      </w:r>
    </w:p>
    <w:p w:rsidR="00F25B43" w:rsidRDefault="00B43481" w:rsidP="00526E68">
      <w:pPr>
        <w:pStyle w:val="URtext"/>
      </w:pPr>
      <w:r>
        <w:t>Výsledné hodnocení je v</w:t>
      </w:r>
      <w:r w:rsidR="00F25B43">
        <w:t xml:space="preserve"> ekonomické oblasti </w:t>
      </w:r>
      <w:r w:rsidR="00E72685">
        <w:t xml:space="preserve">poněkud </w:t>
      </w:r>
      <w:r w:rsidR="000C3B8B">
        <w:t>různorodější</w:t>
      </w:r>
      <w:r w:rsidR="00E72685">
        <w:t xml:space="preserve">. V prvních dvou skupinách </w:t>
      </w:r>
      <w:r w:rsidR="00B4388B">
        <w:t xml:space="preserve">s lepšími výsledky </w:t>
      </w:r>
      <w:r w:rsidR="00E72685">
        <w:t xml:space="preserve">skončilo celkem 6 obvodů. Většina z nich leží při jihozápadní hranici či ve středu kraje. Naopak do klasifikačních skupin „špatné“ a „nejhorší“ </w:t>
      </w:r>
      <w:r w:rsidR="00820C26">
        <w:t xml:space="preserve">spadá 7 obvodů. Ty se drží nejčastěji při severozápadní hranici kraje, především v okresech Strakonice a Písek.  </w:t>
      </w:r>
    </w:p>
    <w:p w:rsidR="00745663" w:rsidRDefault="00A42892" w:rsidP="00526E68">
      <w:pPr>
        <w:pStyle w:val="URtext"/>
      </w:pPr>
      <w:r>
        <w:rPr>
          <w:noProof/>
        </w:rPr>
        <w:drawing>
          <wp:inline distT="0" distB="0" distL="0" distR="0">
            <wp:extent cx="6119495" cy="4329189"/>
            <wp:effectExtent l="19050" t="0" r="0" b="0"/>
            <wp:docPr id="1" name="obrázek 2" descr="P:\Ors\00 - Publikace\Pracovní\zakladni tendence\prezentace 2014\ORP31EK_o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s\00 - Publikace\Pracovní\zakladni tendence\prezentace 2014\ORP31EK_opr.jpg"/>
                    <pic:cNvPicPr>
                      <a:picLocks noChangeAspect="1" noChangeArrowheads="1"/>
                    </pic:cNvPicPr>
                  </pic:nvPicPr>
                  <pic:blipFill>
                    <a:blip r:embed="rId9" cstate="print"/>
                    <a:srcRect/>
                    <a:stretch>
                      <a:fillRect/>
                    </a:stretch>
                  </pic:blipFill>
                  <pic:spPr bwMode="auto">
                    <a:xfrm>
                      <a:off x="0" y="0"/>
                      <a:ext cx="6119495" cy="4329189"/>
                    </a:xfrm>
                    <a:prstGeom prst="rect">
                      <a:avLst/>
                    </a:prstGeom>
                    <a:noFill/>
                    <a:ln w="9525">
                      <a:noFill/>
                      <a:miter lim="800000"/>
                      <a:headEnd/>
                      <a:tailEnd/>
                    </a:ln>
                  </pic:spPr>
                </pic:pic>
              </a:graphicData>
            </a:graphic>
          </wp:inline>
        </w:drawing>
      </w:r>
    </w:p>
    <w:p w:rsidR="00745663" w:rsidRDefault="00745663">
      <w:pPr>
        <w:spacing w:before="0" w:after="200" w:line="276" w:lineRule="auto"/>
        <w:jc w:val="left"/>
        <w:rPr>
          <w:szCs w:val="20"/>
        </w:rPr>
      </w:pPr>
      <w:r>
        <w:br w:type="page"/>
      </w:r>
    </w:p>
    <w:p w:rsidR="008968E8" w:rsidRDefault="005A1911" w:rsidP="00526E68">
      <w:pPr>
        <w:pStyle w:val="URtext"/>
      </w:pPr>
      <w:r>
        <w:lastRenderedPageBreak/>
        <w:t>Jako ekonomicky nejsilnější se projevil správní obvod České Budějovice. Na druhém</w:t>
      </w:r>
      <w:r w:rsidR="00B208E1">
        <w:t xml:space="preserve"> a třetím</w:t>
      </w:r>
      <w:r>
        <w:t xml:space="preserve"> místě</w:t>
      </w:r>
      <w:r w:rsidR="00B208E1">
        <w:t xml:space="preserve">, avšak stále spadající do skupiny nejlepších obvodů, </w:t>
      </w:r>
      <w:r>
        <w:t>se umístil</w:t>
      </w:r>
      <w:r w:rsidR="00B208E1">
        <w:t>y</w:t>
      </w:r>
      <w:r>
        <w:t xml:space="preserve"> SO ORP Če</w:t>
      </w:r>
      <w:r w:rsidR="00B208E1">
        <w:t xml:space="preserve">ský Krumlov a Třeboň. </w:t>
      </w:r>
      <w:r w:rsidR="009518BF">
        <w:t xml:space="preserve">České Budějovice obsadily první příčku celkem ve čtyřech ukazatelích – zaměstnanost, podnikání, ekonomická struktura a bytová výstavba. </w:t>
      </w:r>
      <w:r>
        <w:t xml:space="preserve">Všechny tři správní obvody se </w:t>
      </w:r>
      <w:r w:rsidR="009518BF">
        <w:t xml:space="preserve">pak </w:t>
      </w:r>
      <w:r>
        <w:t xml:space="preserve">nachází v lepší polovině obvodů v ukazatelích cestovního ruchu, bytové výstavby a </w:t>
      </w:r>
      <w:r w:rsidR="00843F74">
        <w:t xml:space="preserve">odvětvové </w:t>
      </w:r>
      <w:r>
        <w:t xml:space="preserve">ekonomické struktury. </w:t>
      </w:r>
      <w:r w:rsidR="009518BF">
        <w:t xml:space="preserve">Druhou pozici Českému Krumlovu zajišťuje především první místo v cestovním ruchu, </w:t>
      </w:r>
      <w:r w:rsidR="00B4388B">
        <w:t>kde</w:t>
      </w:r>
      <w:r w:rsidR="009518BF">
        <w:t xml:space="preserve"> vysoce přesahuje průměr kraje a počtem hostů je více než dvojnásobný od druhého nejnavštěvovanějšího </w:t>
      </w:r>
      <w:proofErr w:type="spellStart"/>
      <w:r w:rsidR="009518BF">
        <w:t>Vimperska</w:t>
      </w:r>
      <w:proofErr w:type="spellEnd"/>
      <w:r w:rsidR="009518BF">
        <w:t xml:space="preserve">. </w:t>
      </w:r>
      <w:r w:rsidR="00F477DD">
        <w:t>Cestovní ruch je významný i pro třetí správní obvod Třeboň. Prvenství však Třeboň drží v investiční aktivitě obcí</w:t>
      </w:r>
      <w:r w:rsidR="00993F34">
        <w:t xml:space="preserve"> a v bytové výstavbě se umístil</w:t>
      </w:r>
      <w:r w:rsidR="00B4388B">
        <w:t>a</w:t>
      </w:r>
      <w:r w:rsidR="00F477DD">
        <w:t xml:space="preserve"> hned za vedoucím SO ORP České Budějovice. </w:t>
      </w:r>
    </w:p>
    <w:p w:rsidR="00EE0671" w:rsidRDefault="00F477DD" w:rsidP="00526E68">
      <w:pPr>
        <w:pStyle w:val="URtext"/>
      </w:pPr>
      <w:r>
        <w:t xml:space="preserve">Ekonomicky nejslabšími obvody se ve srovnání projevily SO ORP </w:t>
      </w:r>
      <w:proofErr w:type="spellStart"/>
      <w:r>
        <w:t>Dačice</w:t>
      </w:r>
      <w:proofErr w:type="spellEnd"/>
      <w:r w:rsidR="00B223DA">
        <w:t xml:space="preserve"> a</w:t>
      </w:r>
      <w:r>
        <w:t xml:space="preserve"> Blatná. </w:t>
      </w:r>
      <w:r w:rsidR="000C6284">
        <w:t xml:space="preserve">Pro tyto </w:t>
      </w:r>
      <w:r w:rsidR="00B223DA">
        <w:t>dv</w:t>
      </w:r>
      <w:r w:rsidR="00B373F2">
        <w:t>a</w:t>
      </w:r>
      <w:r w:rsidR="000C6284">
        <w:t xml:space="preserve"> SO ORP je shodná především</w:t>
      </w:r>
      <w:r w:rsidR="001E1473">
        <w:t xml:space="preserve"> méně </w:t>
      </w:r>
      <w:r w:rsidR="00965D42">
        <w:t>příznivá</w:t>
      </w:r>
      <w:r w:rsidR="001E1473">
        <w:t xml:space="preserve"> </w:t>
      </w:r>
      <w:r w:rsidR="000C6284">
        <w:t>struktura</w:t>
      </w:r>
      <w:r w:rsidR="00843F74">
        <w:t xml:space="preserve"> ekonomiky</w:t>
      </w:r>
      <w:r w:rsidR="000C6284">
        <w:t xml:space="preserve">. Je zde relativně více obyvatel zaměstnaných v primárním či sekundárním sektoru. Dále je pro ně příznačný podprůměrný cestovní ruch a zejména na </w:t>
      </w:r>
      <w:proofErr w:type="spellStart"/>
      <w:r w:rsidR="000C6284">
        <w:t>Dačicku</w:t>
      </w:r>
      <w:proofErr w:type="spellEnd"/>
      <w:r w:rsidR="000C6284">
        <w:t xml:space="preserve"> nízká</w:t>
      </w:r>
      <w:r w:rsidR="00EE0671">
        <w:t xml:space="preserve"> zaměstnanost vybraných skupin a </w:t>
      </w:r>
      <w:r w:rsidR="007559E5">
        <w:t>menší</w:t>
      </w:r>
      <w:r w:rsidR="00EE0671">
        <w:t xml:space="preserve"> bytová výstavba. Pozici Blatné navíc sráží i nízký index lokalizace ve stavebnictví. </w:t>
      </w:r>
      <w:r w:rsidR="00B223DA">
        <w:t xml:space="preserve">Oba obvody však mají průměrnou investiční aktivitu obcí a ve správním obvodu </w:t>
      </w:r>
      <w:proofErr w:type="spellStart"/>
      <w:r w:rsidR="00B223DA">
        <w:t>Dačice</w:t>
      </w:r>
      <w:proofErr w:type="spellEnd"/>
      <w:r w:rsidR="00B223DA">
        <w:t xml:space="preserve"> je navíc příznivá i generační výměna pracovní síly</w:t>
      </w:r>
      <w:r w:rsidR="00187F23">
        <w:t>, ani to je ale nedokáže posunout z posledních míst tabulky.</w:t>
      </w:r>
    </w:p>
    <w:p w:rsidR="007F6674" w:rsidRDefault="007F6674" w:rsidP="007F6674">
      <w:pPr>
        <w:pStyle w:val="Stylhodnoceni"/>
      </w:pPr>
      <w:bookmarkStart w:id="47" w:name="_Toc403372714"/>
    </w:p>
    <w:p w:rsidR="002D53DB" w:rsidRPr="00BE1315" w:rsidRDefault="002D53DB" w:rsidP="00113E61">
      <w:pPr>
        <w:pStyle w:val="Stylhodnoceni"/>
      </w:pPr>
      <w:r w:rsidRPr="00BE1315">
        <w:t>Sociální oblast</w:t>
      </w:r>
      <w:bookmarkEnd w:id="47"/>
    </w:p>
    <w:p w:rsidR="002D53DB" w:rsidRDefault="002D53DB" w:rsidP="002D53DB">
      <w:pPr>
        <w:pStyle w:val="URTabulka"/>
        <w:numPr>
          <w:ilvl w:val="0"/>
          <w:numId w:val="0"/>
        </w:numPr>
        <w:rPr>
          <w:b w:val="0"/>
        </w:rPr>
      </w:pPr>
      <w:r>
        <w:rPr>
          <w:b w:val="0"/>
        </w:rPr>
        <w:t xml:space="preserve">Sociální oblast se zaměřuje na kvalitu života v daných územních </w:t>
      </w:r>
      <w:r w:rsidR="00D21B5E">
        <w:rPr>
          <w:b w:val="0"/>
        </w:rPr>
        <w:t>obvodech</w:t>
      </w:r>
      <w:r>
        <w:rPr>
          <w:b w:val="0"/>
        </w:rPr>
        <w:t>. Vybrané indikátory se dotýkají nezaměstnanosti, mezd, zdravotnictví, vzdělání obyvatelstva, občanské angažovanosti, kvality bydlení, možností k rekreaci a sportu, ale také sociálně patologických jevů.</w:t>
      </w:r>
      <w:r w:rsidR="00187F23" w:rsidRPr="00187F23">
        <w:rPr>
          <w:b w:val="0"/>
        </w:rPr>
        <w:t xml:space="preserve"> </w:t>
      </w:r>
      <w:r w:rsidR="00187F23" w:rsidRPr="000C5F74">
        <w:rPr>
          <w:b w:val="0"/>
        </w:rPr>
        <w:t>Skupina sociálních indikátorů je poměrně rozmanitá</w:t>
      </w:r>
      <w:r w:rsidR="00965D42">
        <w:rPr>
          <w:b w:val="0"/>
        </w:rPr>
        <w:t xml:space="preserve"> a</w:t>
      </w:r>
      <w:r w:rsidR="00187F23" w:rsidRPr="000C5F74">
        <w:rPr>
          <w:b w:val="0"/>
        </w:rPr>
        <w:t xml:space="preserve"> </w:t>
      </w:r>
      <w:r w:rsidR="00187F23">
        <w:rPr>
          <w:b w:val="0"/>
        </w:rPr>
        <w:t>hodnoty, které obdržely jednotlivé SO ORP, jsou blízko u sebe</w:t>
      </w:r>
      <w:r w:rsidR="00965D42">
        <w:rPr>
          <w:b w:val="0"/>
        </w:rPr>
        <w:t>. J</w:t>
      </w:r>
      <w:r w:rsidR="00187F23">
        <w:rPr>
          <w:b w:val="0"/>
        </w:rPr>
        <w:t>ejich rozpětí je nejnižší ze všech oblastí.</w:t>
      </w:r>
    </w:p>
    <w:p w:rsidR="006D07AB" w:rsidRPr="006D07AB" w:rsidRDefault="002B2D71" w:rsidP="006D07AB">
      <w:pPr>
        <w:pStyle w:val="URtext"/>
      </w:pPr>
      <w:r>
        <w:t xml:space="preserve">Malá variabilita se projevila i při přiřazení </w:t>
      </w:r>
      <w:r w:rsidR="001E1473">
        <w:t>ohodnocení</w:t>
      </w:r>
      <w:r>
        <w:t xml:space="preserve"> jednotlivým SO ORP. Nejvíce obvodů (6) se umístilo ve skupině „dobré“. Dalších 6 </w:t>
      </w:r>
      <w:r w:rsidR="00965D42">
        <w:t>obvodů patří do</w:t>
      </w:r>
      <w:r>
        <w:t xml:space="preserve"> skupin „velmi dobré“ a „nejlepší“ a posledních 5 </w:t>
      </w:r>
      <w:r w:rsidR="0041310F">
        <w:t xml:space="preserve">obvodů do </w:t>
      </w:r>
      <w:r>
        <w:t xml:space="preserve">skupin „špatné“ a „nejhorší“. </w:t>
      </w:r>
      <w:r w:rsidR="00631734">
        <w:t xml:space="preserve">Skupina nejhorších obvodů </w:t>
      </w:r>
      <w:r w:rsidR="0041310F">
        <w:t>se koncentruje do</w:t>
      </w:r>
      <w:r w:rsidR="00631734">
        <w:t> </w:t>
      </w:r>
      <w:r w:rsidR="0041310F">
        <w:t xml:space="preserve">okresu </w:t>
      </w:r>
      <w:r w:rsidR="00631734">
        <w:t xml:space="preserve">Český Krumlov. Naopak nejlepší obvody </w:t>
      </w:r>
      <w:r w:rsidR="002D06EB">
        <w:t xml:space="preserve">v </w:t>
      </w:r>
      <w:r w:rsidR="00631734">
        <w:t>sociální oblasti jsou ve středu kraj</w:t>
      </w:r>
      <w:r w:rsidR="000D4386">
        <w:t xml:space="preserve">e v  </w:t>
      </w:r>
      <w:r w:rsidR="00843F74">
        <w:t>č</w:t>
      </w:r>
      <w:r w:rsidR="000D4386">
        <w:t xml:space="preserve">eskobudějovickém </w:t>
      </w:r>
      <w:r w:rsidR="0041310F">
        <w:t xml:space="preserve">okrese </w:t>
      </w:r>
      <w:r w:rsidR="000D4386">
        <w:t>a t</w:t>
      </w:r>
      <w:r w:rsidR="00631734">
        <w:t>áborském</w:t>
      </w:r>
      <w:r w:rsidR="000D4386">
        <w:t xml:space="preserve"> SO ORP</w:t>
      </w:r>
      <w:r w:rsidR="00631734">
        <w:t xml:space="preserve">. </w:t>
      </w:r>
      <w:r>
        <w:t xml:space="preserve"> </w:t>
      </w:r>
    </w:p>
    <w:p w:rsidR="00A42892" w:rsidRDefault="00A42892" w:rsidP="002D53DB">
      <w:pPr>
        <w:pStyle w:val="URTabulka"/>
        <w:numPr>
          <w:ilvl w:val="0"/>
          <w:numId w:val="0"/>
        </w:numPr>
        <w:rPr>
          <w:b w:val="0"/>
        </w:rPr>
      </w:pPr>
      <w:r>
        <w:rPr>
          <w:noProof/>
        </w:rPr>
        <w:drawing>
          <wp:inline distT="0" distB="0" distL="0" distR="0">
            <wp:extent cx="6119495" cy="4329189"/>
            <wp:effectExtent l="19050" t="0" r="0" b="0"/>
            <wp:docPr id="6" name="obrázek 3" descr="P:\Ors\00 - Publikace\Pracovní\zakladni tendence\prezentace 2014\ORP31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s\00 - Publikace\Pracovní\zakladni tendence\prezentace 2014\ORP31SOC.jpg"/>
                    <pic:cNvPicPr>
                      <a:picLocks noChangeAspect="1" noChangeArrowheads="1"/>
                    </pic:cNvPicPr>
                  </pic:nvPicPr>
                  <pic:blipFill>
                    <a:blip r:embed="rId10" cstate="print"/>
                    <a:srcRect/>
                    <a:stretch>
                      <a:fillRect/>
                    </a:stretch>
                  </pic:blipFill>
                  <pic:spPr bwMode="auto">
                    <a:xfrm>
                      <a:off x="0" y="0"/>
                      <a:ext cx="6119495" cy="4329189"/>
                    </a:xfrm>
                    <a:prstGeom prst="rect">
                      <a:avLst/>
                    </a:prstGeom>
                    <a:noFill/>
                    <a:ln w="9525">
                      <a:noFill/>
                      <a:miter lim="800000"/>
                      <a:headEnd/>
                      <a:tailEnd/>
                    </a:ln>
                  </pic:spPr>
                </pic:pic>
              </a:graphicData>
            </a:graphic>
          </wp:inline>
        </w:drawing>
      </w:r>
    </w:p>
    <w:p w:rsidR="00EE0671" w:rsidRDefault="002D53DB" w:rsidP="002D53DB">
      <w:pPr>
        <w:pStyle w:val="URTabulka"/>
        <w:numPr>
          <w:ilvl w:val="0"/>
          <w:numId w:val="0"/>
        </w:numPr>
        <w:rPr>
          <w:b w:val="0"/>
        </w:rPr>
      </w:pPr>
      <w:r>
        <w:rPr>
          <w:b w:val="0"/>
        </w:rPr>
        <w:t xml:space="preserve">Nejlepší situaci z hlediska sociální oblasti bychom </w:t>
      </w:r>
      <w:r w:rsidR="0041310F">
        <w:rPr>
          <w:b w:val="0"/>
        </w:rPr>
        <w:t xml:space="preserve">nalezli </w:t>
      </w:r>
      <w:r>
        <w:rPr>
          <w:b w:val="0"/>
        </w:rPr>
        <w:t>v SO ORP České Budějovice</w:t>
      </w:r>
      <w:r w:rsidR="00187F23">
        <w:rPr>
          <w:b w:val="0"/>
        </w:rPr>
        <w:t>,</w:t>
      </w:r>
      <w:r>
        <w:rPr>
          <w:b w:val="0"/>
        </w:rPr>
        <w:t xml:space="preserve"> </w:t>
      </w:r>
      <w:r w:rsidR="00187F23">
        <w:rPr>
          <w:b w:val="0"/>
        </w:rPr>
        <w:t xml:space="preserve">Týn nad Vltavou </w:t>
      </w:r>
      <w:r w:rsidR="0041310F">
        <w:rPr>
          <w:b w:val="0"/>
        </w:rPr>
        <w:t xml:space="preserve">a </w:t>
      </w:r>
      <w:r>
        <w:rPr>
          <w:b w:val="0"/>
        </w:rPr>
        <w:t>Tábor</w:t>
      </w:r>
      <w:r w:rsidRPr="000C5F74">
        <w:rPr>
          <w:b w:val="0"/>
        </w:rPr>
        <w:t xml:space="preserve">. </w:t>
      </w:r>
      <w:r w:rsidR="00187F23">
        <w:rPr>
          <w:b w:val="0"/>
        </w:rPr>
        <w:t>O</w:t>
      </w:r>
      <w:r w:rsidR="000C5F74" w:rsidRPr="000C5F74">
        <w:rPr>
          <w:b w:val="0"/>
        </w:rPr>
        <w:t>b</w:t>
      </w:r>
      <w:r w:rsidR="009D4C41">
        <w:rPr>
          <w:b w:val="0"/>
        </w:rPr>
        <w:t>vody</w:t>
      </w:r>
      <w:r w:rsidRPr="000C5F74">
        <w:rPr>
          <w:b w:val="0"/>
        </w:rPr>
        <w:t xml:space="preserve"> mají </w:t>
      </w:r>
      <w:r w:rsidR="000C5F74" w:rsidRPr="000C5F74">
        <w:rPr>
          <w:b w:val="0"/>
        </w:rPr>
        <w:t xml:space="preserve">nadprůměrnou kvalitu bydlení, vyšší průměrnou délku </w:t>
      </w:r>
      <w:r w:rsidR="009D4C41">
        <w:rPr>
          <w:b w:val="0"/>
        </w:rPr>
        <w:t>vzdělávání</w:t>
      </w:r>
      <w:r w:rsidR="000C5F74" w:rsidRPr="000C5F74">
        <w:rPr>
          <w:b w:val="0"/>
        </w:rPr>
        <w:t xml:space="preserve">, vyšší </w:t>
      </w:r>
      <w:r w:rsidR="009D4C41">
        <w:rPr>
          <w:b w:val="0"/>
        </w:rPr>
        <w:t xml:space="preserve">odhad </w:t>
      </w:r>
      <w:r w:rsidR="000C5F74" w:rsidRPr="000C5F74">
        <w:rPr>
          <w:b w:val="0"/>
        </w:rPr>
        <w:lastRenderedPageBreak/>
        <w:t>průměrn</w:t>
      </w:r>
      <w:r w:rsidR="009D4C41">
        <w:rPr>
          <w:b w:val="0"/>
        </w:rPr>
        <w:t>é</w:t>
      </w:r>
      <w:r w:rsidR="000C5F74" w:rsidRPr="000C5F74">
        <w:rPr>
          <w:b w:val="0"/>
        </w:rPr>
        <w:t xml:space="preserve"> měsíční mzd</w:t>
      </w:r>
      <w:r w:rsidR="009D4C41">
        <w:rPr>
          <w:b w:val="0"/>
        </w:rPr>
        <w:t>y</w:t>
      </w:r>
      <w:r w:rsidR="000C5F74" w:rsidRPr="000C5F74">
        <w:rPr>
          <w:b w:val="0"/>
        </w:rPr>
        <w:t xml:space="preserve"> a také lepší podmínky k rekreaci a sportu než většina ostatních SO ORP. </w:t>
      </w:r>
      <w:r w:rsidR="0041310F">
        <w:rPr>
          <w:b w:val="0"/>
        </w:rPr>
        <w:t>Nejlépe hodnocený</w:t>
      </w:r>
      <w:r w:rsidR="006D07AB">
        <w:rPr>
          <w:b w:val="0"/>
        </w:rPr>
        <w:t xml:space="preserve"> správní obvod České Budějovice dosáhl prvenství v oblasti </w:t>
      </w:r>
      <w:r w:rsidR="009D4C41">
        <w:rPr>
          <w:b w:val="0"/>
        </w:rPr>
        <w:t>vzdělanosti</w:t>
      </w:r>
      <w:r w:rsidR="006D07AB">
        <w:rPr>
          <w:b w:val="0"/>
        </w:rPr>
        <w:t xml:space="preserve"> a kvality bydlení, poslední je však z hlediska občanské angažovanosti a to hlavně díky podprůměrné volební účasti. Dobré výsledky </w:t>
      </w:r>
      <w:r w:rsidR="00515487">
        <w:rPr>
          <w:b w:val="0"/>
        </w:rPr>
        <w:t xml:space="preserve">nezaznamenal </w:t>
      </w:r>
      <w:r w:rsidR="006D07AB">
        <w:rPr>
          <w:b w:val="0"/>
        </w:rPr>
        <w:t xml:space="preserve">ani v oblasti sociálně patologických jevů. Druhý Týn nad Vltavou </w:t>
      </w:r>
      <w:r w:rsidR="00515487">
        <w:rPr>
          <w:b w:val="0"/>
        </w:rPr>
        <w:t xml:space="preserve">dosáhl </w:t>
      </w:r>
      <w:r w:rsidR="006D07AB">
        <w:rPr>
          <w:b w:val="0"/>
        </w:rPr>
        <w:t>prvenství v</w:t>
      </w:r>
      <w:r w:rsidR="00115EC1">
        <w:rPr>
          <w:b w:val="0"/>
        </w:rPr>
        <w:t xml:space="preserve"> odhadu </w:t>
      </w:r>
      <w:r w:rsidR="006D07AB">
        <w:rPr>
          <w:b w:val="0"/>
        </w:rPr>
        <w:t>průměrné mzd</w:t>
      </w:r>
      <w:r w:rsidR="00115EC1">
        <w:rPr>
          <w:b w:val="0"/>
        </w:rPr>
        <w:t>y</w:t>
      </w:r>
      <w:r w:rsidR="006D07AB">
        <w:rPr>
          <w:b w:val="0"/>
        </w:rPr>
        <w:t xml:space="preserve">. Dá se </w:t>
      </w:r>
      <w:r w:rsidR="00515487">
        <w:rPr>
          <w:b w:val="0"/>
        </w:rPr>
        <w:t xml:space="preserve">oprávněně </w:t>
      </w:r>
      <w:r w:rsidR="006D07AB">
        <w:rPr>
          <w:b w:val="0"/>
        </w:rPr>
        <w:t xml:space="preserve">předpokládat, že </w:t>
      </w:r>
      <w:r w:rsidR="00095D5B">
        <w:rPr>
          <w:b w:val="0"/>
        </w:rPr>
        <w:t xml:space="preserve">příčinou </w:t>
      </w:r>
      <w:proofErr w:type="gramStart"/>
      <w:r w:rsidR="00095D5B">
        <w:rPr>
          <w:b w:val="0"/>
        </w:rPr>
        <w:t>je</w:t>
      </w:r>
      <w:proofErr w:type="gramEnd"/>
      <w:r w:rsidR="006D07AB">
        <w:rPr>
          <w:b w:val="0"/>
        </w:rPr>
        <w:t xml:space="preserve"> především přítomnost JE Temelín a vysoký podíl </w:t>
      </w:r>
      <w:r w:rsidR="00095D5B">
        <w:rPr>
          <w:b w:val="0"/>
        </w:rPr>
        <w:t>obyvatel</w:t>
      </w:r>
      <w:r w:rsidR="006D07AB">
        <w:rPr>
          <w:b w:val="0"/>
        </w:rPr>
        <w:t xml:space="preserve"> zaměstnaných v energetice.</w:t>
      </w:r>
    </w:p>
    <w:p w:rsidR="00095D5B" w:rsidRDefault="00095D5B" w:rsidP="00095D5B">
      <w:pPr>
        <w:pStyle w:val="URtext"/>
      </w:pPr>
      <w:r>
        <w:t xml:space="preserve">Ve skupině nejhorších obvodů z hlediska sociální oblasti se umístily oba obvody z okresu Český Krumlov. </w:t>
      </w:r>
      <w:r w:rsidR="00C81450">
        <w:t>Pro tento okres je příznačný vysoký podíl nezaměstnaných osob (v obvodu Český Krumlov dokonce o 3 procentní body vyšší než krajský průměr)</w:t>
      </w:r>
      <w:r w:rsidR="001D7E70">
        <w:t xml:space="preserve"> a </w:t>
      </w:r>
      <w:r w:rsidR="00515487">
        <w:t xml:space="preserve">významný vliv </w:t>
      </w:r>
      <w:r w:rsidR="001D7E70">
        <w:t xml:space="preserve">sociálně </w:t>
      </w:r>
      <w:r w:rsidR="00515487">
        <w:t xml:space="preserve">patologických jevů </w:t>
      </w:r>
      <w:r w:rsidR="001D7E70">
        <w:t>(</w:t>
      </w:r>
      <w:r w:rsidR="00B408DA">
        <w:t>výrazně nadprůměrná míra rozvodovosti, potratový index i podíl neúplných rodin se závislými dětmi</w:t>
      </w:r>
      <w:r w:rsidR="001D7E70">
        <w:t>)</w:t>
      </w:r>
      <w:r w:rsidR="00C81450">
        <w:t xml:space="preserve">. </w:t>
      </w:r>
      <w:r w:rsidR="001D7E70">
        <w:t xml:space="preserve">Celkově nejnižšího bodového ohodnocení dosáhl </w:t>
      </w:r>
      <w:r>
        <w:t>SO ORP Český Krumlov, který je na poslední příčce hned ve třech indikátorech. Obyvatelé tohoto okresu</w:t>
      </w:r>
      <w:r w:rsidR="001D7E70">
        <w:t xml:space="preserve"> </w:t>
      </w:r>
      <w:r>
        <w:t>čelí nejvyšší míře nezaměstnanosti, mají nejnižší</w:t>
      </w:r>
      <w:r w:rsidR="00115EC1">
        <w:t xml:space="preserve"> odhad </w:t>
      </w:r>
      <w:r>
        <w:t>průměrn</w:t>
      </w:r>
      <w:r w:rsidR="00115EC1">
        <w:t>é měsíční mzdy</w:t>
      </w:r>
      <w:r>
        <w:t xml:space="preserve"> a navíc nejhorší </w:t>
      </w:r>
      <w:r w:rsidR="00115EC1">
        <w:t>výsledky</w:t>
      </w:r>
      <w:r>
        <w:t xml:space="preserve"> z hlediska sociálně patologických jevů</w:t>
      </w:r>
      <w:r w:rsidR="00B408DA" w:rsidRPr="00B408DA">
        <w:t xml:space="preserve"> </w:t>
      </w:r>
      <w:r w:rsidR="00B408DA">
        <w:t xml:space="preserve">(má například nejvyšší potratový index - o více než 12 potratů na 100 živě narozených </w:t>
      </w:r>
      <w:r w:rsidR="00515487">
        <w:t>převyšuje</w:t>
      </w:r>
      <w:r w:rsidR="00B408DA">
        <w:t xml:space="preserve"> krajský průměr)</w:t>
      </w:r>
      <w:r w:rsidR="00014E02">
        <w:t>.</w:t>
      </w:r>
      <w:r w:rsidR="00C81450">
        <w:t xml:space="preserve"> Druhé nejhorší místo</w:t>
      </w:r>
      <w:r w:rsidR="00115EC1">
        <w:t xml:space="preserve"> pro obvod </w:t>
      </w:r>
      <w:r w:rsidR="00C81450">
        <w:t xml:space="preserve">Kaplice je určeno především posledním místem v průměrné délce školní docházky či obdobnou situací v sociálně patologických jevech jako v českokrumlovském obvodě. </w:t>
      </w:r>
    </w:p>
    <w:p w:rsidR="007F6674" w:rsidRDefault="007F6674" w:rsidP="007F6674">
      <w:pPr>
        <w:pStyle w:val="Stylhodnoceni"/>
      </w:pPr>
      <w:bookmarkStart w:id="48" w:name="_Toc403372715"/>
    </w:p>
    <w:p w:rsidR="00095D5B" w:rsidRPr="00BE1315" w:rsidRDefault="000D4386" w:rsidP="00113E61">
      <w:pPr>
        <w:pStyle w:val="Stylhodnoceni"/>
      </w:pPr>
      <w:r w:rsidRPr="00BE1315">
        <w:t>Environmentální oblast</w:t>
      </w:r>
      <w:bookmarkEnd w:id="48"/>
      <w:r w:rsidRPr="00BE1315">
        <w:t xml:space="preserve"> </w:t>
      </w:r>
    </w:p>
    <w:p w:rsidR="00915BE4" w:rsidRDefault="008137AC" w:rsidP="000D4386">
      <w:pPr>
        <w:pStyle w:val="URtext"/>
      </w:pPr>
      <w:r>
        <w:t>Výběr indikátorů v oblasti</w:t>
      </w:r>
      <w:r w:rsidR="00915BE4">
        <w:t xml:space="preserve"> životního</w:t>
      </w:r>
      <w:r>
        <w:t xml:space="preserve"> prostředí</w:t>
      </w:r>
      <w:r w:rsidR="00915BE4">
        <w:t xml:space="preserve"> se </w:t>
      </w:r>
      <w:r>
        <w:t>zaměřil na</w:t>
      </w:r>
      <w:r w:rsidR="00915BE4">
        <w:t xml:space="preserve"> ekologickou stabilitu</w:t>
      </w:r>
      <w:r>
        <w:t xml:space="preserve"> území a </w:t>
      </w:r>
      <w:r w:rsidR="00915BE4">
        <w:t>ekologické zemědělství</w:t>
      </w:r>
      <w:r w:rsidR="00F24A1F">
        <w:t>.</w:t>
      </w:r>
      <w:r>
        <w:t xml:space="preserve"> Pozornost byla dále věnována </w:t>
      </w:r>
      <w:r w:rsidR="00915BE4">
        <w:t>produkci</w:t>
      </w:r>
      <w:r>
        <w:t xml:space="preserve"> komunálních </w:t>
      </w:r>
      <w:r w:rsidR="00915BE4">
        <w:t xml:space="preserve">odpadů, </w:t>
      </w:r>
      <w:r>
        <w:t xml:space="preserve">čistotě ovzduší a </w:t>
      </w:r>
      <w:r w:rsidR="00851A32">
        <w:t>rovněž relativnímu</w:t>
      </w:r>
      <w:r w:rsidR="00B408DA">
        <w:t xml:space="preserve"> </w:t>
      </w:r>
      <w:r w:rsidR="00115EC1">
        <w:t>významu ekologické</w:t>
      </w:r>
      <w:r w:rsidR="00915BE4">
        <w:t xml:space="preserve"> dopravy.</w:t>
      </w:r>
    </w:p>
    <w:p w:rsidR="00A70C31" w:rsidRDefault="004A3FE0" w:rsidP="000D4386">
      <w:pPr>
        <w:pStyle w:val="URtext"/>
      </w:pPr>
      <w:r>
        <w:t>V</w:t>
      </w:r>
      <w:r w:rsidR="00915BE4">
        <w:t xml:space="preserve"> oblasti životního prostředí </w:t>
      </w:r>
      <w:r w:rsidR="009435C5">
        <w:t xml:space="preserve">jsou mezi jednotlivými SO ORP větší rozdíly. Nejvíce ORP spadá do skupin „nejlepší“ a „špatné“ – obě skupiny mají po pěti obvodech. Skupiny „nejhorší“ a „velmi dobré“ </w:t>
      </w:r>
      <w:r w:rsidR="00AA093C">
        <w:t>zahrnují</w:t>
      </w:r>
      <w:r w:rsidR="009435C5">
        <w:t xml:space="preserve"> každá 2 obvody a zbylé tři obvody jsou ve skupině „dobré“. Podle </w:t>
      </w:r>
      <w:r w:rsidR="00AA093C">
        <w:t xml:space="preserve">územního </w:t>
      </w:r>
      <w:r w:rsidR="009435C5">
        <w:t>rozložení je vidět, že nejlepší životní prostředí lze nalézt při jihozápadní hranici kraje</w:t>
      </w:r>
      <w:r w:rsidR="00282BC1">
        <w:t>,</w:t>
      </w:r>
      <w:r w:rsidR="00426E17">
        <w:t xml:space="preserve"> ale i na Třeboňsku</w:t>
      </w:r>
      <w:r w:rsidR="009435C5">
        <w:t>.</w:t>
      </w:r>
      <w:r w:rsidR="00BE0258">
        <w:t xml:space="preserve"> Pro tyto oblasti Jihočeského kraje jsou typická především četná území se zvýšenou ochranou přírody.</w:t>
      </w:r>
      <w:r w:rsidR="00426E17">
        <w:t xml:space="preserve"> Obvody s velmi dobrým</w:t>
      </w:r>
      <w:r w:rsidR="00AA093C">
        <w:t xml:space="preserve"> hodnocením</w:t>
      </w:r>
      <w:r w:rsidR="00426E17">
        <w:t xml:space="preserve"> životní</w:t>
      </w:r>
      <w:r w:rsidR="00AA093C">
        <w:t>ho</w:t>
      </w:r>
      <w:r w:rsidR="00426E17">
        <w:t xml:space="preserve"> prostředí jsou také u východních hranic kraje v okresu Jindřichohradeckém.</w:t>
      </w:r>
      <w:r w:rsidR="009435C5">
        <w:t xml:space="preserve"> Naopak nejhorší životní prostředí je ve středu kraje a při jeho severní hranici, kde je méně chráněných území a v případě Česk</w:t>
      </w:r>
      <w:r w:rsidR="009A39EC">
        <w:t>ob</w:t>
      </w:r>
      <w:r w:rsidR="009435C5">
        <w:t>udějovic</w:t>
      </w:r>
      <w:r w:rsidR="009A39EC">
        <w:t>ka</w:t>
      </w:r>
      <w:r w:rsidR="009435C5">
        <w:t xml:space="preserve"> nebo </w:t>
      </w:r>
      <w:proofErr w:type="spellStart"/>
      <w:r w:rsidR="009435C5">
        <w:t>Táborska</w:t>
      </w:r>
      <w:proofErr w:type="spellEnd"/>
      <w:r w:rsidR="009435C5">
        <w:t xml:space="preserve"> i větší koncentrace </w:t>
      </w:r>
      <w:r w:rsidR="00115EC1">
        <w:t>obyvatel</w:t>
      </w:r>
      <w:r w:rsidR="00AA093C">
        <w:t>.</w:t>
      </w:r>
      <w:r w:rsidR="009435C5">
        <w:t xml:space="preserve"> </w:t>
      </w:r>
    </w:p>
    <w:p w:rsidR="00A42892" w:rsidRDefault="00A42892" w:rsidP="000D4386">
      <w:pPr>
        <w:pStyle w:val="URtext"/>
      </w:pPr>
      <w:r>
        <w:rPr>
          <w:noProof/>
        </w:rPr>
        <w:drawing>
          <wp:inline distT="0" distB="0" distL="0" distR="0">
            <wp:extent cx="6119495" cy="4329189"/>
            <wp:effectExtent l="19050" t="0" r="0" b="0"/>
            <wp:docPr id="7" name="obrázek 4" descr="P:\Ors\00 - Publikace\Pracovní\zakladni tendence\prezentace 2014\ORP31Z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s\00 - Publikace\Pracovní\zakladni tendence\prezentace 2014\ORP31ZP.jpg"/>
                    <pic:cNvPicPr>
                      <a:picLocks noChangeAspect="1" noChangeArrowheads="1"/>
                    </pic:cNvPicPr>
                  </pic:nvPicPr>
                  <pic:blipFill>
                    <a:blip r:embed="rId11" cstate="print"/>
                    <a:srcRect/>
                    <a:stretch>
                      <a:fillRect/>
                    </a:stretch>
                  </pic:blipFill>
                  <pic:spPr bwMode="auto">
                    <a:xfrm>
                      <a:off x="0" y="0"/>
                      <a:ext cx="6119495" cy="4329189"/>
                    </a:xfrm>
                    <a:prstGeom prst="rect">
                      <a:avLst/>
                    </a:prstGeom>
                    <a:noFill/>
                    <a:ln w="9525">
                      <a:noFill/>
                      <a:miter lim="800000"/>
                      <a:headEnd/>
                      <a:tailEnd/>
                    </a:ln>
                  </pic:spPr>
                </pic:pic>
              </a:graphicData>
            </a:graphic>
          </wp:inline>
        </w:drawing>
      </w:r>
    </w:p>
    <w:p w:rsidR="000D4386" w:rsidRDefault="003B084E" w:rsidP="000D4386">
      <w:pPr>
        <w:pStyle w:val="URtext"/>
      </w:pPr>
      <w:r>
        <w:lastRenderedPageBreak/>
        <w:t>Jak bylo řečeno, mezi nejlepší obvody patří obvody okresů Prachatice a Český Krumlov. Do této skupiny se však řadí i obvod Třeboň, hlavně díky dobré ekologické stabilitě</w:t>
      </w:r>
      <w:r w:rsidR="009C73CF">
        <w:t>, kdy podíl území zvýšené ochrany je jednoznačně nejvyšší (až 90 %)</w:t>
      </w:r>
      <w:r>
        <w:t xml:space="preserve">. Pro všechny obvody </w:t>
      </w:r>
      <w:r w:rsidR="00AA093C">
        <w:t xml:space="preserve">je příznačná </w:t>
      </w:r>
      <w:r w:rsidR="00DF23FF">
        <w:t xml:space="preserve">velmi dobrá ekologická stabilita a vysoký podíl půdy v ekologickém zemědělství. </w:t>
      </w:r>
      <w:r w:rsidR="009C73CF">
        <w:t xml:space="preserve">V horší polovině se obvody nacházejí pouze u indikátoru relativního významu </w:t>
      </w:r>
      <w:r w:rsidR="00456AB9">
        <w:t>ekologické</w:t>
      </w:r>
      <w:r w:rsidR="009C73CF">
        <w:t xml:space="preserve"> dopravy. </w:t>
      </w:r>
    </w:p>
    <w:p w:rsidR="007A4D24" w:rsidRDefault="007A4D24" w:rsidP="000D4386">
      <w:pPr>
        <w:pStyle w:val="URtext"/>
      </w:pPr>
      <w:r>
        <w:t xml:space="preserve">Pozici </w:t>
      </w:r>
      <w:proofErr w:type="spellStart"/>
      <w:r>
        <w:t>Vltavo</w:t>
      </w:r>
      <w:r w:rsidR="009A39EC">
        <w:t>týnska</w:t>
      </w:r>
      <w:proofErr w:type="spellEnd"/>
      <w:r>
        <w:t xml:space="preserve"> na samém konci pomyslného žebříčku určují především poslední místa v indikátorech kvantifikujících ekologickou stabilitu a množství komunálního odpadu</w:t>
      </w:r>
      <w:r w:rsidR="00AA093C">
        <w:t xml:space="preserve"> na obyvatele</w:t>
      </w:r>
      <w:r>
        <w:t xml:space="preserve">. </w:t>
      </w:r>
      <w:r w:rsidR="009645E9">
        <w:t>Například podíl území se zvýšenou ochranou tvoří na ploše tohoto správního obvodu pouhá 2 %, což je hodnota vysoce podprůměrná. České Budějovice, které taktéž spadají do skupiny nejhorších obvodů, jsou na posledním místě pouze jednou a to v </w:t>
      </w:r>
      <w:r w:rsidR="00AA093C">
        <w:t>kvalitě ovzduší</w:t>
      </w:r>
      <w:r w:rsidR="009645E9">
        <w:t xml:space="preserve">. Horší postavení však mají i v ekologické stabilitě či v podílu půdy v ekologickém zemědělství. Jejich </w:t>
      </w:r>
      <w:r w:rsidR="006B37E2">
        <w:t xml:space="preserve">bodové hodnocení mírně vylepšuje relativní význam </w:t>
      </w:r>
      <w:r w:rsidR="00456AB9">
        <w:t>ekologické</w:t>
      </w:r>
      <w:r w:rsidR="006B37E2">
        <w:t xml:space="preserve"> dopravy, ve kterém SO ORP České Budějovice stojí na prvním místě. </w:t>
      </w:r>
    </w:p>
    <w:p w:rsidR="007F6674" w:rsidRDefault="007F6674" w:rsidP="007F6674">
      <w:pPr>
        <w:pStyle w:val="Stylhodnoceni"/>
      </w:pPr>
      <w:bookmarkStart w:id="49" w:name="_Toc403372716"/>
    </w:p>
    <w:p w:rsidR="00B57E19" w:rsidRPr="00BE1315" w:rsidRDefault="00375272" w:rsidP="00113E61">
      <w:pPr>
        <w:pStyle w:val="Stylhodnoceni"/>
      </w:pPr>
      <w:r w:rsidRPr="00BE1315">
        <w:t>Celkové hodnocení</w:t>
      </w:r>
      <w:bookmarkEnd w:id="49"/>
    </w:p>
    <w:p w:rsidR="00375272" w:rsidRDefault="00426E17" w:rsidP="000D4386">
      <w:pPr>
        <w:pStyle w:val="URtext"/>
      </w:pPr>
      <w:r>
        <w:t xml:space="preserve">Celkové hodnocení se zakládá na aritmetickém průměru </w:t>
      </w:r>
      <w:r w:rsidR="0011627D">
        <w:t xml:space="preserve">normovaných </w:t>
      </w:r>
      <w:r>
        <w:t>hodnot jednotlivých SO ORP, kter</w:t>
      </w:r>
      <w:r w:rsidR="00A72288">
        <w:t>ých</w:t>
      </w:r>
      <w:r>
        <w:t xml:space="preserve"> dosáhly ve čtyřech zmíněných oblastech. Každá oblast má tak stejnou váhu</w:t>
      </w:r>
      <w:r w:rsidR="00E027D6">
        <w:t>,</w:t>
      </w:r>
      <w:r>
        <w:t xml:space="preserve"> přičemž jsou respektovány variability hodnot v rámci jednotlivých skupin. </w:t>
      </w:r>
      <w:r w:rsidR="00E027D6">
        <w:t xml:space="preserve">Tato variabilita je v každém hodnoceném úseku </w:t>
      </w:r>
      <w:r w:rsidR="00F664C6">
        <w:t>odlišn</w:t>
      </w:r>
      <w:r w:rsidR="00E027D6">
        <w:t>á</w:t>
      </w:r>
      <w:r w:rsidR="00F664C6">
        <w:t xml:space="preserve"> od ostatních</w:t>
      </w:r>
      <w:r w:rsidR="002C66A7">
        <w:t>. N</w:t>
      </w:r>
      <w:r>
        <w:t>ejvyšší variační rozpětí</w:t>
      </w:r>
      <w:r w:rsidR="002C66A7">
        <w:t>, tedy rozdíl</w:t>
      </w:r>
      <w:r>
        <w:t xml:space="preserve"> mezi SO ORP s obdrženou maximální a minimální hodnotou, </w:t>
      </w:r>
      <w:r w:rsidR="002C66A7">
        <w:t xml:space="preserve">bylo zjištěno s oblasti demografické, nejnižší pak v oblasti sociální. Tato zjednodušená míra variability říká, že v oblasti demografické jsou mezi ORP nejvyšší rozdíly a naopak, že v oblasti sociální jsou si správní obvody v hodnocení (až na výjimky) </w:t>
      </w:r>
      <w:r w:rsidR="00F664C6">
        <w:t>více</w:t>
      </w:r>
      <w:r w:rsidR="002C66A7">
        <w:t xml:space="preserve"> podobné. </w:t>
      </w:r>
      <w:r w:rsidR="00F664C6">
        <w:t xml:space="preserve">Také výběrový rozptyl vychází pro oblast demografickou nejvyšší, zatímco pro oblast sociální nejnižší. </w:t>
      </w:r>
      <w:r w:rsidR="00583DF7">
        <w:t xml:space="preserve">V souvislosti s tím, že každá oblast vypovídá o jiných kvalitách správního obvodu, je variabilita výsledného hodnocení ještě o něco nižší.  </w:t>
      </w:r>
    </w:p>
    <w:p w:rsidR="00453075" w:rsidRDefault="008924EE" w:rsidP="000D4386">
      <w:pPr>
        <w:pStyle w:val="URtext"/>
      </w:pPr>
      <w:r>
        <w:t>Jak vyplývá z předch</w:t>
      </w:r>
      <w:r w:rsidR="0011627D">
        <w:t xml:space="preserve">ozího textu, je celkové pořadí </w:t>
      </w:r>
      <w:r>
        <w:t xml:space="preserve">správních obvodů </w:t>
      </w:r>
      <w:r w:rsidR="0011627D">
        <w:t>určeno normovanými hodnotami jednotlivých oblastí a nemusí se tedy vždy plně shodovat s</w:t>
      </w:r>
      <w:r w:rsidR="00EC41D6">
        <w:t> </w:t>
      </w:r>
      <w:r w:rsidR="0011627D">
        <w:t>průměr</w:t>
      </w:r>
      <w:r w:rsidR="00EC41D6">
        <w:t xml:space="preserve">em pořadí </w:t>
      </w:r>
      <w:r w:rsidR="002C1CD3">
        <w:t>v těchto oblastech</w:t>
      </w:r>
      <w:bookmarkStart w:id="50" w:name="_GoBack"/>
      <w:bookmarkEnd w:id="50"/>
      <w:r w:rsidR="00EC41D6">
        <w:t>.</w:t>
      </w:r>
    </w:p>
    <w:p w:rsidR="00A42892" w:rsidRDefault="00A42892" w:rsidP="000D4386">
      <w:pPr>
        <w:pStyle w:val="URtext"/>
      </w:pPr>
      <w:r>
        <w:rPr>
          <w:noProof/>
        </w:rPr>
        <w:drawing>
          <wp:inline distT="0" distB="0" distL="0" distR="0">
            <wp:extent cx="6119495" cy="4329189"/>
            <wp:effectExtent l="19050" t="0" r="0" b="0"/>
            <wp:docPr id="8" name="obrázek 5" descr="P:\Ors\00 - Publikace\Pracovní\zakladni tendence\prezentace 2014\ORP31Celk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s\00 - Publikace\Pracovní\zakladni tendence\prezentace 2014\ORP31Celkem.jpg"/>
                    <pic:cNvPicPr>
                      <a:picLocks noChangeAspect="1" noChangeArrowheads="1"/>
                    </pic:cNvPicPr>
                  </pic:nvPicPr>
                  <pic:blipFill>
                    <a:blip r:embed="rId12" cstate="print"/>
                    <a:srcRect/>
                    <a:stretch>
                      <a:fillRect/>
                    </a:stretch>
                  </pic:blipFill>
                  <pic:spPr bwMode="auto">
                    <a:xfrm>
                      <a:off x="0" y="0"/>
                      <a:ext cx="6119495" cy="4329189"/>
                    </a:xfrm>
                    <a:prstGeom prst="rect">
                      <a:avLst/>
                    </a:prstGeom>
                    <a:noFill/>
                    <a:ln w="9525">
                      <a:noFill/>
                      <a:miter lim="800000"/>
                      <a:headEnd/>
                      <a:tailEnd/>
                    </a:ln>
                  </pic:spPr>
                </pic:pic>
              </a:graphicData>
            </a:graphic>
          </wp:inline>
        </w:drawing>
      </w:r>
    </w:p>
    <w:p w:rsidR="00F664C6" w:rsidRDefault="00E027D6" w:rsidP="000D4386">
      <w:pPr>
        <w:pStyle w:val="URtext"/>
      </w:pPr>
      <w:r>
        <w:t>V celkovém srovnání se n</w:t>
      </w:r>
      <w:r w:rsidR="00F664C6">
        <w:t xml:space="preserve">a </w:t>
      </w:r>
      <w:r>
        <w:t xml:space="preserve">prvním </w:t>
      </w:r>
      <w:r w:rsidR="00F664C6">
        <w:t xml:space="preserve">místě a s relativně větším odstupem od ostatních umístil SO ORP České Budějovice. Tento </w:t>
      </w:r>
      <w:r w:rsidR="008F3E6A">
        <w:t>obvod</w:t>
      </w:r>
      <w:r w:rsidR="00F664C6">
        <w:t xml:space="preserve"> byl </w:t>
      </w:r>
      <w:r w:rsidR="008F3E6A">
        <w:t>zařazen do kategorie</w:t>
      </w:r>
      <w:r w:rsidR="00F664C6">
        <w:t xml:space="preserve"> </w:t>
      </w:r>
      <w:r w:rsidR="008F3E6A">
        <w:t>„</w:t>
      </w:r>
      <w:r w:rsidR="00F664C6">
        <w:t>nejlepší</w:t>
      </w:r>
      <w:r w:rsidR="008F3E6A">
        <w:t>“</w:t>
      </w:r>
      <w:r w:rsidR="00F664C6">
        <w:t xml:space="preserve"> a vzhledem k </w:t>
      </w:r>
      <w:r w:rsidR="008F3E6A">
        <w:t>výraznějšímu</w:t>
      </w:r>
      <w:r w:rsidR="00F664C6">
        <w:t xml:space="preserve"> odstupu</w:t>
      </w:r>
      <w:r w:rsidR="008F3E6A">
        <w:t xml:space="preserve"> (přesahující jednu pětinu z celkového rozpětí) </w:t>
      </w:r>
      <w:r w:rsidR="00F664C6">
        <w:t xml:space="preserve">od druhého nejlepšího </w:t>
      </w:r>
      <w:r w:rsidR="008F3E6A">
        <w:t>obvodu</w:t>
      </w:r>
      <w:r w:rsidR="00F664C6">
        <w:t xml:space="preserve"> </w:t>
      </w:r>
      <w:r w:rsidR="008F3E6A">
        <w:t xml:space="preserve">Český Krumlov je v této kategorii sám. Správní obvod České Budějovice byl </w:t>
      </w:r>
      <w:r w:rsidR="00F65871">
        <w:t xml:space="preserve">jako nejlepší ohodnocen </w:t>
      </w:r>
      <w:r w:rsidR="008F3E6A">
        <w:t>ve třech oblastech</w:t>
      </w:r>
      <w:r w:rsidR="00F65871">
        <w:t xml:space="preserve"> </w:t>
      </w:r>
      <w:r w:rsidR="008F3E6A">
        <w:t xml:space="preserve">– jedná se o </w:t>
      </w:r>
      <w:r w:rsidR="008F3E6A">
        <w:lastRenderedPageBreak/>
        <w:t xml:space="preserve">oblast demografickou, ekonomickou a sociální. V oblasti životního prostředí se </w:t>
      </w:r>
      <w:r w:rsidR="00583DF7">
        <w:t xml:space="preserve">sice </w:t>
      </w:r>
      <w:r w:rsidR="008F3E6A">
        <w:t xml:space="preserve">umístil na předposlední příčce, </w:t>
      </w:r>
      <w:r w:rsidR="00F65871">
        <w:t xml:space="preserve">což </w:t>
      </w:r>
      <w:r w:rsidR="00583DF7">
        <w:t>ohodnocení mírně snížilo, nicméně z první příčky ho neposunulo</w:t>
      </w:r>
      <w:r w:rsidR="008F3E6A">
        <w:t>.</w:t>
      </w:r>
    </w:p>
    <w:p w:rsidR="00583DF7" w:rsidRDefault="00583DF7" w:rsidP="000D4386">
      <w:pPr>
        <w:pStyle w:val="URtext"/>
      </w:pPr>
      <w:r>
        <w:t xml:space="preserve">Ve skupině „velmi dobrých“ obvodů se umístilo hned pět </w:t>
      </w:r>
      <w:r w:rsidR="00F65871">
        <w:t>SO ORP</w:t>
      </w:r>
      <w:r>
        <w:t>. Patří sem Český Krumlov, Třeboň, Kaplice, Prachatice a Vimperk. Všech pět správních obvodů patří mezi nejlepší obvody z hlediska životního prostředí</w:t>
      </w:r>
      <w:r w:rsidR="00D2143F">
        <w:t>. Český Krumlov má pak</w:t>
      </w:r>
      <w:r w:rsidR="007A367B">
        <w:t xml:space="preserve"> velmi </w:t>
      </w:r>
      <w:r w:rsidR="00D2143F">
        <w:t xml:space="preserve">dobré výsledky i v oblasti ekonomické a demografické. Na jeho celkově druhé příčce nezměnilo nic ani </w:t>
      </w:r>
      <w:r w:rsidR="007A367B">
        <w:t xml:space="preserve">nejhorší </w:t>
      </w:r>
      <w:r w:rsidR="00D2143F">
        <w:t xml:space="preserve">umístění v oblasti sociální. Třeboň pak kromě dobrého životního prostředí má i </w:t>
      </w:r>
      <w:r w:rsidR="007A367B">
        <w:t xml:space="preserve">velmi </w:t>
      </w:r>
      <w:r w:rsidR="00D2143F">
        <w:t>dobrou ekonomickou oblast (3. místo za Českými Budějovicemi a Českým Krumlovem). SO ORP Kaplice se na celkovém čtvrtém místě drží hlavně d</w:t>
      </w:r>
      <w:r w:rsidR="0035691C">
        <w:t xml:space="preserve">íky své demografické struktuře. </w:t>
      </w:r>
      <w:proofErr w:type="spellStart"/>
      <w:r w:rsidR="0035691C">
        <w:t>Prachaticko</w:t>
      </w:r>
      <w:proofErr w:type="spellEnd"/>
      <w:r w:rsidR="0035691C">
        <w:t xml:space="preserve"> a </w:t>
      </w:r>
      <w:proofErr w:type="spellStart"/>
      <w:r w:rsidR="0035691C">
        <w:t>Vimpersko</w:t>
      </w:r>
      <w:proofErr w:type="spellEnd"/>
      <w:r w:rsidR="0035691C">
        <w:t xml:space="preserve"> do této skupiny patří </w:t>
      </w:r>
      <w:r w:rsidR="00F65871">
        <w:t>především</w:t>
      </w:r>
      <w:r w:rsidR="0035691C">
        <w:t xml:space="preserve"> díky dobrému životnímu prostředí, ale i poměrně příznivé ekonomické situaci.</w:t>
      </w:r>
    </w:p>
    <w:p w:rsidR="0035691C" w:rsidRPr="000D4386" w:rsidRDefault="0035691C" w:rsidP="000D4386">
      <w:pPr>
        <w:pStyle w:val="URtext"/>
      </w:pPr>
      <w:r>
        <w:t>Ve skupině s</w:t>
      </w:r>
      <w:r w:rsidR="00CB0656">
        <w:t>e</w:t>
      </w:r>
      <w:r>
        <w:t xml:space="preserve"> „špatným“ celkovým hodnocením skončil pouze jeden správní obvod a to obvod Strakonice. Tento obvod se ve všech oblastech pohyboval ve skupinách s</w:t>
      </w:r>
      <w:r w:rsidR="007F630C">
        <w:t> dobrým či špatným</w:t>
      </w:r>
      <w:r>
        <w:t xml:space="preserve"> hodnocením. </w:t>
      </w:r>
      <w:r w:rsidR="007F630C">
        <w:t>Ve skupině „nejhorších“ obvodů se v celkovém hodnocení ocitly</w:t>
      </w:r>
      <w:r>
        <w:t xml:space="preserve"> SO ORP </w:t>
      </w:r>
      <w:r w:rsidR="007F630C">
        <w:t xml:space="preserve">Milevsko, Blatná, Soběslav, </w:t>
      </w:r>
      <w:proofErr w:type="spellStart"/>
      <w:r w:rsidR="007F630C">
        <w:t>Dačice</w:t>
      </w:r>
      <w:proofErr w:type="spellEnd"/>
      <w:r w:rsidR="007F630C">
        <w:t xml:space="preserve"> a </w:t>
      </w:r>
      <w:proofErr w:type="spellStart"/>
      <w:r w:rsidR="007F630C">
        <w:t>Vodňany</w:t>
      </w:r>
      <w:proofErr w:type="spellEnd"/>
      <w:r w:rsidR="007F630C">
        <w:t xml:space="preserve">. </w:t>
      </w:r>
      <w:r w:rsidR="00A064AE">
        <w:t>Souhrnně by se dalo říci, že všech pět správních obvodů jsou obvody se starším obyvatelstvem</w:t>
      </w:r>
      <w:r w:rsidR="00691CDE">
        <w:t xml:space="preserve"> (s</w:t>
      </w:r>
      <w:r w:rsidR="00CE351C">
        <w:t> </w:t>
      </w:r>
      <w:r w:rsidR="00691CDE">
        <w:t xml:space="preserve">výjimkou </w:t>
      </w:r>
      <w:proofErr w:type="spellStart"/>
      <w:r w:rsidR="00691CDE">
        <w:t>Vodňan</w:t>
      </w:r>
      <w:proofErr w:type="spellEnd"/>
      <w:r w:rsidR="00691CDE">
        <w:t>)</w:t>
      </w:r>
      <w:r w:rsidR="00A064AE">
        <w:t xml:space="preserve">, horší sídelní strukturou </w:t>
      </w:r>
      <w:r w:rsidR="00CB0656">
        <w:t xml:space="preserve">a </w:t>
      </w:r>
      <w:r w:rsidR="00A064AE">
        <w:t>navíc</w:t>
      </w:r>
      <w:r w:rsidR="00561A45">
        <w:t xml:space="preserve"> problematickou</w:t>
      </w:r>
      <w:r w:rsidR="00A064AE">
        <w:t xml:space="preserve"> ekonomi</w:t>
      </w:r>
      <w:r w:rsidR="004A3FE0">
        <w:t>ckou oblastí</w:t>
      </w:r>
      <w:r w:rsidR="00A064AE">
        <w:t>. Pro p</w:t>
      </w:r>
      <w:r w:rsidR="006C3BBD">
        <w:t xml:space="preserve">rvní čtyři jmenované obvody </w:t>
      </w:r>
      <w:r w:rsidR="00A064AE">
        <w:t>je shodné umístění mezi „nejhoršími“</w:t>
      </w:r>
      <w:r w:rsidR="006C3BBD">
        <w:t xml:space="preserve"> v demografické oblasti. </w:t>
      </w:r>
      <w:r w:rsidR="007A367B">
        <w:t>Blatná</w:t>
      </w:r>
      <w:r w:rsidR="006C3BBD">
        <w:t xml:space="preserve"> a </w:t>
      </w:r>
      <w:proofErr w:type="spellStart"/>
      <w:r w:rsidR="006C3BBD">
        <w:t>Dačice</w:t>
      </w:r>
      <w:proofErr w:type="spellEnd"/>
      <w:r w:rsidR="006C3BBD">
        <w:t xml:space="preserve"> </w:t>
      </w:r>
      <w:r w:rsidR="00A064AE">
        <w:t>se navíc v této skupině umístily i</w:t>
      </w:r>
      <w:r w:rsidR="006C3BBD">
        <w:t xml:space="preserve"> při hodnocení podle ekonomických ukazatelů. </w:t>
      </w:r>
      <w:r w:rsidR="00A064AE">
        <w:t xml:space="preserve">Jediný obvod, který se v některé dílčí oblasti dokázal dostat do skupiny s lepším hodnocením (skupina „velmi dobré“) byl SO ORP </w:t>
      </w:r>
      <w:proofErr w:type="spellStart"/>
      <w:r w:rsidR="00A064AE">
        <w:t>Dačice</w:t>
      </w:r>
      <w:proofErr w:type="spellEnd"/>
      <w:r w:rsidR="00A064AE">
        <w:t xml:space="preserve"> při hodnocení úrovně životního prostředí.</w:t>
      </w:r>
    </w:p>
    <w:p w:rsidR="008F3E6A" w:rsidRPr="000D4386" w:rsidRDefault="008F3E6A">
      <w:pPr>
        <w:pStyle w:val="URtext"/>
      </w:pPr>
    </w:p>
    <w:sectPr w:rsidR="008F3E6A" w:rsidRPr="000D4386" w:rsidSect="003D4943">
      <w:footerReference w:type="default" r:id="rId13"/>
      <w:pgSz w:w="11906" w:h="16838" w:code="9"/>
      <w:pgMar w:top="1247" w:right="851" w:bottom="1134" w:left="1418" w:header="709"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93D" w:rsidRDefault="005A393D" w:rsidP="003D4943">
      <w:pPr>
        <w:spacing w:before="0"/>
      </w:pPr>
      <w:r>
        <w:separator/>
      </w:r>
    </w:p>
  </w:endnote>
  <w:endnote w:type="continuationSeparator" w:id="0">
    <w:p w:rsidR="005A393D" w:rsidRDefault="005A393D" w:rsidP="003D494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4864"/>
      <w:docPartObj>
        <w:docPartGallery w:val="Page Numbers (Bottom of Page)"/>
        <w:docPartUnique/>
      </w:docPartObj>
    </w:sdtPr>
    <w:sdtContent>
      <w:p w:rsidR="005A393D" w:rsidRDefault="008F570F">
        <w:pPr>
          <w:pStyle w:val="Zpat"/>
          <w:jc w:val="center"/>
        </w:pPr>
        <w:fldSimple w:instr=" PAGE   \* MERGEFORMAT ">
          <w:r w:rsidR="00595C7A">
            <w:rPr>
              <w:noProof/>
            </w:rPr>
            <w:t>1</w:t>
          </w:r>
        </w:fldSimple>
      </w:p>
    </w:sdtContent>
  </w:sdt>
  <w:p w:rsidR="005A393D" w:rsidRDefault="005A393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93D" w:rsidRDefault="005A393D" w:rsidP="003D4943">
      <w:pPr>
        <w:spacing w:before="0"/>
      </w:pPr>
      <w:r>
        <w:separator/>
      </w:r>
    </w:p>
  </w:footnote>
  <w:footnote w:type="continuationSeparator" w:id="0">
    <w:p w:rsidR="005A393D" w:rsidRDefault="005A393D" w:rsidP="003D4943">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9031A"/>
    <w:multiLevelType w:val="hybridMultilevel"/>
    <w:tmpl w:val="7194A9CE"/>
    <w:lvl w:ilvl="0" w:tplc="6BBA436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9405BAC"/>
    <w:multiLevelType w:val="hybridMultilevel"/>
    <w:tmpl w:val="4264675E"/>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544463"/>
    <w:multiLevelType w:val="multilevel"/>
    <w:tmpl w:val="6F1869CC"/>
    <w:lvl w:ilvl="0">
      <w:start w:val="1"/>
      <w:numFmt w:val="decimal"/>
      <w:pStyle w:val="URNadpis1"/>
      <w:suff w:val="space"/>
      <w:lvlText w:val="%1."/>
      <w:lvlJc w:val="left"/>
      <w:pPr>
        <w:ind w:left="0" w:firstLine="0"/>
      </w:pPr>
      <w:rPr>
        <w:rFonts w:ascii="Arial" w:hAnsi="Arial" w:hint="default"/>
        <w:b/>
        <w:i w:val="0"/>
        <w:sz w:val="28"/>
      </w:rPr>
    </w:lvl>
    <w:lvl w:ilvl="1">
      <w:start w:val="1"/>
      <w:numFmt w:val="decimal"/>
      <w:pStyle w:val="URNadpis2"/>
      <w:suff w:val="space"/>
      <w:lvlText w:val="%1.%2."/>
      <w:lvlJc w:val="left"/>
      <w:pPr>
        <w:ind w:left="624" w:hanging="624"/>
      </w:pPr>
      <w:rPr>
        <w:rFonts w:ascii="Arial" w:hAnsi="Arial" w:hint="default"/>
        <w:b/>
        <w:i w:val="0"/>
        <w:sz w:val="24"/>
      </w:rPr>
    </w:lvl>
    <w:lvl w:ilvl="2">
      <w:start w:val="1"/>
      <w:numFmt w:val="decimal"/>
      <w:pStyle w:val="URTabulka"/>
      <w:suff w:val="space"/>
      <w:lvlText w:val="Tab. %1.%2.%3"/>
      <w:lvlJc w:val="left"/>
      <w:pPr>
        <w:ind w:left="0" w:firstLine="0"/>
      </w:pPr>
      <w:rPr>
        <w:rFonts w:ascii="Arial" w:hAnsi="Arial" w:hint="default"/>
        <w:b/>
        <w:i w:val="0"/>
        <w:sz w:val="20"/>
      </w:rPr>
    </w:lvl>
    <w:lvl w:ilvl="3">
      <w:start w:val="1"/>
      <w:numFmt w:val="none"/>
      <w:lvlRestart w:val="2"/>
      <w:suff w:val="space"/>
      <w:lvlText w:val="Tab. %1.%2.%3"/>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DD0886"/>
    <w:rsid w:val="0000506C"/>
    <w:rsid w:val="00005E18"/>
    <w:rsid w:val="00014E02"/>
    <w:rsid w:val="000216CC"/>
    <w:rsid w:val="000239BC"/>
    <w:rsid w:val="00045B26"/>
    <w:rsid w:val="0005603C"/>
    <w:rsid w:val="00084A7D"/>
    <w:rsid w:val="00095D5B"/>
    <w:rsid w:val="000B1CCE"/>
    <w:rsid w:val="000C3B8B"/>
    <w:rsid w:val="000C5F74"/>
    <w:rsid w:val="000C6284"/>
    <w:rsid w:val="000D3276"/>
    <w:rsid w:val="000D4386"/>
    <w:rsid w:val="000D4D4B"/>
    <w:rsid w:val="000D76EA"/>
    <w:rsid w:val="000F1717"/>
    <w:rsid w:val="00106710"/>
    <w:rsid w:val="00113E61"/>
    <w:rsid w:val="00115EC1"/>
    <w:rsid w:val="0011627D"/>
    <w:rsid w:val="00130C06"/>
    <w:rsid w:val="001400EA"/>
    <w:rsid w:val="00152CF9"/>
    <w:rsid w:val="00166344"/>
    <w:rsid w:val="0017635C"/>
    <w:rsid w:val="00187F23"/>
    <w:rsid w:val="0019197D"/>
    <w:rsid w:val="001C11DB"/>
    <w:rsid w:val="001D0F24"/>
    <w:rsid w:val="001D7E70"/>
    <w:rsid w:val="001E1473"/>
    <w:rsid w:val="001F15E4"/>
    <w:rsid w:val="00210129"/>
    <w:rsid w:val="00213F7F"/>
    <w:rsid w:val="00221060"/>
    <w:rsid w:val="00232BA8"/>
    <w:rsid w:val="00266B88"/>
    <w:rsid w:val="00270B84"/>
    <w:rsid w:val="00280D84"/>
    <w:rsid w:val="00282BC1"/>
    <w:rsid w:val="002B2D71"/>
    <w:rsid w:val="002B54C8"/>
    <w:rsid w:val="002C1CD3"/>
    <w:rsid w:val="002C66A7"/>
    <w:rsid w:val="002D06EB"/>
    <w:rsid w:val="002D53DB"/>
    <w:rsid w:val="002D5488"/>
    <w:rsid w:val="002D5895"/>
    <w:rsid w:val="002F3D2C"/>
    <w:rsid w:val="00310A01"/>
    <w:rsid w:val="003326C0"/>
    <w:rsid w:val="00334ED9"/>
    <w:rsid w:val="003354AB"/>
    <w:rsid w:val="0034183B"/>
    <w:rsid w:val="0034314E"/>
    <w:rsid w:val="003452F7"/>
    <w:rsid w:val="0035691C"/>
    <w:rsid w:val="0035769A"/>
    <w:rsid w:val="00370D2F"/>
    <w:rsid w:val="003747C0"/>
    <w:rsid w:val="00375272"/>
    <w:rsid w:val="00376D33"/>
    <w:rsid w:val="00381FAB"/>
    <w:rsid w:val="003975E7"/>
    <w:rsid w:val="003A6448"/>
    <w:rsid w:val="003B084E"/>
    <w:rsid w:val="003D4943"/>
    <w:rsid w:val="003E07F4"/>
    <w:rsid w:val="0041310F"/>
    <w:rsid w:val="00426E17"/>
    <w:rsid w:val="00452F0A"/>
    <w:rsid w:val="00453075"/>
    <w:rsid w:val="00456AB9"/>
    <w:rsid w:val="00484370"/>
    <w:rsid w:val="004A3FE0"/>
    <w:rsid w:val="004B1655"/>
    <w:rsid w:val="004B2E41"/>
    <w:rsid w:val="004C1578"/>
    <w:rsid w:val="004F109F"/>
    <w:rsid w:val="00515487"/>
    <w:rsid w:val="00526C4B"/>
    <w:rsid w:val="00526E68"/>
    <w:rsid w:val="00536AD9"/>
    <w:rsid w:val="00553C27"/>
    <w:rsid w:val="00561A45"/>
    <w:rsid w:val="005628AF"/>
    <w:rsid w:val="00572348"/>
    <w:rsid w:val="00583DF7"/>
    <w:rsid w:val="0059194E"/>
    <w:rsid w:val="00593340"/>
    <w:rsid w:val="00595C7A"/>
    <w:rsid w:val="005A1911"/>
    <w:rsid w:val="005A393D"/>
    <w:rsid w:val="005A51DB"/>
    <w:rsid w:val="005E0084"/>
    <w:rsid w:val="005E027F"/>
    <w:rsid w:val="005E53BA"/>
    <w:rsid w:val="0060622F"/>
    <w:rsid w:val="006305A8"/>
    <w:rsid w:val="00631734"/>
    <w:rsid w:val="00651473"/>
    <w:rsid w:val="0066511E"/>
    <w:rsid w:val="00670BDF"/>
    <w:rsid w:val="006714BB"/>
    <w:rsid w:val="00677CC8"/>
    <w:rsid w:val="00691CDE"/>
    <w:rsid w:val="00693797"/>
    <w:rsid w:val="006B37E2"/>
    <w:rsid w:val="006C188C"/>
    <w:rsid w:val="006C232F"/>
    <w:rsid w:val="006C3BBD"/>
    <w:rsid w:val="006D07AB"/>
    <w:rsid w:val="006D27FC"/>
    <w:rsid w:val="006D318D"/>
    <w:rsid w:val="006D32B5"/>
    <w:rsid w:val="006F1899"/>
    <w:rsid w:val="0072186A"/>
    <w:rsid w:val="007316A7"/>
    <w:rsid w:val="00745663"/>
    <w:rsid w:val="007559E5"/>
    <w:rsid w:val="00773169"/>
    <w:rsid w:val="007756EF"/>
    <w:rsid w:val="00782C74"/>
    <w:rsid w:val="00797466"/>
    <w:rsid w:val="007979D4"/>
    <w:rsid w:val="007A367B"/>
    <w:rsid w:val="007A4D24"/>
    <w:rsid w:val="007B2819"/>
    <w:rsid w:val="007E448F"/>
    <w:rsid w:val="007F630C"/>
    <w:rsid w:val="007F6674"/>
    <w:rsid w:val="007F671E"/>
    <w:rsid w:val="00801E9E"/>
    <w:rsid w:val="008137AC"/>
    <w:rsid w:val="00820C26"/>
    <w:rsid w:val="00843F74"/>
    <w:rsid w:val="00851A32"/>
    <w:rsid w:val="008603B8"/>
    <w:rsid w:val="008641A1"/>
    <w:rsid w:val="00877F2E"/>
    <w:rsid w:val="008806EE"/>
    <w:rsid w:val="008924EE"/>
    <w:rsid w:val="00894509"/>
    <w:rsid w:val="008968E8"/>
    <w:rsid w:val="008A465A"/>
    <w:rsid w:val="008C229D"/>
    <w:rsid w:val="008F3E6A"/>
    <w:rsid w:val="008F570F"/>
    <w:rsid w:val="008F5D34"/>
    <w:rsid w:val="009048C2"/>
    <w:rsid w:val="00915BE4"/>
    <w:rsid w:val="00933C01"/>
    <w:rsid w:val="009435C5"/>
    <w:rsid w:val="00947600"/>
    <w:rsid w:val="00947DB7"/>
    <w:rsid w:val="009518BF"/>
    <w:rsid w:val="00957246"/>
    <w:rsid w:val="009645E9"/>
    <w:rsid w:val="00965D42"/>
    <w:rsid w:val="00971255"/>
    <w:rsid w:val="00982E3A"/>
    <w:rsid w:val="00983220"/>
    <w:rsid w:val="00993F34"/>
    <w:rsid w:val="00994EB5"/>
    <w:rsid w:val="009A39EC"/>
    <w:rsid w:val="009A477F"/>
    <w:rsid w:val="009B33FE"/>
    <w:rsid w:val="009C73CF"/>
    <w:rsid w:val="009D376D"/>
    <w:rsid w:val="009D4C41"/>
    <w:rsid w:val="009E28BD"/>
    <w:rsid w:val="009F6B2C"/>
    <w:rsid w:val="00A064AE"/>
    <w:rsid w:val="00A348C0"/>
    <w:rsid w:val="00A42892"/>
    <w:rsid w:val="00A43237"/>
    <w:rsid w:val="00A5609A"/>
    <w:rsid w:val="00A5714B"/>
    <w:rsid w:val="00A63923"/>
    <w:rsid w:val="00A66CB7"/>
    <w:rsid w:val="00A70C31"/>
    <w:rsid w:val="00A72288"/>
    <w:rsid w:val="00AA093C"/>
    <w:rsid w:val="00AC39F7"/>
    <w:rsid w:val="00AD0ECA"/>
    <w:rsid w:val="00AF165E"/>
    <w:rsid w:val="00AF579E"/>
    <w:rsid w:val="00B04FFE"/>
    <w:rsid w:val="00B208E1"/>
    <w:rsid w:val="00B2168C"/>
    <w:rsid w:val="00B223DA"/>
    <w:rsid w:val="00B373F2"/>
    <w:rsid w:val="00B408DA"/>
    <w:rsid w:val="00B43481"/>
    <w:rsid w:val="00B4388B"/>
    <w:rsid w:val="00B54EE7"/>
    <w:rsid w:val="00B55896"/>
    <w:rsid w:val="00B57E19"/>
    <w:rsid w:val="00B74153"/>
    <w:rsid w:val="00B74514"/>
    <w:rsid w:val="00B833F9"/>
    <w:rsid w:val="00B8574F"/>
    <w:rsid w:val="00B95F5F"/>
    <w:rsid w:val="00BA136B"/>
    <w:rsid w:val="00BA2EA0"/>
    <w:rsid w:val="00BC6506"/>
    <w:rsid w:val="00BE0258"/>
    <w:rsid w:val="00BE1315"/>
    <w:rsid w:val="00BE18B3"/>
    <w:rsid w:val="00C07C03"/>
    <w:rsid w:val="00C24FEE"/>
    <w:rsid w:val="00C353EA"/>
    <w:rsid w:val="00C60209"/>
    <w:rsid w:val="00C70718"/>
    <w:rsid w:val="00C7167A"/>
    <w:rsid w:val="00C81450"/>
    <w:rsid w:val="00C85BA7"/>
    <w:rsid w:val="00C864CA"/>
    <w:rsid w:val="00CB0656"/>
    <w:rsid w:val="00CB2BE1"/>
    <w:rsid w:val="00CB6B83"/>
    <w:rsid w:val="00CD1B5F"/>
    <w:rsid w:val="00CE351C"/>
    <w:rsid w:val="00CE59D1"/>
    <w:rsid w:val="00CF21C1"/>
    <w:rsid w:val="00CF7CEE"/>
    <w:rsid w:val="00D04FCF"/>
    <w:rsid w:val="00D2143F"/>
    <w:rsid w:val="00D21B5E"/>
    <w:rsid w:val="00D2243E"/>
    <w:rsid w:val="00D364BE"/>
    <w:rsid w:val="00D4667A"/>
    <w:rsid w:val="00DA3CCB"/>
    <w:rsid w:val="00DA6053"/>
    <w:rsid w:val="00DA6E80"/>
    <w:rsid w:val="00DC4795"/>
    <w:rsid w:val="00DD0886"/>
    <w:rsid w:val="00DE4CF4"/>
    <w:rsid w:val="00DE61B0"/>
    <w:rsid w:val="00DF23FF"/>
    <w:rsid w:val="00E027D6"/>
    <w:rsid w:val="00E24FB8"/>
    <w:rsid w:val="00E37BC3"/>
    <w:rsid w:val="00E45937"/>
    <w:rsid w:val="00E562D6"/>
    <w:rsid w:val="00E72685"/>
    <w:rsid w:val="00E752FF"/>
    <w:rsid w:val="00E828C1"/>
    <w:rsid w:val="00E8487A"/>
    <w:rsid w:val="00E96A57"/>
    <w:rsid w:val="00EA460F"/>
    <w:rsid w:val="00EB26CA"/>
    <w:rsid w:val="00EB54B3"/>
    <w:rsid w:val="00EC41D6"/>
    <w:rsid w:val="00EE0671"/>
    <w:rsid w:val="00F24A1F"/>
    <w:rsid w:val="00F24E66"/>
    <w:rsid w:val="00F252E1"/>
    <w:rsid w:val="00F25B43"/>
    <w:rsid w:val="00F40E2A"/>
    <w:rsid w:val="00F410A1"/>
    <w:rsid w:val="00F477DD"/>
    <w:rsid w:val="00F52D00"/>
    <w:rsid w:val="00F65871"/>
    <w:rsid w:val="00F664C6"/>
    <w:rsid w:val="00F70F04"/>
    <w:rsid w:val="00F739CB"/>
    <w:rsid w:val="00FA0DDC"/>
    <w:rsid w:val="00FA24B9"/>
    <w:rsid w:val="00FA4E1F"/>
    <w:rsid w:val="00FA52C2"/>
    <w:rsid w:val="00FA5502"/>
    <w:rsid w:val="00FC6DD1"/>
    <w:rsid w:val="00FD3AEA"/>
    <w:rsid w:val="00FF461A"/>
    <w:rsid w:val="00FF47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0886"/>
    <w:pPr>
      <w:spacing w:before="120" w:after="0"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uiPriority w:val="9"/>
    <w:qFormat/>
    <w:rsid w:val="004B2E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B26CA"/>
    <w:pPr>
      <w:keepNext/>
      <w:keepLines/>
      <w:numPr>
        <w:numId w:val="8"/>
      </w:numPr>
      <w:spacing w:before="200"/>
      <w:outlineLvl w:val="1"/>
    </w:pPr>
    <w:rPr>
      <w:rFonts w:eastAsiaTheme="majorEastAsia" w:cstheme="majorBidi"/>
      <w:b/>
      <w:bCs/>
      <w:color w:val="4F81BD" w:themeColor="accen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URNadpis1">
    <w:name w:val="UR Nadpis1"/>
    <w:basedOn w:val="URtext"/>
    <w:next w:val="URtext"/>
    <w:rsid w:val="00DD0886"/>
    <w:pPr>
      <w:numPr>
        <w:numId w:val="1"/>
      </w:numPr>
      <w:spacing w:before="0" w:after="120"/>
      <w:jc w:val="left"/>
    </w:pPr>
    <w:rPr>
      <w:b/>
      <w:sz w:val="28"/>
    </w:rPr>
  </w:style>
  <w:style w:type="paragraph" w:customStyle="1" w:styleId="URtext">
    <w:name w:val="UR text"/>
    <w:link w:val="URtextChar"/>
    <w:rsid w:val="00DD0886"/>
    <w:pPr>
      <w:spacing w:before="120" w:after="0" w:line="240" w:lineRule="auto"/>
      <w:jc w:val="both"/>
    </w:pPr>
    <w:rPr>
      <w:rFonts w:ascii="Arial" w:eastAsia="Times New Roman" w:hAnsi="Arial" w:cs="Times New Roman"/>
      <w:sz w:val="20"/>
      <w:szCs w:val="20"/>
      <w:lang w:eastAsia="cs-CZ"/>
    </w:rPr>
  </w:style>
  <w:style w:type="paragraph" w:customStyle="1" w:styleId="URNadpis2">
    <w:name w:val="UR Nadpis2"/>
    <w:basedOn w:val="URtext"/>
    <w:next w:val="URtext"/>
    <w:rsid w:val="00DD0886"/>
    <w:pPr>
      <w:numPr>
        <w:ilvl w:val="1"/>
        <w:numId w:val="1"/>
      </w:numPr>
      <w:spacing w:before="0" w:after="120"/>
      <w:jc w:val="left"/>
    </w:pPr>
    <w:rPr>
      <w:b/>
      <w:sz w:val="24"/>
    </w:rPr>
  </w:style>
  <w:style w:type="paragraph" w:customStyle="1" w:styleId="URTabulka">
    <w:name w:val="UR Tabulka"/>
    <w:basedOn w:val="URtext"/>
    <w:next w:val="URtext"/>
    <w:link w:val="URTabulkaChar"/>
    <w:rsid w:val="00DD0886"/>
    <w:pPr>
      <w:numPr>
        <w:ilvl w:val="2"/>
        <w:numId w:val="1"/>
      </w:numPr>
    </w:pPr>
    <w:rPr>
      <w:b/>
    </w:rPr>
  </w:style>
  <w:style w:type="paragraph" w:customStyle="1" w:styleId="URTabulka2">
    <w:name w:val="UR Tabulka 2"/>
    <w:basedOn w:val="URTabulka"/>
    <w:rsid w:val="00DD0886"/>
    <w:pPr>
      <w:numPr>
        <w:ilvl w:val="0"/>
        <w:numId w:val="0"/>
      </w:numPr>
      <w:spacing w:after="120"/>
    </w:pPr>
    <w:rPr>
      <w:rFonts w:cs="Arial"/>
    </w:rPr>
  </w:style>
  <w:style w:type="paragraph" w:styleId="Textbubliny">
    <w:name w:val="Balloon Text"/>
    <w:basedOn w:val="Normln"/>
    <w:link w:val="TextbublinyChar"/>
    <w:uiPriority w:val="99"/>
    <w:semiHidden/>
    <w:unhideWhenUsed/>
    <w:rsid w:val="00DD088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D0886"/>
    <w:rPr>
      <w:rFonts w:ascii="Tahoma" w:eastAsia="Times New Roman" w:hAnsi="Tahoma" w:cs="Tahoma"/>
      <w:sz w:val="16"/>
      <w:szCs w:val="16"/>
      <w:lang w:eastAsia="cs-CZ"/>
    </w:rPr>
  </w:style>
  <w:style w:type="character" w:customStyle="1" w:styleId="Nadpis2Char">
    <w:name w:val="Nadpis 2 Char"/>
    <w:basedOn w:val="Standardnpsmoodstavce"/>
    <w:link w:val="Nadpis2"/>
    <w:uiPriority w:val="9"/>
    <w:rsid w:val="00EB26CA"/>
    <w:rPr>
      <w:rFonts w:ascii="Arial" w:eastAsiaTheme="majorEastAsia" w:hAnsi="Arial" w:cstheme="majorBidi"/>
      <w:b/>
      <w:bCs/>
      <w:color w:val="4F81BD" w:themeColor="accent1"/>
      <w:sz w:val="24"/>
      <w:szCs w:val="26"/>
      <w:lang w:eastAsia="cs-CZ"/>
    </w:rPr>
  </w:style>
  <w:style w:type="paragraph" w:styleId="Odstavecseseznamem">
    <w:name w:val="List Paragraph"/>
    <w:basedOn w:val="Normln"/>
    <w:uiPriority w:val="34"/>
    <w:qFormat/>
    <w:rsid w:val="0072186A"/>
    <w:pPr>
      <w:ind w:left="720"/>
      <w:contextualSpacing/>
    </w:pPr>
  </w:style>
  <w:style w:type="character" w:customStyle="1" w:styleId="Nadpis1Char">
    <w:name w:val="Nadpis 1 Char"/>
    <w:basedOn w:val="Standardnpsmoodstavce"/>
    <w:link w:val="Nadpis1"/>
    <w:uiPriority w:val="9"/>
    <w:rsid w:val="004B2E41"/>
    <w:rPr>
      <w:rFonts w:asciiTheme="majorHAnsi" w:eastAsiaTheme="majorEastAsia" w:hAnsiTheme="majorHAnsi" w:cstheme="majorBidi"/>
      <w:b/>
      <w:bCs/>
      <w:color w:val="365F91" w:themeColor="accent1" w:themeShade="BF"/>
      <w:sz w:val="28"/>
      <w:szCs w:val="28"/>
      <w:lang w:eastAsia="cs-CZ"/>
    </w:rPr>
  </w:style>
  <w:style w:type="character" w:styleId="Zstupntext">
    <w:name w:val="Placeholder Text"/>
    <w:basedOn w:val="Standardnpsmoodstavce"/>
    <w:uiPriority w:val="99"/>
    <w:semiHidden/>
    <w:rsid w:val="00C864CA"/>
    <w:rPr>
      <w:color w:val="808080"/>
    </w:rPr>
  </w:style>
  <w:style w:type="paragraph" w:customStyle="1" w:styleId="StylORP">
    <w:name w:val="StylORP"/>
    <w:basedOn w:val="URtext"/>
    <w:link w:val="StylORPChar"/>
    <w:qFormat/>
    <w:rsid w:val="00113E61"/>
    <w:rPr>
      <w:b/>
      <w:sz w:val="24"/>
      <w:szCs w:val="24"/>
    </w:rPr>
  </w:style>
  <w:style w:type="paragraph" w:customStyle="1" w:styleId="Stylhodnoceni">
    <w:name w:val="Stylhodnoceni"/>
    <w:basedOn w:val="URTabulka"/>
    <w:link w:val="StylhodnoceniChar"/>
    <w:qFormat/>
    <w:rsid w:val="00113E61"/>
    <w:pPr>
      <w:numPr>
        <w:ilvl w:val="0"/>
        <w:numId w:val="0"/>
      </w:numPr>
      <w:ind w:firstLine="624"/>
    </w:pPr>
    <w:rPr>
      <w:sz w:val="22"/>
    </w:rPr>
  </w:style>
  <w:style w:type="character" w:customStyle="1" w:styleId="URtextChar">
    <w:name w:val="UR text Char"/>
    <w:basedOn w:val="Standardnpsmoodstavce"/>
    <w:link w:val="URtext"/>
    <w:rsid w:val="00113E61"/>
    <w:rPr>
      <w:rFonts w:ascii="Arial" w:eastAsia="Times New Roman" w:hAnsi="Arial" w:cs="Times New Roman"/>
      <w:sz w:val="20"/>
      <w:szCs w:val="20"/>
      <w:lang w:eastAsia="cs-CZ"/>
    </w:rPr>
  </w:style>
  <w:style w:type="character" w:customStyle="1" w:styleId="StylORPChar">
    <w:name w:val="StylORP Char"/>
    <w:basedOn w:val="URtextChar"/>
    <w:link w:val="StylORP"/>
    <w:rsid w:val="00113E61"/>
  </w:style>
  <w:style w:type="paragraph" w:styleId="Obsah2">
    <w:name w:val="toc 2"/>
    <w:basedOn w:val="Normln"/>
    <w:next w:val="Normln"/>
    <w:autoRedefine/>
    <w:uiPriority w:val="39"/>
    <w:unhideWhenUsed/>
    <w:rsid w:val="00113E61"/>
    <w:pPr>
      <w:spacing w:after="100"/>
      <w:ind w:left="200"/>
    </w:pPr>
  </w:style>
  <w:style w:type="character" w:customStyle="1" w:styleId="URTabulkaChar">
    <w:name w:val="UR Tabulka Char"/>
    <w:basedOn w:val="URtextChar"/>
    <w:link w:val="URTabulka"/>
    <w:rsid w:val="00113E61"/>
    <w:rPr>
      <w:b/>
    </w:rPr>
  </w:style>
  <w:style w:type="character" w:customStyle="1" w:styleId="StylhodnoceniChar">
    <w:name w:val="Stylhodnoceni Char"/>
    <w:basedOn w:val="URTabulkaChar"/>
    <w:link w:val="Stylhodnoceni"/>
    <w:rsid w:val="00113E61"/>
  </w:style>
  <w:style w:type="paragraph" w:styleId="Obsah1">
    <w:name w:val="toc 1"/>
    <w:basedOn w:val="Normln"/>
    <w:next w:val="Normln"/>
    <w:autoRedefine/>
    <w:uiPriority w:val="39"/>
    <w:unhideWhenUsed/>
    <w:rsid w:val="00113E61"/>
    <w:pPr>
      <w:spacing w:after="100"/>
    </w:pPr>
  </w:style>
  <w:style w:type="paragraph" w:styleId="Obsah4">
    <w:name w:val="toc 4"/>
    <w:basedOn w:val="Normln"/>
    <w:next w:val="Normln"/>
    <w:autoRedefine/>
    <w:uiPriority w:val="39"/>
    <w:unhideWhenUsed/>
    <w:rsid w:val="00113E61"/>
    <w:pPr>
      <w:spacing w:after="100"/>
      <w:ind w:left="600"/>
    </w:pPr>
  </w:style>
  <w:style w:type="character" w:styleId="Hypertextovodkaz">
    <w:name w:val="Hyperlink"/>
    <w:basedOn w:val="Standardnpsmoodstavce"/>
    <w:uiPriority w:val="99"/>
    <w:unhideWhenUsed/>
    <w:rsid w:val="00113E61"/>
    <w:rPr>
      <w:color w:val="0000FF" w:themeColor="hyperlink"/>
      <w:u w:val="single"/>
    </w:rPr>
  </w:style>
  <w:style w:type="paragraph" w:styleId="Zhlav">
    <w:name w:val="header"/>
    <w:basedOn w:val="Normln"/>
    <w:link w:val="ZhlavChar"/>
    <w:uiPriority w:val="99"/>
    <w:semiHidden/>
    <w:unhideWhenUsed/>
    <w:rsid w:val="003D4943"/>
    <w:pPr>
      <w:tabs>
        <w:tab w:val="center" w:pos="4536"/>
        <w:tab w:val="right" w:pos="9072"/>
      </w:tabs>
      <w:spacing w:before="0"/>
    </w:pPr>
  </w:style>
  <w:style w:type="character" w:customStyle="1" w:styleId="ZhlavChar">
    <w:name w:val="Záhlaví Char"/>
    <w:basedOn w:val="Standardnpsmoodstavce"/>
    <w:link w:val="Zhlav"/>
    <w:uiPriority w:val="99"/>
    <w:semiHidden/>
    <w:rsid w:val="003D4943"/>
    <w:rPr>
      <w:rFonts w:ascii="Arial" w:eastAsia="Times New Roman" w:hAnsi="Arial" w:cs="Times New Roman"/>
      <w:sz w:val="20"/>
      <w:szCs w:val="24"/>
      <w:lang w:eastAsia="cs-CZ"/>
    </w:rPr>
  </w:style>
  <w:style w:type="paragraph" w:styleId="Zpat">
    <w:name w:val="footer"/>
    <w:basedOn w:val="Normln"/>
    <w:link w:val="ZpatChar"/>
    <w:uiPriority w:val="99"/>
    <w:unhideWhenUsed/>
    <w:rsid w:val="003D4943"/>
    <w:pPr>
      <w:tabs>
        <w:tab w:val="center" w:pos="4536"/>
        <w:tab w:val="right" w:pos="9072"/>
      </w:tabs>
      <w:spacing w:before="0"/>
    </w:pPr>
  </w:style>
  <w:style w:type="character" w:customStyle="1" w:styleId="ZpatChar">
    <w:name w:val="Zápatí Char"/>
    <w:basedOn w:val="Standardnpsmoodstavce"/>
    <w:link w:val="Zpat"/>
    <w:uiPriority w:val="99"/>
    <w:rsid w:val="003D4943"/>
    <w:rPr>
      <w:rFonts w:ascii="Arial" w:eastAsia="Times New Roman" w:hAnsi="Arial" w:cs="Times New Roman"/>
      <w:sz w:val="2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B635-F1A6-4B53-944D-D2123227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8349</Words>
  <Characters>49264</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57499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Kotek</dc:creator>
  <cp:lastModifiedBy>Kotek</cp:lastModifiedBy>
  <cp:revision>18</cp:revision>
  <cp:lastPrinted>2014-11-10T12:28:00Z</cp:lastPrinted>
  <dcterms:created xsi:type="dcterms:W3CDTF">2014-11-10T06:49:00Z</dcterms:created>
  <dcterms:modified xsi:type="dcterms:W3CDTF">2014-11-10T12:45:00Z</dcterms:modified>
</cp:coreProperties>
</file>