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CF" w:rsidRDefault="006E6AB3" w:rsidP="00D925CF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1</w:t>
      </w:r>
      <w:r w:rsidR="00D925CF" w:rsidRPr="00CE0A8D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>
        <w:rPr>
          <w:rFonts w:eastAsia="Calibri" w:cs="Arial"/>
          <w:bCs w:val="0"/>
          <w:color w:val="auto"/>
          <w:sz w:val="18"/>
          <w:szCs w:val="22"/>
        </w:rPr>
        <w:t>9</w:t>
      </w:r>
      <w:r w:rsidR="00D925CF">
        <w:rPr>
          <w:rFonts w:eastAsia="Calibri" w:cs="Arial"/>
          <w:bCs w:val="0"/>
          <w:color w:val="auto"/>
          <w:sz w:val="18"/>
          <w:szCs w:val="22"/>
        </w:rPr>
        <w:t>. 201</w:t>
      </w:r>
      <w:r w:rsidR="00E85FEC">
        <w:rPr>
          <w:rFonts w:eastAsia="Calibri" w:cs="Arial"/>
          <w:bCs w:val="0"/>
          <w:color w:val="auto"/>
          <w:sz w:val="18"/>
          <w:szCs w:val="22"/>
        </w:rPr>
        <w:t>7</w:t>
      </w:r>
    </w:p>
    <w:p w:rsidR="00D925CF" w:rsidRDefault="00743602" w:rsidP="00D925CF">
      <w:pPr>
        <w:pStyle w:val="Nzev"/>
        <w:spacing w:after="360"/>
      </w:pPr>
      <w:r>
        <w:t>České ekonomice se ve 2. čtvrtletí dařilo</w:t>
      </w:r>
    </w:p>
    <w:p w:rsidR="008538A7" w:rsidRPr="00A81EB3" w:rsidRDefault="008538A7" w:rsidP="008538A7">
      <w:pPr>
        <w:pStyle w:val="Podtitulek"/>
      </w:pPr>
      <w:r>
        <w:t>Tvorba a užití HDP</w:t>
      </w:r>
      <w:r w:rsidRPr="00431C5C">
        <w:t xml:space="preserve"> </w:t>
      </w:r>
      <w:r w:rsidR="00495FDB">
        <w:t xml:space="preserve">– </w:t>
      </w:r>
      <w:r w:rsidR="006E6AB3">
        <w:t>2</w:t>
      </w:r>
      <w:r w:rsidRPr="00431C5C">
        <w:t xml:space="preserve">. čtvrtletí </w:t>
      </w:r>
      <w:r>
        <w:t>201</w:t>
      </w:r>
      <w:r w:rsidR="00E85FEC">
        <w:t>7</w:t>
      </w:r>
    </w:p>
    <w:p w:rsidR="008B7DC2" w:rsidRDefault="0099648B" w:rsidP="008B7DC2">
      <w:pPr>
        <w:pStyle w:val="Perex"/>
      </w:pPr>
      <w:r>
        <w:t>Podle zpřesněného odhadu byl h</w:t>
      </w:r>
      <w:r w:rsidR="00E85FEC">
        <w:t>rubý do</w:t>
      </w:r>
      <w:r w:rsidR="00017CD4">
        <w:t xml:space="preserve">mácí produkt </w:t>
      </w:r>
      <w:r>
        <w:t xml:space="preserve">ve 2. čtvrtletí </w:t>
      </w:r>
      <w:r w:rsidR="00E85FEC">
        <w:t xml:space="preserve">o </w:t>
      </w:r>
      <w:r w:rsidR="006E6AB3">
        <w:t>2,</w:t>
      </w:r>
      <w:r>
        <w:t>5</w:t>
      </w:r>
      <w:r w:rsidR="00E85FEC">
        <w:t xml:space="preserve"> % vyšší než v předchozím čtvrtletí a meziročně se zvýšil o </w:t>
      </w:r>
      <w:r w:rsidR="006E6AB3">
        <w:t>4,</w:t>
      </w:r>
      <w:r>
        <w:t>7</w:t>
      </w:r>
      <w:r w:rsidR="00510980">
        <w:t> </w:t>
      </w:r>
      <w:r w:rsidR="00E85FEC">
        <w:t xml:space="preserve">%. </w:t>
      </w:r>
      <w:r w:rsidR="00017CD4">
        <w:t>K</w:t>
      </w:r>
      <w:r w:rsidR="00790732">
        <w:t xml:space="preserve"> příznivému vývoji </w:t>
      </w:r>
      <w:r w:rsidR="00CA3D23">
        <w:t xml:space="preserve">české ekonomiky přispěla </w:t>
      </w:r>
      <w:r w:rsidR="00080DEF">
        <w:t xml:space="preserve">jak </w:t>
      </w:r>
      <w:r>
        <w:t>domácí, tak zahraniční poptávka.</w:t>
      </w:r>
    </w:p>
    <w:p w:rsidR="00D925CF" w:rsidRPr="00C14765" w:rsidRDefault="0099648B" w:rsidP="005D2560">
      <w:pPr>
        <w:spacing w:before="240"/>
        <w:rPr>
          <w:rFonts w:cs="Arial"/>
          <w:szCs w:val="20"/>
        </w:rPr>
      </w:pPr>
      <w:r w:rsidRPr="00C14765">
        <w:t>Zpřesněný odhad potvrdil, že růst české ekonomiky ve 2.</w:t>
      </w:r>
      <w:r w:rsidR="00AC074A">
        <w:t xml:space="preserve"> </w:t>
      </w:r>
      <w:bookmarkStart w:id="0" w:name="_GoBack"/>
      <w:bookmarkEnd w:id="0"/>
      <w:r w:rsidRPr="00C14765">
        <w:t xml:space="preserve">čtvrtletí významně zrychlil. </w:t>
      </w:r>
      <w:r w:rsidRPr="00C14765">
        <w:rPr>
          <w:b/>
        </w:rPr>
        <w:t>Hrubý </w:t>
      </w:r>
      <w:r w:rsidR="00D925CF" w:rsidRPr="00C14765">
        <w:rPr>
          <w:b/>
        </w:rPr>
        <w:t>domácí produkt</w:t>
      </w:r>
      <w:r w:rsidR="00096F6C">
        <w:t xml:space="preserve"> (HDP) očištěný o </w:t>
      </w:r>
      <w:r w:rsidR="00D925CF" w:rsidRPr="00C14765">
        <w:t>cenové vlivy a sezónnost</w:t>
      </w:r>
      <w:r w:rsidR="00D925CF" w:rsidRPr="00C14765">
        <w:rPr>
          <w:rStyle w:val="Znakapoznpodarou"/>
          <w:rFonts w:cs="Arial"/>
          <w:szCs w:val="18"/>
        </w:rPr>
        <w:footnoteReference w:id="1"/>
      </w:r>
      <w:r w:rsidR="00D925CF" w:rsidRPr="00C14765">
        <w:t xml:space="preserve"> </w:t>
      </w:r>
      <w:r w:rsidR="00D925CF" w:rsidRPr="00C14765">
        <w:rPr>
          <w:b/>
        </w:rPr>
        <w:t xml:space="preserve">vzrostl </w:t>
      </w:r>
      <w:r w:rsidR="007B4A65" w:rsidRPr="00C14765">
        <w:rPr>
          <w:b/>
        </w:rPr>
        <w:t xml:space="preserve">ve srovnání s předchozím čtvrtletím o </w:t>
      </w:r>
      <w:r w:rsidRPr="00C14765">
        <w:rPr>
          <w:b/>
        </w:rPr>
        <w:t>2,5</w:t>
      </w:r>
      <w:r w:rsidR="007B4A65" w:rsidRPr="00C14765">
        <w:rPr>
          <w:b/>
        </w:rPr>
        <w:t xml:space="preserve"> %</w:t>
      </w:r>
      <w:r w:rsidR="00F80A1C">
        <w:t xml:space="preserve"> a s</w:t>
      </w:r>
      <w:r w:rsidR="00237E84">
        <w:t>tejně jako v 1. čtvrtletí tak pokračoval rychlý růst</w:t>
      </w:r>
      <w:r w:rsidR="00C14765" w:rsidRPr="00C14765">
        <w:t xml:space="preserve">. </w:t>
      </w:r>
      <w:r w:rsidR="00BD41D3">
        <w:rPr>
          <w:b/>
        </w:rPr>
        <w:t>Meziročně </w:t>
      </w:r>
      <w:r w:rsidR="007B4A65" w:rsidRPr="00C14765">
        <w:rPr>
          <w:b/>
        </w:rPr>
        <w:t xml:space="preserve">se HDP </w:t>
      </w:r>
      <w:r w:rsidR="00D925CF" w:rsidRPr="00C14765">
        <w:rPr>
          <w:rFonts w:cs="Arial"/>
          <w:b/>
          <w:szCs w:val="20"/>
        </w:rPr>
        <w:t xml:space="preserve">zvýšil </w:t>
      </w:r>
      <w:r w:rsidR="00C14765" w:rsidRPr="00C14765">
        <w:rPr>
          <w:rFonts w:cs="Arial"/>
          <w:b/>
          <w:szCs w:val="20"/>
        </w:rPr>
        <w:t xml:space="preserve">reálně </w:t>
      </w:r>
      <w:r w:rsidR="00D925CF" w:rsidRPr="00C14765">
        <w:rPr>
          <w:rFonts w:cs="Arial"/>
          <w:b/>
          <w:szCs w:val="20"/>
        </w:rPr>
        <w:t xml:space="preserve">o </w:t>
      </w:r>
      <w:r w:rsidR="00C14765" w:rsidRPr="00C14765">
        <w:rPr>
          <w:rFonts w:cs="Arial"/>
          <w:b/>
          <w:szCs w:val="20"/>
        </w:rPr>
        <w:t>4,7</w:t>
      </w:r>
      <w:r w:rsidR="00D925CF" w:rsidRPr="00C14765">
        <w:rPr>
          <w:rFonts w:cs="Arial"/>
          <w:b/>
          <w:szCs w:val="20"/>
        </w:rPr>
        <w:t xml:space="preserve"> %</w:t>
      </w:r>
      <w:r w:rsidR="00D925CF" w:rsidRPr="00C14765">
        <w:rPr>
          <w:rFonts w:cs="Arial"/>
          <w:szCs w:val="20"/>
        </w:rPr>
        <w:t>.</w:t>
      </w:r>
      <w:r w:rsidR="00E85FEC" w:rsidRPr="00C14765">
        <w:rPr>
          <w:rFonts w:cs="Arial"/>
          <w:szCs w:val="20"/>
        </w:rPr>
        <w:t xml:space="preserve"> </w:t>
      </w:r>
    </w:p>
    <w:p w:rsidR="00D925CF" w:rsidRPr="00195E86" w:rsidRDefault="00D925CF" w:rsidP="00D925CF">
      <w:pPr>
        <w:spacing w:before="240" w:after="240"/>
        <w:rPr>
          <w:rFonts w:cs="Arial"/>
          <w:szCs w:val="20"/>
          <w:highlight w:val="yellow"/>
        </w:rPr>
      </w:pPr>
      <w:r w:rsidRPr="00F41CA8">
        <w:rPr>
          <w:b/>
        </w:rPr>
        <w:t>Hrubá přidaná hodnota</w:t>
      </w:r>
      <w:r w:rsidRPr="00F41CA8">
        <w:t xml:space="preserve"> (HPH) </w:t>
      </w:r>
      <w:r w:rsidR="00017CD4" w:rsidRPr="00F41CA8">
        <w:t>b</w:t>
      </w:r>
      <w:r w:rsidR="00017CD4" w:rsidRPr="001A6D9B">
        <w:t xml:space="preserve">yla </w:t>
      </w:r>
      <w:proofErr w:type="spellStart"/>
      <w:r w:rsidR="006A719A" w:rsidRPr="001A6D9B">
        <w:rPr>
          <w:b/>
        </w:rPr>
        <w:t>mezičtvrtletně</w:t>
      </w:r>
      <w:proofErr w:type="spellEnd"/>
      <w:r w:rsidR="006A719A" w:rsidRPr="001A6D9B">
        <w:rPr>
          <w:b/>
        </w:rPr>
        <w:t xml:space="preserve"> </w:t>
      </w:r>
      <w:r w:rsidR="00017CD4" w:rsidRPr="001A6D9B">
        <w:rPr>
          <w:b/>
        </w:rPr>
        <w:t xml:space="preserve">vyšší </w:t>
      </w:r>
      <w:r w:rsidR="006A719A" w:rsidRPr="001A6D9B">
        <w:rPr>
          <w:b/>
        </w:rPr>
        <w:t>o</w:t>
      </w:r>
      <w:r w:rsidR="006A719A" w:rsidRPr="001A6D9B">
        <w:t> </w:t>
      </w:r>
      <w:r w:rsidR="00F41CA8" w:rsidRPr="001A6D9B">
        <w:rPr>
          <w:b/>
        </w:rPr>
        <w:t>2</w:t>
      </w:r>
      <w:r w:rsidR="00510980" w:rsidRPr="001A6D9B">
        <w:rPr>
          <w:b/>
        </w:rPr>
        <w:t>,3</w:t>
      </w:r>
      <w:r w:rsidR="006A719A" w:rsidRPr="001A6D9B">
        <w:rPr>
          <w:b/>
        </w:rPr>
        <w:t> %</w:t>
      </w:r>
      <w:r w:rsidRPr="001A6D9B">
        <w:t xml:space="preserve"> </w:t>
      </w:r>
      <w:r w:rsidR="006A719A" w:rsidRPr="001A6D9B">
        <w:rPr>
          <w:b/>
        </w:rPr>
        <w:t xml:space="preserve">a </w:t>
      </w:r>
      <w:r w:rsidRPr="001A6D9B">
        <w:rPr>
          <w:b/>
        </w:rPr>
        <w:t>meziročně o</w:t>
      </w:r>
      <w:r w:rsidRPr="001A6D9B">
        <w:t xml:space="preserve"> </w:t>
      </w:r>
      <w:r w:rsidR="00F41CA8" w:rsidRPr="001A6D9B">
        <w:rPr>
          <w:b/>
        </w:rPr>
        <w:t>4,7</w:t>
      </w:r>
      <w:r w:rsidRPr="001A6D9B">
        <w:rPr>
          <w:b/>
        </w:rPr>
        <w:t> %</w:t>
      </w:r>
      <w:r w:rsidRPr="001A6D9B">
        <w:t xml:space="preserve">. </w:t>
      </w:r>
      <w:r w:rsidR="00BE0EEC" w:rsidRPr="001A6D9B">
        <w:t xml:space="preserve">Dařilo se většině </w:t>
      </w:r>
      <w:r w:rsidR="004505BB" w:rsidRPr="001A6D9B">
        <w:t xml:space="preserve">odvětví </w:t>
      </w:r>
      <w:r w:rsidR="003E5988" w:rsidRPr="001A6D9B">
        <w:t>národního hospodářství.</w:t>
      </w:r>
      <w:r w:rsidR="004505BB" w:rsidRPr="001A6D9B">
        <w:t xml:space="preserve"> </w:t>
      </w:r>
      <w:r w:rsidR="00B341CF" w:rsidRPr="001A6D9B">
        <w:t>K meziročnímu růstu HPH nejvýrazněji přispěl zpracovatelský průmysl (</w:t>
      </w:r>
      <w:r w:rsidR="00BE0EEC" w:rsidRPr="001A6D9B">
        <w:t>2</w:t>
      </w:r>
      <w:r w:rsidR="00B341CF" w:rsidRPr="001A6D9B">
        <w:t>,1</w:t>
      </w:r>
      <w:r w:rsidR="004505BB" w:rsidRPr="001A6D9B">
        <w:t> </w:t>
      </w:r>
      <w:proofErr w:type="spellStart"/>
      <w:proofErr w:type="gramStart"/>
      <w:r w:rsidR="00B341CF" w:rsidRPr="001A6D9B">
        <w:t>p.b</w:t>
      </w:r>
      <w:proofErr w:type="spellEnd"/>
      <w:r w:rsidR="00B341CF" w:rsidRPr="001A6D9B">
        <w:t>.), tažený</w:t>
      </w:r>
      <w:proofErr w:type="gramEnd"/>
      <w:r w:rsidR="00FE4819" w:rsidRPr="001A6D9B">
        <w:t xml:space="preserve"> </w:t>
      </w:r>
      <w:r w:rsidR="00823FAB" w:rsidRPr="001A6D9B">
        <w:t>nejen</w:t>
      </w:r>
      <w:r w:rsidR="00B341CF" w:rsidRPr="001A6D9B">
        <w:t xml:space="preserve"> </w:t>
      </w:r>
      <w:r w:rsidR="00714E74" w:rsidRPr="001A6D9B">
        <w:t>výrobou dopravních prostředků</w:t>
      </w:r>
      <w:r w:rsidR="00823FAB" w:rsidRPr="001A6D9B">
        <w:t xml:space="preserve"> a na </w:t>
      </w:r>
      <w:r w:rsidR="004505BB" w:rsidRPr="001A6D9B">
        <w:t>n</w:t>
      </w:r>
      <w:r w:rsidR="00714E74" w:rsidRPr="001A6D9B">
        <w:t>i</w:t>
      </w:r>
      <w:r w:rsidR="004505BB" w:rsidRPr="001A6D9B">
        <w:t xml:space="preserve"> </w:t>
      </w:r>
      <w:r w:rsidR="00B341CF" w:rsidRPr="001A6D9B">
        <w:t>navazující</w:t>
      </w:r>
      <w:r w:rsidR="00B679A3" w:rsidRPr="001A6D9B">
        <w:t>mi</w:t>
      </w:r>
      <w:r w:rsidR="00B341CF" w:rsidRPr="001A6D9B">
        <w:t xml:space="preserve"> odvětví</w:t>
      </w:r>
      <w:r w:rsidR="00B679A3" w:rsidRPr="001A6D9B">
        <w:t>mi</w:t>
      </w:r>
      <w:r w:rsidR="00B140F6">
        <w:t>, ale například i </w:t>
      </w:r>
      <w:r w:rsidR="00B140F6" w:rsidRPr="001A6D9B">
        <w:t xml:space="preserve">růstem </w:t>
      </w:r>
      <w:r w:rsidR="00B140F6">
        <w:t xml:space="preserve">produkce </w:t>
      </w:r>
      <w:r w:rsidR="00B140F6" w:rsidRPr="001A6D9B">
        <w:t>elektrických přístrojů a zařízení</w:t>
      </w:r>
      <w:r w:rsidR="00B140F6">
        <w:t xml:space="preserve">. Vedle toho došlo k </w:t>
      </w:r>
      <w:r w:rsidR="00CD0BF6">
        <w:t>pln</w:t>
      </w:r>
      <w:r w:rsidR="00B140F6">
        <w:t>ému</w:t>
      </w:r>
      <w:r w:rsidR="00CD0BF6">
        <w:t xml:space="preserve"> </w:t>
      </w:r>
      <w:r w:rsidR="00B341CF" w:rsidRPr="001A6D9B">
        <w:t xml:space="preserve">obnovení </w:t>
      </w:r>
      <w:r w:rsidR="00CD0BF6">
        <w:t>výroby</w:t>
      </w:r>
      <w:r w:rsidR="00B341CF" w:rsidRPr="001A6D9B">
        <w:t xml:space="preserve"> v chemickém průmysl</w:t>
      </w:r>
      <w:r w:rsidR="004505BB" w:rsidRPr="001A6D9B">
        <w:t>u</w:t>
      </w:r>
      <w:r w:rsidR="00B341CF" w:rsidRPr="001A6D9B">
        <w:t>.</w:t>
      </w:r>
      <w:r w:rsidR="00823FAB" w:rsidRPr="001A6D9B">
        <w:t xml:space="preserve"> HPH </w:t>
      </w:r>
      <w:r w:rsidR="00B679A3" w:rsidRPr="001A6D9B">
        <w:t xml:space="preserve">zpracovatelského průmyslu vzrostla </w:t>
      </w:r>
      <w:proofErr w:type="spellStart"/>
      <w:r w:rsidR="001A6D9B" w:rsidRPr="001A6D9B">
        <w:t>mezičtvrtletně</w:t>
      </w:r>
      <w:proofErr w:type="spellEnd"/>
      <w:r w:rsidR="001A6D9B" w:rsidRPr="001A6D9B">
        <w:t xml:space="preserve"> o </w:t>
      </w:r>
      <w:r w:rsidR="00823FAB" w:rsidRPr="001A6D9B">
        <w:t>3,5 </w:t>
      </w:r>
      <w:r w:rsidR="00017CD4" w:rsidRPr="001A6D9B">
        <w:t xml:space="preserve">% a </w:t>
      </w:r>
      <w:r w:rsidR="00B679A3" w:rsidRPr="001A6D9B">
        <w:t xml:space="preserve">meziročně o </w:t>
      </w:r>
      <w:r w:rsidR="00823FAB" w:rsidRPr="001A6D9B">
        <w:t>7,9</w:t>
      </w:r>
      <w:r w:rsidR="00B679A3" w:rsidRPr="001A6D9B">
        <w:t xml:space="preserve"> %. </w:t>
      </w:r>
      <w:r w:rsidR="00017CD4" w:rsidRPr="00D947B2">
        <w:t>R</w:t>
      </w:r>
      <w:r w:rsidR="00714E74" w:rsidRPr="00D947B2">
        <w:t>ostla</w:t>
      </w:r>
      <w:r w:rsidR="00823FAB" w:rsidRPr="00D947B2">
        <w:t xml:space="preserve"> i </w:t>
      </w:r>
      <w:r w:rsidR="00B679A3" w:rsidRPr="00D947B2">
        <w:t>většin</w:t>
      </w:r>
      <w:r w:rsidR="00017CD4" w:rsidRPr="00D947B2">
        <w:t>a</w:t>
      </w:r>
      <w:r w:rsidR="00B679A3" w:rsidRPr="00D947B2">
        <w:t xml:space="preserve"> odvětví služeb. </w:t>
      </w:r>
      <w:r w:rsidR="00D947B2">
        <w:t>K oživení došlo v</w:t>
      </w:r>
      <w:r w:rsidR="00CD0BF6">
        <w:t>e </w:t>
      </w:r>
      <w:r w:rsidR="0015703D">
        <w:t xml:space="preserve">stavebnictví, kde byla HPH </w:t>
      </w:r>
      <w:proofErr w:type="spellStart"/>
      <w:r w:rsidR="0015703D">
        <w:t>mezičtvrtle</w:t>
      </w:r>
      <w:r w:rsidR="00B140F6">
        <w:t>tně</w:t>
      </w:r>
      <w:proofErr w:type="spellEnd"/>
      <w:r w:rsidR="00B140F6">
        <w:t xml:space="preserve"> vyšší o 2,6 % a meziročně o </w:t>
      </w:r>
      <w:r w:rsidR="0015703D">
        <w:t xml:space="preserve">3,1 %. </w:t>
      </w:r>
    </w:p>
    <w:p w:rsidR="00D925CF" w:rsidRPr="00447037" w:rsidRDefault="00D925CF" w:rsidP="00D925CF">
      <w:pPr>
        <w:spacing w:before="240" w:after="240"/>
        <w:rPr>
          <w:rFonts w:cs="Arial"/>
          <w:szCs w:val="20"/>
        </w:rPr>
      </w:pPr>
      <w:r w:rsidRPr="00447037">
        <w:rPr>
          <w:rFonts w:cs="Arial"/>
          <w:b/>
          <w:szCs w:val="20"/>
        </w:rPr>
        <w:t>Na straně poptávky</w:t>
      </w:r>
      <w:r w:rsidRPr="00447037">
        <w:rPr>
          <w:rFonts w:cs="Arial"/>
          <w:szCs w:val="20"/>
        </w:rPr>
        <w:t xml:space="preserve"> byl</w:t>
      </w:r>
      <w:r w:rsidR="000C17DA">
        <w:rPr>
          <w:rFonts w:cs="Arial"/>
          <w:szCs w:val="20"/>
        </w:rPr>
        <w:t xml:space="preserve"> r</w:t>
      </w:r>
      <w:r w:rsidRPr="00447037">
        <w:rPr>
          <w:rFonts w:cs="Arial"/>
          <w:szCs w:val="20"/>
        </w:rPr>
        <w:t xml:space="preserve">ůst </w:t>
      </w:r>
      <w:r w:rsidRPr="00C87C55">
        <w:rPr>
          <w:rFonts w:cs="Arial"/>
          <w:szCs w:val="20"/>
        </w:rPr>
        <w:t xml:space="preserve">HDP </w:t>
      </w:r>
      <w:r w:rsidR="007C6C1B" w:rsidRPr="00C87C55">
        <w:t xml:space="preserve">ve 2. čtvrtletí </w:t>
      </w:r>
      <w:r w:rsidR="0010551E" w:rsidRPr="00C87C55">
        <w:rPr>
          <w:rFonts w:cs="Arial"/>
          <w:szCs w:val="20"/>
        </w:rPr>
        <w:t>podpořen</w:t>
      </w:r>
      <w:r w:rsidR="007A564C" w:rsidRPr="00C87C55">
        <w:rPr>
          <w:rFonts w:cs="Arial"/>
          <w:szCs w:val="20"/>
        </w:rPr>
        <w:t xml:space="preserve"> </w:t>
      </w:r>
      <w:r w:rsidR="00447037" w:rsidRPr="00C87C55">
        <w:rPr>
          <w:rFonts w:cs="Arial"/>
          <w:szCs w:val="20"/>
        </w:rPr>
        <w:t xml:space="preserve">jak domácí, tak zahraniční poptávkou. </w:t>
      </w:r>
      <w:r w:rsidR="007C6C1B" w:rsidRPr="00C87C55">
        <w:rPr>
          <w:rFonts w:cs="Arial"/>
          <w:szCs w:val="20"/>
        </w:rPr>
        <w:t>Vedle </w:t>
      </w:r>
      <w:r w:rsidR="007C6C1B" w:rsidRPr="00C87C55">
        <w:t xml:space="preserve">dlouhodobě rostoucí spotřeby domácností se  mezi faktory růstu </w:t>
      </w:r>
      <w:r w:rsidR="00CD0BF6">
        <w:t>domácí poptávky</w:t>
      </w:r>
      <w:r w:rsidR="007C6C1B" w:rsidRPr="00C87C55">
        <w:t xml:space="preserve"> </w:t>
      </w:r>
      <w:r w:rsidR="00CD0BF6">
        <w:t xml:space="preserve">nově </w:t>
      </w:r>
      <w:r w:rsidR="007C6C1B" w:rsidRPr="00C87C55">
        <w:t>zařadila i investiční aktivita</w:t>
      </w:r>
      <w:r w:rsidR="009D458B" w:rsidRPr="00447037">
        <w:rPr>
          <w:rStyle w:val="Znakapoznpodarou"/>
          <w:rFonts w:cs="Arial"/>
          <w:szCs w:val="20"/>
        </w:rPr>
        <w:footnoteReference w:id="2"/>
      </w:r>
      <w:r w:rsidR="007C6C1B" w:rsidRPr="00C87C55">
        <w:t xml:space="preserve">. </w:t>
      </w:r>
      <w:r w:rsidR="00447037" w:rsidRPr="00C87C55">
        <w:rPr>
          <w:rFonts w:cs="Arial"/>
          <w:szCs w:val="20"/>
        </w:rPr>
        <w:t>K</w:t>
      </w:r>
      <w:r w:rsidR="00447037" w:rsidRPr="00447037">
        <w:rPr>
          <w:rFonts w:cs="Arial"/>
          <w:szCs w:val="20"/>
        </w:rPr>
        <w:t> meziročnímu růstu H</w:t>
      </w:r>
      <w:r w:rsidR="007C6C1B">
        <w:rPr>
          <w:rFonts w:cs="Arial"/>
          <w:szCs w:val="20"/>
        </w:rPr>
        <w:t>DP (4,7</w:t>
      </w:r>
      <w:r w:rsidR="007C6C1B">
        <w:t> </w:t>
      </w:r>
      <w:r w:rsidR="00447037" w:rsidRPr="00447037">
        <w:rPr>
          <w:rFonts w:cs="Arial"/>
          <w:szCs w:val="20"/>
        </w:rPr>
        <w:t>%) přispěl</w:t>
      </w:r>
      <w:r w:rsidR="00CD0BF6">
        <w:rPr>
          <w:rFonts w:cs="Arial"/>
          <w:szCs w:val="20"/>
        </w:rPr>
        <w:t>y</w:t>
      </w:r>
      <w:r w:rsidR="00447037" w:rsidRPr="00447037">
        <w:rPr>
          <w:rFonts w:cs="Arial"/>
          <w:szCs w:val="20"/>
        </w:rPr>
        <w:t xml:space="preserve"> </w:t>
      </w:r>
      <w:r w:rsidR="00CD0BF6">
        <w:rPr>
          <w:rFonts w:cs="Arial"/>
          <w:szCs w:val="20"/>
        </w:rPr>
        <w:t>investiční výdaje 1,7 </w:t>
      </w:r>
      <w:proofErr w:type="spellStart"/>
      <w:r w:rsidR="009D458B" w:rsidRPr="00447037">
        <w:rPr>
          <w:rFonts w:cs="Arial"/>
          <w:szCs w:val="20"/>
        </w:rPr>
        <w:t>p.b</w:t>
      </w:r>
      <w:proofErr w:type="spellEnd"/>
      <w:r w:rsidR="009D458B" w:rsidRPr="00447037">
        <w:rPr>
          <w:rFonts w:cs="Arial"/>
          <w:szCs w:val="20"/>
        </w:rPr>
        <w:t>.</w:t>
      </w:r>
      <w:r w:rsidR="009D458B" w:rsidRPr="00447037">
        <w:rPr>
          <w:rStyle w:val="Znakapoznpodarou"/>
          <w:rFonts w:cs="Arial"/>
          <w:szCs w:val="20"/>
        </w:rPr>
        <w:footnoteReference w:id="3"/>
      </w:r>
      <w:r w:rsidR="00CD0BF6">
        <w:rPr>
          <w:rFonts w:cs="Arial"/>
          <w:szCs w:val="20"/>
        </w:rPr>
        <w:t>, s</w:t>
      </w:r>
      <w:r w:rsidR="00447037" w:rsidRPr="00447037">
        <w:rPr>
          <w:rFonts w:cs="Arial"/>
          <w:szCs w:val="20"/>
        </w:rPr>
        <w:t xml:space="preserve">potřeba domácností 1,5 </w:t>
      </w:r>
      <w:proofErr w:type="spellStart"/>
      <w:r w:rsidR="00447037" w:rsidRPr="00447037">
        <w:rPr>
          <w:rFonts w:cs="Arial"/>
          <w:szCs w:val="20"/>
        </w:rPr>
        <w:t>p.b</w:t>
      </w:r>
      <w:proofErr w:type="spellEnd"/>
      <w:r w:rsidR="00447037" w:rsidRPr="00447037">
        <w:rPr>
          <w:rFonts w:cs="Arial"/>
          <w:szCs w:val="20"/>
        </w:rPr>
        <w:t xml:space="preserve">. </w:t>
      </w:r>
      <w:r w:rsidR="009D458B">
        <w:rPr>
          <w:rFonts w:cs="Arial"/>
          <w:szCs w:val="20"/>
        </w:rPr>
        <w:t>a zahraniční obchod </w:t>
      </w:r>
      <w:r w:rsidR="00447037" w:rsidRPr="00447037">
        <w:rPr>
          <w:rFonts w:cs="Arial"/>
          <w:szCs w:val="20"/>
        </w:rPr>
        <w:t xml:space="preserve">2,1 </w:t>
      </w:r>
      <w:proofErr w:type="spellStart"/>
      <w:proofErr w:type="gramStart"/>
      <w:r w:rsidR="00447037" w:rsidRPr="00447037">
        <w:rPr>
          <w:rFonts w:cs="Arial"/>
          <w:szCs w:val="20"/>
        </w:rPr>
        <w:t>p.b</w:t>
      </w:r>
      <w:proofErr w:type="spellEnd"/>
      <w:r w:rsidR="00447037" w:rsidRPr="00447037">
        <w:rPr>
          <w:rFonts w:cs="Arial"/>
          <w:szCs w:val="20"/>
        </w:rPr>
        <w:t>.</w:t>
      </w:r>
      <w:proofErr w:type="gramEnd"/>
      <w:r w:rsidR="007A564C" w:rsidRPr="00447037">
        <w:rPr>
          <w:rFonts w:cs="Arial"/>
          <w:szCs w:val="20"/>
        </w:rPr>
        <w:t xml:space="preserve"> </w:t>
      </w:r>
    </w:p>
    <w:p w:rsidR="00D925CF" w:rsidRPr="0073261E" w:rsidRDefault="00D925CF" w:rsidP="00D925CF">
      <w:pPr>
        <w:spacing w:before="240" w:after="240"/>
        <w:rPr>
          <w:rFonts w:cs="Arial"/>
          <w:szCs w:val="20"/>
        </w:rPr>
      </w:pPr>
      <w:r w:rsidRPr="000C17DA">
        <w:rPr>
          <w:rFonts w:cs="Arial"/>
          <w:b/>
          <w:szCs w:val="20"/>
        </w:rPr>
        <w:t>Výdaje na konečnou spotřebu domácností</w:t>
      </w:r>
      <w:r w:rsidRPr="000C17DA">
        <w:rPr>
          <w:rFonts w:cs="Arial"/>
          <w:szCs w:val="20"/>
        </w:rPr>
        <w:t xml:space="preserve"> </w:t>
      </w:r>
      <w:r w:rsidR="00FB4C98" w:rsidRPr="000C17DA">
        <w:rPr>
          <w:rFonts w:cs="Arial"/>
          <w:szCs w:val="20"/>
        </w:rPr>
        <w:t xml:space="preserve">byly </w:t>
      </w:r>
      <w:r w:rsidR="00FE4819" w:rsidRPr="000C17DA">
        <w:rPr>
          <w:rFonts w:cs="Arial"/>
          <w:szCs w:val="20"/>
        </w:rPr>
        <w:t xml:space="preserve">vyšší </w:t>
      </w:r>
      <w:proofErr w:type="spellStart"/>
      <w:r w:rsidRPr="000C17DA">
        <w:rPr>
          <w:rFonts w:cs="Arial"/>
          <w:szCs w:val="20"/>
        </w:rPr>
        <w:t>mezi</w:t>
      </w:r>
      <w:r w:rsidR="00FB4C98" w:rsidRPr="000C17DA">
        <w:rPr>
          <w:rFonts w:cs="Arial"/>
          <w:szCs w:val="20"/>
        </w:rPr>
        <w:t>čtvrtletně</w:t>
      </w:r>
      <w:proofErr w:type="spellEnd"/>
      <w:r w:rsidR="00FB4C98" w:rsidRPr="000C17DA">
        <w:rPr>
          <w:rFonts w:cs="Arial"/>
          <w:szCs w:val="20"/>
        </w:rPr>
        <w:t xml:space="preserve"> o </w:t>
      </w:r>
      <w:r w:rsidR="00447037" w:rsidRPr="000C17DA">
        <w:rPr>
          <w:rFonts w:cs="Arial"/>
          <w:szCs w:val="20"/>
        </w:rPr>
        <w:t>1,8 </w:t>
      </w:r>
      <w:r w:rsidR="00FB4C98" w:rsidRPr="000C17DA">
        <w:rPr>
          <w:rFonts w:cs="Arial"/>
          <w:szCs w:val="20"/>
        </w:rPr>
        <w:t xml:space="preserve">% a meziročně </w:t>
      </w:r>
      <w:r w:rsidR="00FE4819" w:rsidRPr="0073261E">
        <w:rPr>
          <w:rFonts w:cs="Arial"/>
          <w:szCs w:val="20"/>
        </w:rPr>
        <w:t>o </w:t>
      </w:r>
      <w:r w:rsidR="00447037" w:rsidRPr="0073261E">
        <w:rPr>
          <w:rFonts w:cs="Arial"/>
          <w:szCs w:val="20"/>
        </w:rPr>
        <w:t>4,4</w:t>
      </w:r>
      <w:r w:rsidR="00FE4819" w:rsidRPr="0073261E">
        <w:rPr>
          <w:rFonts w:cs="Arial"/>
          <w:szCs w:val="20"/>
        </w:rPr>
        <w:t> </w:t>
      </w:r>
      <w:r w:rsidR="00FB4C98" w:rsidRPr="0073261E">
        <w:rPr>
          <w:rFonts w:cs="Arial"/>
          <w:szCs w:val="20"/>
        </w:rPr>
        <w:t xml:space="preserve">%. </w:t>
      </w:r>
      <w:r w:rsidR="0073261E" w:rsidRPr="0073261E">
        <w:rPr>
          <w:rFonts w:cs="Arial"/>
          <w:szCs w:val="20"/>
        </w:rPr>
        <w:t>Rostly výdaje ve všech kategoriích spotřeby</w:t>
      </w:r>
      <w:r w:rsidR="007B2DBA" w:rsidRPr="0073261E">
        <w:rPr>
          <w:rFonts w:cs="Arial"/>
          <w:szCs w:val="20"/>
        </w:rPr>
        <w:t xml:space="preserve">. </w:t>
      </w:r>
      <w:r w:rsidR="009A7B08" w:rsidRPr="0073261E">
        <w:rPr>
          <w:rFonts w:cs="Arial"/>
          <w:b/>
          <w:szCs w:val="20"/>
        </w:rPr>
        <w:t>Výdaje na </w:t>
      </w:r>
      <w:r w:rsidRPr="0073261E">
        <w:rPr>
          <w:rFonts w:cs="Arial"/>
          <w:b/>
          <w:szCs w:val="20"/>
        </w:rPr>
        <w:t>konečnou spotřebu vládních institucí</w:t>
      </w:r>
      <w:r w:rsidRPr="0073261E">
        <w:rPr>
          <w:rFonts w:cs="Arial"/>
          <w:szCs w:val="20"/>
        </w:rPr>
        <w:t xml:space="preserve"> </w:t>
      </w:r>
      <w:r w:rsidR="009A7B08" w:rsidRPr="0073261E">
        <w:rPr>
          <w:rFonts w:cs="Arial"/>
          <w:szCs w:val="20"/>
        </w:rPr>
        <w:t>se</w:t>
      </w:r>
      <w:r w:rsidR="00FE4819" w:rsidRPr="0073261E">
        <w:rPr>
          <w:rFonts w:cs="Arial"/>
          <w:szCs w:val="20"/>
        </w:rPr>
        <w:t> </w:t>
      </w:r>
      <w:proofErr w:type="spellStart"/>
      <w:r w:rsidR="009A7B08" w:rsidRPr="0073261E">
        <w:rPr>
          <w:rFonts w:cs="Arial"/>
          <w:szCs w:val="20"/>
        </w:rPr>
        <w:t>mezičtvrtletně</w:t>
      </w:r>
      <w:proofErr w:type="spellEnd"/>
      <w:r w:rsidR="009A7B08" w:rsidRPr="0073261E">
        <w:rPr>
          <w:rFonts w:cs="Arial"/>
          <w:szCs w:val="20"/>
        </w:rPr>
        <w:t xml:space="preserve"> zvýšily </w:t>
      </w:r>
      <w:r w:rsidRPr="0073261E">
        <w:rPr>
          <w:rFonts w:cs="Arial"/>
          <w:szCs w:val="20"/>
        </w:rPr>
        <w:t>o </w:t>
      </w:r>
      <w:r w:rsidR="0073261E" w:rsidRPr="0073261E">
        <w:rPr>
          <w:rFonts w:cs="Arial"/>
          <w:szCs w:val="20"/>
        </w:rPr>
        <w:t>0,4</w:t>
      </w:r>
      <w:r w:rsidR="00B61757" w:rsidRPr="0073261E">
        <w:rPr>
          <w:rFonts w:cs="Arial"/>
          <w:szCs w:val="20"/>
        </w:rPr>
        <w:t> </w:t>
      </w:r>
      <w:r w:rsidR="009A7B08" w:rsidRPr="0073261E">
        <w:rPr>
          <w:rFonts w:cs="Arial"/>
          <w:szCs w:val="20"/>
        </w:rPr>
        <w:t>% a </w:t>
      </w:r>
      <w:r w:rsidRPr="0073261E">
        <w:rPr>
          <w:rFonts w:cs="Arial"/>
          <w:szCs w:val="20"/>
        </w:rPr>
        <w:t>mezi</w:t>
      </w:r>
      <w:r w:rsidR="009A7B08" w:rsidRPr="0073261E">
        <w:rPr>
          <w:rFonts w:cs="Arial"/>
          <w:szCs w:val="20"/>
        </w:rPr>
        <w:t>ročně</w:t>
      </w:r>
      <w:r w:rsidRPr="0073261E">
        <w:rPr>
          <w:rFonts w:cs="Arial"/>
          <w:szCs w:val="20"/>
        </w:rPr>
        <w:t xml:space="preserve"> </w:t>
      </w:r>
      <w:r w:rsidR="009A7B08" w:rsidRPr="0073261E">
        <w:rPr>
          <w:rFonts w:cs="Arial"/>
          <w:szCs w:val="20"/>
        </w:rPr>
        <w:t>o </w:t>
      </w:r>
      <w:r w:rsidR="0073261E" w:rsidRPr="0073261E">
        <w:rPr>
          <w:rFonts w:cs="Arial"/>
          <w:szCs w:val="20"/>
        </w:rPr>
        <w:t>1,9</w:t>
      </w:r>
      <w:r w:rsidR="009A7B08" w:rsidRPr="0073261E">
        <w:rPr>
          <w:rFonts w:cs="Arial"/>
          <w:szCs w:val="20"/>
        </w:rPr>
        <w:t> </w:t>
      </w:r>
      <w:r w:rsidR="007B2DBA" w:rsidRPr="0073261E">
        <w:rPr>
          <w:rFonts w:cs="Arial"/>
          <w:szCs w:val="20"/>
        </w:rPr>
        <w:t>%</w:t>
      </w:r>
      <w:r w:rsidR="009A7B08" w:rsidRPr="0073261E">
        <w:rPr>
          <w:rFonts w:cs="Arial"/>
          <w:szCs w:val="20"/>
        </w:rPr>
        <w:t>.</w:t>
      </w:r>
    </w:p>
    <w:p w:rsidR="00D925CF" w:rsidRPr="00E01FC1" w:rsidRDefault="000A0473" w:rsidP="00D925CF">
      <w:pPr>
        <w:spacing w:before="240" w:after="240"/>
        <w:rPr>
          <w:rFonts w:cs="Arial"/>
          <w:szCs w:val="20"/>
        </w:rPr>
      </w:pPr>
      <w:r w:rsidRPr="00E01FC1">
        <w:rPr>
          <w:rFonts w:cs="Arial"/>
          <w:szCs w:val="20"/>
        </w:rPr>
        <w:t xml:space="preserve">Meziroční i mezičtvrtletní </w:t>
      </w:r>
      <w:r w:rsidRPr="00C87C55">
        <w:rPr>
          <w:rFonts w:cs="Arial"/>
          <w:b/>
          <w:szCs w:val="20"/>
        </w:rPr>
        <w:t>růst investiční aktivity</w:t>
      </w:r>
      <w:r w:rsidRPr="00E01FC1">
        <w:rPr>
          <w:rFonts w:cs="Arial"/>
          <w:szCs w:val="20"/>
        </w:rPr>
        <w:t xml:space="preserve"> byl ve 2. čtvrtletí </w:t>
      </w:r>
      <w:r w:rsidR="00E01FC1" w:rsidRPr="00E01FC1">
        <w:rPr>
          <w:rFonts w:cs="Arial"/>
          <w:szCs w:val="20"/>
        </w:rPr>
        <w:t xml:space="preserve">podpořen </w:t>
      </w:r>
      <w:r w:rsidR="00761B80">
        <w:rPr>
          <w:rFonts w:cs="Arial"/>
          <w:szCs w:val="20"/>
        </w:rPr>
        <w:t>investicemi do </w:t>
      </w:r>
      <w:r w:rsidR="00E01FC1" w:rsidRPr="00E01FC1">
        <w:rPr>
          <w:rFonts w:cs="Arial"/>
          <w:szCs w:val="20"/>
        </w:rPr>
        <w:t>všech kategorií aktiv. Rostly investice nejen do dopravních prostředků</w:t>
      </w:r>
      <w:r w:rsidR="00C87C55">
        <w:rPr>
          <w:rFonts w:cs="Arial"/>
          <w:szCs w:val="20"/>
        </w:rPr>
        <w:t xml:space="preserve"> a obydlí</w:t>
      </w:r>
      <w:r w:rsidR="00E01FC1" w:rsidRPr="00E01FC1">
        <w:rPr>
          <w:rFonts w:cs="Arial"/>
          <w:szCs w:val="20"/>
        </w:rPr>
        <w:t xml:space="preserve">, ale velmi silně také do strojů a zařízení, </w:t>
      </w:r>
      <w:r w:rsidR="00C87C55">
        <w:rPr>
          <w:rFonts w:cs="Arial"/>
          <w:szCs w:val="20"/>
        </w:rPr>
        <w:t xml:space="preserve">obnovil se i </w:t>
      </w:r>
      <w:r w:rsidR="00E01FC1" w:rsidRPr="00E01FC1">
        <w:rPr>
          <w:rFonts w:cs="Arial"/>
          <w:szCs w:val="20"/>
        </w:rPr>
        <w:t xml:space="preserve">růst </w:t>
      </w:r>
      <w:r w:rsidR="00C87C55">
        <w:rPr>
          <w:rFonts w:cs="Arial"/>
          <w:szCs w:val="20"/>
        </w:rPr>
        <w:t xml:space="preserve">investičních výdajů </w:t>
      </w:r>
      <w:r w:rsidR="00E01FC1" w:rsidRPr="00E01FC1">
        <w:rPr>
          <w:rFonts w:cs="Arial"/>
          <w:szCs w:val="20"/>
        </w:rPr>
        <w:t xml:space="preserve">do ostatních </w:t>
      </w:r>
      <w:r w:rsidR="00761B80">
        <w:rPr>
          <w:rFonts w:cs="Arial"/>
          <w:szCs w:val="20"/>
        </w:rPr>
        <w:t>budov a </w:t>
      </w:r>
      <w:r w:rsidR="00E01FC1" w:rsidRPr="00E01FC1">
        <w:rPr>
          <w:rFonts w:cs="Arial"/>
          <w:szCs w:val="20"/>
        </w:rPr>
        <w:t xml:space="preserve">staveb. </w:t>
      </w:r>
      <w:r w:rsidR="00C3646A" w:rsidRPr="00E01FC1">
        <w:rPr>
          <w:rFonts w:cs="Arial"/>
          <w:szCs w:val="20"/>
        </w:rPr>
        <w:t>V</w:t>
      </w:r>
      <w:r w:rsidR="00E01FC1" w:rsidRPr="00E01FC1">
        <w:rPr>
          <w:rFonts w:cs="Arial"/>
          <w:szCs w:val="20"/>
        </w:rPr>
        <w:t> </w:t>
      </w:r>
      <w:r w:rsidR="00C3646A" w:rsidRPr="00E01FC1">
        <w:rPr>
          <w:rFonts w:cs="Arial"/>
          <w:szCs w:val="20"/>
        </w:rPr>
        <w:t>m</w:t>
      </w:r>
      <w:r w:rsidR="007B601F" w:rsidRPr="00E01FC1">
        <w:rPr>
          <w:rFonts w:cs="Arial"/>
          <w:szCs w:val="20"/>
        </w:rPr>
        <w:t>ezi</w:t>
      </w:r>
      <w:r w:rsidR="00E01FC1" w:rsidRPr="00E01FC1">
        <w:rPr>
          <w:rFonts w:cs="Arial"/>
          <w:szCs w:val="20"/>
        </w:rPr>
        <w:t xml:space="preserve">čtvrtletním </w:t>
      </w:r>
      <w:r w:rsidR="00C3646A" w:rsidRPr="00E01FC1">
        <w:rPr>
          <w:rFonts w:cs="Arial"/>
          <w:szCs w:val="20"/>
        </w:rPr>
        <w:t>srovnání</w:t>
      </w:r>
      <w:r w:rsidR="00DD3560" w:rsidRPr="00E01FC1">
        <w:rPr>
          <w:rFonts w:cs="Arial"/>
          <w:szCs w:val="20"/>
        </w:rPr>
        <w:t xml:space="preserve"> </w:t>
      </w:r>
      <w:r w:rsidR="00C3646A" w:rsidRPr="00E01FC1">
        <w:rPr>
          <w:rFonts w:cs="Arial"/>
          <w:szCs w:val="20"/>
        </w:rPr>
        <w:t>byl</w:t>
      </w:r>
      <w:r w:rsidR="00E01FC1" w:rsidRPr="00C87C55">
        <w:rPr>
          <w:rFonts w:cs="Arial"/>
          <w:szCs w:val="20"/>
        </w:rPr>
        <w:t xml:space="preserve">a </w:t>
      </w:r>
      <w:r w:rsidR="00C87C55" w:rsidRPr="00C87C55">
        <w:rPr>
          <w:rFonts w:cs="Arial"/>
          <w:szCs w:val="20"/>
        </w:rPr>
        <w:t>tvorba fixního kapitálu</w:t>
      </w:r>
      <w:r w:rsidR="007B2DBA" w:rsidRPr="00E01FC1">
        <w:rPr>
          <w:rFonts w:cs="Arial"/>
          <w:szCs w:val="20"/>
        </w:rPr>
        <w:t xml:space="preserve"> </w:t>
      </w:r>
      <w:r w:rsidR="00C3646A" w:rsidRPr="00E01FC1">
        <w:rPr>
          <w:rFonts w:cs="Arial"/>
          <w:szCs w:val="20"/>
        </w:rPr>
        <w:t xml:space="preserve">o </w:t>
      </w:r>
      <w:r w:rsidR="00E01FC1" w:rsidRPr="00E01FC1">
        <w:rPr>
          <w:rFonts w:cs="Arial"/>
          <w:szCs w:val="20"/>
        </w:rPr>
        <w:t>6,3 % vyšší</w:t>
      </w:r>
      <w:r w:rsidR="00FE4819" w:rsidRPr="00E01FC1">
        <w:rPr>
          <w:rFonts w:cs="Arial"/>
          <w:szCs w:val="20"/>
        </w:rPr>
        <w:t>,</w:t>
      </w:r>
      <w:r w:rsidR="00C3646A" w:rsidRPr="00E01FC1">
        <w:rPr>
          <w:rFonts w:cs="Arial"/>
          <w:szCs w:val="20"/>
        </w:rPr>
        <w:t xml:space="preserve"> </w:t>
      </w:r>
      <w:r w:rsidR="00E01FC1" w:rsidRPr="00E01FC1">
        <w:rPr>
          <w:rFonts w:cs="Arial"/>
          <w:szCs w:val="20"/>
        </w:rPr>
        <w:t>v</w:t>
      </w:r>
      <w:r w:rsidR="00C3646A" w:rsidRPr="00E01FC1">
        <w:rPr>
          <w:rFonts w:cs="Arial"/>
          <w:szCs w:val="20"/>
        </w:rPr>
        <w:t> porovnání s</w:t>
      </w:r>
      <w:r w:rsidR="00C87C55">
        <w:rPr>
          <w:rFonts w:cs="Arial"/>
          <w:szCs w:val="20"/>
        </w:rPr>
        <w:t>e stejným čtvrtletím</w:t>
      </w:r>
      <w:r w:rsidR="00C3646A" w:rsidRPr="00E01FC1">
        <w:rPr>
          <w:rFonts w:cs="Arial"/>
          <w:szCs w:val="20"/>
        </w:rPr>
        <w:t> předchozí</w:t>
      </w:r>
      <w:r w:rsidR="00C87C55">
        <w:rPr>
          <w:rFonts w:cs="Arial"/>
          <w:szCs w:val="20"/>
        </w:rPr>
        <w:t>ho</w:t>
      </w:r>
      <w:r w:rsidR="00C3646A" w:rsidRPr="00E01FC1">
        <w:rPr>
          <w:rFonts w:cs="Arial"/>
          <w:szCs w:val="20"/>
        </w:rPr>
        <w:t xml:space="preserve"> </w:t>
      </w:r>
      <w:r w:rsidR="00C87C55">
        <w:rPr>
          <w:rFonts w:cs="Arial"/>
          <w:szCs w:val="20"/>
        </w:rPr>
        <w:t>roku</w:t>
      </w:r>
      <w:r w:rsidR="00C3646A" w:rsidRPr="00E01FC1">
        <w:rPr>
          <w:rFonts w:cs="Arial"/>
          <w:szCs w:val="20"/>
        </w:rPr>
        <w:t xml:space="preserve"> </w:t>
      </w:r>
      <w:r w:rsidR="00E01FC1" w:rsidRPr="00E01FC1">
        <w:rPr>
          <w:rFonts w:cs="Arial"/>
          <w:szCs w:val="20"/>
        </w:rPr>
        <w:t>vzrostla o 7,7 %.</w:t>
      </w:r>
      <w:r w:rsidR="00C3646A" w:rsidRPr="00E01FC1">
        <w:rPr>
          <w:rFonts w:cs="Arial"/>
          <w:szCs w:val="20"/>
        </w:rPr>
        <w:t xml:space="preserve"> </w:t>
      </w:r>
    </w:p>
    <w:p w:rsidR="00527F54" w:rsidRPr="00B577BC" w:rsidRDefault="00855549" w:rsidP="00D925CF">
      <w:pPr>
        <w:spacing w:before="240" w:after="240"/>
        <w:rPr>
          <w:rFonts w:cs="Arial"/>
          <w:szCs w:val="20"/>
        </w:rPr>
      </w:pPr>
      <w:r w:rsidRPr="00D832B9">
        <w:rPr>
          <w:rFonts w:cs="Arial"/>
          <w:szCs w:val="20"/>
        </w:rPr>
        <w:lastRenderedPageBreak/>
        <w:t>K růstu české ekonomiky přispěl</w:t>
      </w:r>
      <w:r w:rsidR="00956E37">
        <w:rPr>
          <w:rFonts w:cs="Arial"/>
          <w:szCs w:val="20"/>
        </w:rPr>
        <w:t>y</w:t>
      </w:r>
      <w:r w:rsidRPr="00D832B9">
        <w:rPr>
          <w:rFonts w:cs="Arial"/>
          <w:szCs w:val="20"/>
        </w:rPr>
        <w:t xml:space="preserve"> i stabilní výsledky zahraničního obchodu</w:t>
      </w:r>
      <w:r w:rsidR="000A17D1" w:rsidRPr="00D832B9">
        <w:rPr>
          <w:rFonts w:cs="Arial"/>
          <w:szCs w:val="20"/>
        </w:rPr>
        <w:t xml:space="preserve">. </w:t>
      </w:r>
      <w:r w:rsidR="000E5E91">
        <w:rPr>
          <w:rFonts w:cs="Arial"/>
          <w:b/>
          <w:szCs w:val="20"/>
        </w:rPr>
        <w:t>Saldo </w:t>
      </w:r>
      <w:r w:rsidR="00D925CF" w:rsidRPr="00D832B9">
        <w:rPr>
          <w:rFonts w:cs="Arial"/>
          <w:b/>
          <w:szCs w:val="20"/>
        </w:rPr>
        <w:t>zahraničního obchodu</w:t>
      </w:r>
      <w:r w:rsidR="00B31BCB">
        <w:rPr>
          <w:rFonts w:cs="Arial"/>
          <w:b/>
          <w:szCs w:val="20"/>
        </w:rPr>
        <w:t xml:space="preserve"> zboží a služeb</w:t>
      </w:r>
      <w:r w:rsidR="00D925CF" w:rsidRPr="00D832B9">
        <w:rPr>
          <w:rFonts w:cs="Arial"/>
          <w:b/>
          <w:szCs w:val="20"/>
        </w:rPr>
        <w:t xml:space="preserve"> </w:t>
      </w:r>
      <w:r w:rsidR="00D925CF" w:rsidRPr="00D832B9">
        <w:rPr>
          <w:rFonts w:cs="Arial"/>
          <w:szCs w:val="20"/>
        </w:rPr>
        <w:t xml:space="preserve">v běžných cenách </w:t>
      </w:r>
      <w:r w:rsidR="00527F54" w:rsidRPr="00D832B9">
        <w:rPr>
          <w:rFonts w:cs="Arial"/>
          <w:szCs w:val="20"/>
        </w:rPr>
        <w:t>dosáhlo</w:t>
      </w:r>
      <w:r w:rsidR="000A17D1" w:rsidRPr="00D832B9">
        <w:rPr>
          <w:rFonts w:cs="Arial"/>
          <w:szCs w:val="20"/>
        </w:rPr>
        <w:t xml:space="preserve"> </w:t>
      </w:r>
      <w:r w:rsidR="00D925CF" w:rsidRPr="00D832B9">
        <w:rPr>
          <w:rFonts w:cs="Arial"/>
          <w:szCs w:val="20"/>
        </w:rPr>
        <w:t>v</w:t>
      </w:r>
      <w:r w:rsidRPr="00D832B9">
        <w:rPr>
          <w:rFonts w:cs="Arial"/>
          <w:szCs w:val="20"/>
        </w:rPr>
        <w:t>e</w:t>
      </w:r>
      <w:r w:rsidR="00D925CF" w:rsidRPr="00D832B9">
        <w:rPr>
          <w:rFonts w:cs="Arial"/>
          <w:szCs w:val="20"/>
        </w:rPr>
        <w:t> </w:t>
      </w:r>
      <w:r w:rsidRPr="00D832B9">
        <w:rPr>
          <w:rFonts w:cs="Arial"/>
          <w:szCs w:val="20"/>
        </w:rPr>
        <w:t>2</w:t>
      </w:r>
      <w:r w:rsidR="00D925CF" w:rsidRPr="00D832B9">
        <w:rPr>
          <w:rFonts w:cs="Arial"/>
          <w:szCs w:val="20"/>
        </w:rPr>
        <w:t xml:space="preserve">. čtvrtletí </w:t>
      </w:r>
      <w:r w:rsidRPr="00D832B9">
        <w:rPr>
          <w:rFonts w:cs="Arial"/>
          <w:szCs w:val="20"/>
        </w:rPr>
        <w:t>92,9</w:t>
      </w:r>
      <w:r w:rsidR="00B31BCB">
        <w:rPr>
          <w:rFonts w:cs="Arial"/>
          <w:szCs w:val="20"/>
        </w:rPr>
        <w:t> </w:t>
      </w:r>
      <w:r w:rsidR="000A17D1" w:rsidRPr="00D832B9">
        <w:rPr>
          <w:rFonts w:cs="Arial"/>
          <w:szCs w:val="20"/>
        </w:rPr>
        <w:t xml:space="preserve">mld. Kč. </w:t>
      </w:r>
      <w:r w:rsidR="00D925CF" w:rsidRPr="00D832B9">
        <w:rPr>
          <w:rFonts w:cs="Arial"/>
          <w:b/>
          <w:szCs w:val="20"/>
        </w:rPr>
        <w:t>Vývoz</w:t>
      </w:r>
      <w:r w:rsidR="000E5E91">
        <w:rPr>
          <w:rFonts w:cs="Arial"/>
          <w:szCs w:val="20"/>
        </w:rPr>
        <w:t>, </w:t>
      </w:r>
      <w:r w:rsidR="00D925CF" w:rsidRPr="00D832B9">
        <w:rPr>
          <w:rFonts w:cs="Arial"/>
          <w:szCs w:val="20"/>
        </w:rPr>
        <w:t xml:space="preserve">který vzrostl </w:t>
      </w:r>
      <w:r w:rsidR="00CA657E" w:rsidRPr="00D832B9">
        <w:rPr>
          <w:rFonts w:cs="Arial"/>
          <w:szCs w:val="20"/>
        </w:rPr>
        <w:t xml:space="preserve">reálně </w:t>
      </w:r>
      <w:r w:rsidR="00FE4819" w:rsidRPr="00D832B9">
        <w:rPr>
          <w:rFonts w:cs="Arial"/>
          <w:szCs w:val="20"/>
        </w:rPr>
        <w:t xml:space="preserve">meziročně </w:t>
      </w:r>
      <w:r w:rsidR="00D925CF" w:rsidRPr="00D832B9">
        <w:rPr>
          <w:rFonts w:cs="Arial"/>
          <w:szCs w:val="20"/>
        </w:rPr>
        <w:t xml:space="preserve">o </w:t>
      </w:r>
      <w:r w:rsidRPr="00D832B9">
        <w:rPr>
          <w:rFonts w:cs="Arial"/>
          <w:szCs w:val="20"/>
        </w:rPr>
        <w:t>7,3</w:t>
      </w:r>
      <w:r w:rsidR="000A17D1" w:rsidRPr="00D832B9">
        <w:rPr>
          <w:rFonts w:cs="Arial"/>
          <w:szCs w:val="20"/>
        </w:rPr>
        <w:t xml:space="preserve"> %,</w:t>
      </w:r>
      <w:r w:rsidR="00D925CF" w:rsidRPr="00D832B9">
        <w:rPr>
          <w:rFonts w:cs="Arial"/>
          <w:szCs w:val="20"/>
        </w:rPr>
        <w:t xml:space="preserve"> byl </w:t>
      </w:r>
      <w:r w:rsidRPr="00D832B9">
        <w:rPr>
          <w:rFonts w:cs="Arial"/>
          <w:szCs w:val="20"/>
        </w:rPr>
        <w:t xml:space="preserve">tradičně </w:t>
      </w:r>
      <w:r w:rsidR="00D925CF" w:rsidRPr="00D832B9">
        <w:rPr>
          <w:rFonts w:cs="Arial"/>
          <w:szCs w:val="20"/>
        </w:rPr>
        <w:t xml:space="preserve">tažen </w:t>
      </w:r>
      <w:r w:rsidR="006564D1" w:rsidRPr="00D832B9">
        <w:rPr>
          <w:rFonts w:cs="Arial"/>
          <w:szCs w:val="20"/>
        </w:rPr>
        <w:t>obchodem s</w:t>
      </w:r>
      <w:r w:rsidR="00B31BCB">
        <w:rPr>
          <w:rFonts w:cs="Arial"/>
          <w:szCs w:val="20"/>
        </w:rPr>
        <w:t> </w:t>
      </w:r>
      <w:r w:rsidR="00D925CF" w:rsidRPr="00D832B9">
        <w:rPr>
          <w:rFonts w:cs="Arial"/>
          <w:szCs w:val="20"/>
        </w:rPr>
        <w:t>dopravními prostředky</w:t>
      </w:r>
      <w:r w:rsidR="005B5F64" w:rsidRPr="00D832B9">
        <w:rPr>
          <w:rFonts w:cs="Arial"/>
          <w:szCs w:val="20"/>
        </w:rPr>
        <w:t xml:space="preserve">, </w:t>
      </w:r>
      <w:r w:rsidR="00D832B9" w:rsidRPr="00D832B9">
        <w:rPr>
          <w:rFonts w:cs="Arial"/>
          <w:szCs w:val="20"/>
        </w:rPr>
        <w:t xml:space="preserve">ale také například obchodem se </w:t>
      </w:r>
      <w:r w:rsidR="005B5F64" w:rsidRPr="00D832B9">
        <w:rPr>
          <w:rFonts w:cs="Arial"/>
          <w:szCs w:val="20"/>
        </w:rPr>
        <w:t xml:space="preserve">stroji </w:t>
      </w:r>
      <w:r w:rsidR="006564D1" w:rsidRPr="00D832B9">
        <w:rPr>
          <w:rFonts w:cs="Arial"/>
          <w:szCs w:val="20"/>
        </w:rPr>
        <w:t>a</w:t>
      </w:r>
      <w:r w:rsidR="005B5F64" w:rsidRPr="00D832B9">
        <w:rPr>
          <w:rFonts w:cs="Arial"/>
          <w:szCs w:val="20"/>
        </w:rPr>
        <w:t> </w:t>
      </w:r>
      <w:r w:rsidR="00D925CF" w:rsidRPr="00D832B9">
        <w:rPr>
          <w:rFonts w:cs="Arial"/>
          <w:szCs w:val="20"/>
        </w:rPr>
        <w:t xml:space="preserve">elektrickými </w:t>
      </w:r>
      <w:r w:rsidR="005B5F64" w:rsidRPr="00D832B9">
        <w:rPr>
          <w:rFonts w:cs="Arial"/>
          <w:szCs w:val="20"/>
        </w:rPr>
        <w:t>zařízeními</w:t>
      </w:r>
      <w:r w:rsidR="00D925CF" w:rsidRPr="00D832B9">
        <w:rPr>
          <w:rFonts w:cs="Arial"/>
          <w:szCs w:val="20"/>
        </w:rPr>
        <w:t xml:space="preserve">. </w:t>
      </w:r>
      <w:r w:rsidR="00D925CF" w:rsidRPr="00B577BC">
        <w:rPr>
          <w:rFonts w:cs="Arial"/>
          <w:szCs w:val="20"/>
        </w:rPr>
        <w:t>Na</w:t>
      </w:r>
      <w:r w:rsidR="00B31BCB">
        <w:rPr>
          <w:rFonts w:cs="Arial"/>
          <w:szCs w:val="20"/>
        </w:rPr>
        <w:t> </w:t>
      </w:r>
      <w:r w:rsidR="00D925CF" w:rsidRPr="00B577BC">
        <w:rPr>
          <w:rFonts w:cs="Arial"/>
          <w:szCs w:val="20"/>
        </w:rPr>
        <w:t xml:space="preserve">růstu </w:t>
      </w:r>
      <w:r w:rsidR="00D925CF" w:rsidRPr="00B577BC">
        <w:rPr>
          <w:rFonts w:cs="Arial"/>
          <w:b/>
          <w:szCs w:val="20"/>
        </w:rPr>
        <w:t>dovozu</w:t>
      </w:r>
      <w:r w:rsidR="00183B83">
        <w:rPr>
          <w:rFonts w:cs="Arial"/>
          <w:szCs w:val="20"/>
        </w:rPr>
        <w:t xml:space="preserve"> o </w:t>
      </w:r>
      <w:r w:rsidR="00B577BC" w:rsidRPr="00B577BC">
        <w:rPr>
          <w:rFonts w:cs="Arial"/>
          <w:szCs w:val="20"/>
        </w:rPr>
        <w:t>6,2</w:t>
      </w:r>
      <w:r w:rsidR="00D925CF" w:rsidRPr="00B577BC">
        <w:rPr>
          <w:rFonts w:cs="Arial"/>
          <w:szCs w:val="20"/>
        </w:rPr>
        <w:t xml:space="preserve"> % se významně podílely </w:t>
      </w:r>
      <w:r w:rsidR="00B577BC" w:rsidRPr="00B577BC">
        <w:rPr>
          <w:rFonts w:cs="Arial"/>
          <w:szCs w:val="20"/>
        </w:rPr>
        <w:t xml:space="preserve">například </w:t>
      </w:r>
      <w:r w:rsidR="00D925CF" w:rsidRPr="00B577BC">
        <w:rPr>
          <w:rFonts w:cs="Arial"/>
          <w:szCs w:val="20"/>
        </w:rPr>
        <w:t>subdodávky pro automobilový průmysl</w:t>
      </w:r>
      <w:r w:rsidR="005B5F64" w:rsidRPr="00B577BC">
        <w:rPr>
          <w:rFonts w:cs="Arial"/>
          <w:szCs w:val="20"/>
        </w:rPr>
        <w:t>,</w:t>
      </w:r>
      <w:r w:rsidR="00D925CF" w:rsidRPr="00B577BC">
        <w:rPr>
          <w:rFonts w:cs="Arial"/>
          <w:szCs w:val="20"/>
        </w:rPr>
        <w:t xml:space="preserve"> výrobu elektrických zařízení</w:t>
      </w:r>
      <w:r w:rsidR="005B5F64" w:rsidRPr="00B577BC">
        <w:rPr>
          <w:rFonts w:cs="Arial"/>
          <w:szCs w:val="20"/>
        </w:rPr>
        <w:t xml:space="preserve"> a obchod se základními kovy</w:t>
      </w:r>
      <w:r w:rsidR="00D925CF" w:rsidRPr="00B577BC">
        <w:rPr>
          <w:rFonts w:cs="Arial"/>
          <w:szCs w:val="20"/>
        </w:rPr>
        <w:t xml:space="preserve">. </w:t>
      </w:r>
    </w:p>
    <w:p w:rsidR="00D925CF" w:rsidRPr="00B96475" w:rsidRDefault="00527F54" w:rsidP="00D925CF">
      <w:pPr>
        <w:spacing w:before="240" w:after="240"/>
        <w:rPr>
          <w:rFonts w:cs="Arial"/>
          <w:szCs w:val="20"/>
        </w:rPr>
      </w:pPr>
      <w:r w:rsidRPr="00B96475">
        <w:rPr>
          <w:rFonts w:cs="Arial"/>
          <w:szCs w:val="20"/>
        </w:rPr>
        <w:t>Z hlediska cenového vývoje v</w:t>
      </w:r>
      <w:r w:rsidR="00B96475" w:rsidRPr="00B96475">
        <w:rPr>
          <w:rFonts w:cs="Arial"/>
          <w:szCs w:val="20"/>
        </w:rPr>
        <w:t>e</w:t>
      </w:r>
      <w:r w:rsidRPr="00B96475">
        <w:rPr>
          <w:rFonts w:cs="Arial"/>
          <w:szCs w:val="20"/>
        </w:rPr>
        <w:t> </w:t>
      </w:r>
      <w:r w:rsidR="00B96475" w:rsidRPr="00B96475">
        <w:rPr>
          <w:rFonts w:cs="Arial"/>
          <w:szCs w:val="20"/>
        </w:rPr>
        <w:t>2</w:t>
      </w:r>
      <w:r w:rsidRPr="00B96475">
        <w:rPr>
          <w:rFonts w:cs="Arial"/>
          <w:szCs w:val="20"/>
        </w:rPr>
        <w:t xml:space="preserve">. čtvrtletí dosáhl meziroční deflátor výdajů na konečnou spotřebu domácností </w:t>
      </w:r>
      <w:r w:rsidR="000E72B2" w:rsidRPr="00B96475">
        <w:rPr>
          <w:rFonts w:cs="Arial"/>
          <w:szCs w:val="20"/>
        </w:rPr>
        <w:t>2,</w:t>
      </w:r>
      <w:r w:rsidR="00B96475" w:rsidRPr="00B96475">
        <w:rPr>
          <w:rFonts w:cs="Arial"/>
          <w:szCs w:val="20"/>
        </w:rPr>
        <w:t>4</w:t>
      </w:r>
      <w:r w:rsidR="000E72B2" w:rsidRPr="00B96475">
        <w:rPr>
          <w:rFonts w:cs="Arial"/>
          <w:szCs w:val="20"/>
        </w:rPr>
        <w:t> </w:t>
      </w:r>
      <w:r w:rsidRPr="00B96475">
        <w:rPr>
          <w:rFonts w:cs="Arial"/>
          <w:szCs w:val="20"/>
        </w:rPr>
        <w:t>% a deflátor tvorby kapitálu 1,</w:t>
      </w:r>
      <w:r w:rsidR="00B96475" w:rsidRPr="00B96475">
        <w:rPr>
          <w:rFonts w:cs="Arial"/>
          <w:szCs w:val="20"/>
        </w:rPr>
        <w:t>6</w:t>
      </w:r>
      <w:r w:rsidRPr="00B96475">
        <w:rPr>
          <w:rFonts w:cs="Arial"/>
          <w:szCs w:val="20"/>
        </w:rPr>
        <w:t xml:space="preserve"> %. </w:t>
      </w:r>
      <w:r w:rsidR="00B31BCB">
        <w:rPr>
          <w:rFonts w:cs="Arial"/>
          <w:szCs w:val="20"/>
        </w:rPr>
        <w:t xml:space="preserve">Celkový deflátor HDP, který činil 1,0 %, </w:t>
      </w:r>
      <w:r w:rsidR="00D749B9">
        <w:rPr>
          <w:rFonts w:cs="Arial"/>
          <w:szCs w:val="20"/>
        </w:rPr>
        <w:t>byl snižován rychlejším růstem cen dovozu před cenami vývozu.</w:t>
      </w:r>
    </w:p>
    <w:p w:rsidR="00D925CF" w:rsidRPr="00315471" w:rsidRDefault="005B5F64" w:rsidP="00D925CF">
      <w:pPr>
        <w:spacing w:before="240" w:after="240"/>
        <w:rPr>
          <w:rFonts w:cs="Arial"/>
          <w:szCs w:val="20"/>
        </w:rPr>
      </w:pPr>
      <w:r w:rsidRPr="00315471">
        <w:t xml:space="preserve">Růst české ekonomiky byl i nadále provázen růstem zaměstnanosti. </w:t>
      </w:r>
      <w:r w:rsidR="00C013F6">
        <w:rPr>
          <w:b/>
          <w:bCs/>
        </w:rPr>
        <w:t>Celková z</w:t>
      </w:r>
      <w:r w:rsidRPr="00315471">
        <w:rPr>
          <w:b/>
          <w:bCs/>
        </w:rPr>
        <w:t>aměstnanost</w:t>
      </w:r>
      <w:r w:rsidRPr="00315471">
        <w:rPr>
          <w:rStyle w:val="Znakapoznpodarou"/>
        </w:rPr>
        <w:footnoteReference w:id="4"/>
      </w:r>
      <w:r w:rsidRPr="00315471">
        <w:t xml:space="preserve"> </w:t>
      </w:r>
      <w:r w:rsidR="00320D71" w:rsidRPr="00315471">
        <w:t xml:space="preserve">byla </w:t>
      </w:r>
      <w:r w:rsidR="00C013F6" w:rsidRPr="00C013F6">
        <w:rPr>
          <w:b/>
        </w:rPr>
        <w:t xml:space="preserve">oproti předchozímu čtvrtletí </w:t>
      </w:r>
      <w:r w:rsidRPr="00315471">
        <w:rPr>
          <w:b/>
        </w:rPr>
        <w:t>o 0,</w:t>
      </w:r>
      <w:r w:rsidR="00C013F6">
        <w:rPr>
          <w:b/>
        </w:rPr>
        <w:t>4</w:t>
      </w:r>
      <w:r w:rsidRPr="00315471">
        <w:rPr>
          <w:b/>
        </w:rPr>
        <w:t xml:space="preserve"> % vyšší</w:t>
      </w:r>
      <w:r w:rsidR="00165C18">
        <w:rPr>
          <w:b/>
        </w:rPr>
        <w:t>,</w:t>
      </w:r>
      <w:r w:rsidRPr="00C013F6">
        <w:rPr>
          <w:b/>
        </w:rPr>
        <w:t xml:space="preserve"> </w:t>
      </w:r>
      <w:r w:rsidR="00C013F6" w:rsidRPr="00C013F6">
        <w:rPr>
          <w:b/>
        </w:rPr>
        <w:t>meziročně</w:t>
      </w:r>
      <w:r w:rsidRPr="00315471">
        <w:t xml:space="preserve"> </w:t>
      </w:r>
      <w:r w:rsidRPr="00315471">
        <w:rPr>
          <w:b/>
        </w:rPr>
        <w:t>vzrostla o 1,</w:t>
      </w:r>
      <w:r w:rsidR="00315471" w:rsidRPr="00315471">
        <w:rPr>
          <w:b/>
        </w:rPr>
        <w:t>3</w:t>
      </w:r>
      <w:r w:rsidRPr="00315471">
        <w:rPr>
          <w:b/>
        </w:rPr>
        <w:t> %</w:t>
      </w:r>
      <w:r w:rsidRPr="00315471">
        <w:t xml:space="preserve">. </w:t>
      </w:r>
      <w:r w:rsidR="00C013F6">
        <w:t xml:space="preserve">Vývoj na trhu práce tak </w:t>
      </w:r>
      <w:r w:rsidR="00AF0AAD">
        <w:t>i nadále</w:t>
      </w:r>
      <w:r w:rsidR="00165C18">
        <w:t xml:space="preserve"> </w:t>
      </w:r>
      <w:r w:rsidR="00C013F6">
        <w:t xml:space="preserve">kopíroval </w:t>
      </w:r>
      <w:r w:rsidR="00A80589">
        <w:t>růst</w:t>
      </w:r>
      <w:r w:rsidR="00C013F6">
        <w:t xml:space="preserve"> výkonnosti české ekonomiky.</w:t>
      </w:r>
    </w:p>
    <w:p w:rsidR="008538A7" w:rsidRPr="00315471" w:rsidRDefault="008538A7" w:rsidP="007E408F">
      <w:pPr>
        <w:pStyle w:val="Poznmky"/>
        <w:tabs>
          <w:tab w:val="left" w:pos="284"/>
        </w:tabs>
        <w:spacing w:before="1800"/>
        <w:ind w:left="4253" w:hanging="4321"/>
        <w:rPr>
          <w:i/>
        </w:rPr>
      </w:pPr>
      <w:r w:rsidRPr="00315471">
        <w:rPr>
          <w:i/>
        </w:rPr>
        <w:t>Zodpovědný vedoucí pracovník:</w:t>
      </w:r>
      <w:r w:rsidRPr="00315471">
        <w:rPr>
          <w:i/>
        </w:rPr>
        <w:tab/>
        <w:t xml:space="preserve">Vladimír </w:t>
      </w:r>
      <w:proofErr w:type="spellStart"/>
      <w:r w:rsidRPr="00315471">
        <w:rPr>
          <w:i/>
        </w:rPr>
        <w:t>Kermiet</w:t>
      </w:r>
      <w:proofErr w:type="spellEnd"/>
      <w:r w:rsidRPr="00315471">
        <w:rPr>
          <w:i/>
        </w:rPr>
        <w:t>, ředitel Odboru národních účtů, tel. 274 054 247, e</w:t>
      </w:r>
      <w:r w:rsidRPr="00315471">
        <w:rPr>
          <w:i/>
        </w:rPr>
        <w:noBreakHyphen/>
        <w:t>mail: </w:t>
      </w:r>
      <w:hyperlink r:id="rId8" w:history="1">
        <w:r w:rsidRPr="00315471">
          <w:rPr>
            <w:rStyle w:val="Hypertextovodkaz"/>
            <w:i/>
          </w:rPr>
          <w:t>vladimir.kermiet@czso.cz</w:t>
        </w:r>
      </w:hyperlink>
      <w:r w:rsidRPr="00315471">
        <w:rPr>
          <w:i/>
        </w:rPr>
        <w:t xml:space="preserve"> </w:t>
      </w:r>
    </w:p>
    <w:p w:rsidR="008538A7" w:rsidRPr="00315471" w:rsidRDefault="008538A7" w:rsidP="00C4228D">
      <w:pPr>
        <w:pStyle w:val="Poznamkytexty"/>
        <w:spacing w:before="120"/>
        <w:ind w:left="4253" w:hanging="4253"/>
        <w:jc w:val="left"/>
      </w:pPr>
      <w:r w:rsidRPr="00315471">
        <w:t>Kontaktní osoba:</w:t>
      </w:r>
      <w:r w:rsidRPr="00315471">
        <w:tab/>
        <w:t>Tereza Košťáková, tel. 274 052 750, e</w:t>
      </w:r>
      <w:r w:rsidRPr="00315471">
        <w:noBreakHyphen/>
        <w:t>mail: </w:t>
      </w:r>
      <w:hyperlink r:id="rId9" w:history="1">
        <w:r w:rsidRPr="00315471">
          <w:rPr>
            <w:rStyle w:val="Hypertextovodkaz"/>
          </w:rPr>
          <w:t>tereza.kostakova@czso.cz</w:t>
        </w:r>
      </w:hyperlink>
      <w:r w:rsidRPr="00315471">
        <w:t xml:space="preserve"> </w:t>
      </w:r>
    </w:p>
    <w:p w:rsidR="008538A7" w:rsidRPr="00C013F6" w:rsidRDefault="008538A7" w:rsidP="00C4228D">
      <w:pPr>
        <w:pStyle w:val="Poznamkytexty"/>
        <w:spacing w:before="120"/>
        <w:ind w:left="4253" w:hanging="4253"/>
      </w:pPr>
      <w:r w:rsidRPr="00C013F6">
        <w:t>Aktuálnost použitých datových zdrojů:</w:t>
      </w:r>
      <w:r w:rsidRPr="00C013F6">
        <w:tab/>
      </w:r>
      <w:r w:rsidR="00362E4F" w:rsidRPr="00C013F6">
        <w:t>2</w:t>
      </w:r>
      <w:r w:rsidR="00C013F6" w:rsidRPr="00C013F6">
        <w:t>5</w:t>
      </w:r>
      <w:r w:rsidRPr="00C013F6">
        <w:t>.</w:t>
      </w:r>
      <w:r w:rsidR="00792F46" w:rsidRPr="00C013F6">
        <w:t xml:space="preserve"> </w:t>
      </w:r>
      <w:r w:rsidR="00315471" w:rsidRPr="00C013F6">
        <w:t>srpna</w:t>
      </w:r>
      <w:r w:rsidRPr="00C013F6">
        <w:t xml:space="preserve"> 201</w:t>
      </w:r>
      <w:r w:rsidR="005B5F64" w:rsidRPr="00C013F6">
        <w:t>7</w:t>
      </w:r>
    </w:p>
    <w:p w:rsidR="00A87D94" w:rsidRPr="00315471" w:rsidRDefault="00A87D94" w:rsidP="00C4228D">
      <w:pPr>
        <w:pStyle w:val="Poznamkytexty"/>
        <w:spacing w:before="120"/>
        <w:ind w:left="4253" w:hanging="4253"/>
      </w:pPr>
      <w:r w:rsidRPr="00315471">
        <w:t>Časové řady</w:t>
      </w:r>
      <w:r w:rsidR="008538A7" w:rsidRPr="00315471">
        <w:t>:</w:t>
      </w:r>
      <w:r w:rsidR="008538A7" w:rsidRPr="00315471">
        <w:tab/>
      </w:r>
      <w:hyperlink r:id="rId10" w:history="1">
        <w:r w:rsidR="00A047C8" w:rsidRPr="00315471">
          <w:rPr>
            <w:rStyle w:val="Hypertextovodkaz"/>
          </w:rPr>
          <w:t>https://www.czso.cz/csu/czso/hdp_cr</w:t>
        </w:r>
      </w:hyperlink>
      <w:r w:rsidR="00A047C8" w:rsidRPr="00315471">
        <w:t xml:space="preserve"> </w:t>
      </w:r>
    </w:p>
    <w:p w:rsidR="00A87D94" w:rsidRPr="00315471" w:rsidRDefault="00A87D94" w:rsidP="00C4228D">
      <w:pPr>
        <w:pStyle w:val="Poznamkytexty"/>
        <w:spacing w:before="120"/>
        <w:ind w:left="4253" w:hanging="4253"/>
        <w:jc w:val="left"/>
      </w:pPr>
      <w:r w:rsidRPr="00315471">
        <w:t>Internetové stránky RI:</w:t>
      </w:r>
      <w:r w:rsidRPr="00315471">
        <w:tab/>
      </w:r>
      <w:hyperlink r:id="rId11" w:history="1">
        <w:r w:rsidRPr="00315471">
          <w:rPr>
            <w:rStyle w:val="Hypertextovodkaz"/>
            <w:iCs/>
          </w:rPr>
          <w:t>https://www.czso.cz/csu/czso/ctvrtletni-narodni-ucty-tvorba-a-uziti-hdp-a-predbezny-odhad-hdp</w:t>
        </w:r>
      </w:hyperlink>
    </w:p>
    <w:p w:rsidR="008538A7" w:rsidRDefault="008538A7" w:rsidP="00C4228D">
      <w:pPr>
        <w:pStyle w:val="Poznamkytexty"/>
        <w:spacing w:before="120"/>
        <w:ind w:left="4253" w:hanging="4253"/>
        <w:jc w:val="left"/>
      </w:pPr>
      <w:r w:rsidRPr="00315471">
        <w:t>Termín zveřejnění další RI:</w:t>
      </w:r>
      <w:r w:rsidRPr="00315471">
        <w:tab/>
      </w:r>
      <w:r w:rsidR="00792F46" w:rsidRPr="00315471">
        <w:t>1</w:t>
      </w:r>
      <w:r w:rsidR="00315471" w:rsidRPr="00315471">
        <w:t>4</w:t>
      </w:r>
      <w:r w:rsidR="00792F46" w:rsidRPr="00315471">
        <w:t>.</w:t>
      </w:r>
      <w:r w:rsidR="009B09C9" w:rsidRPr="00315471">
        <w:t xml:space="preserve"> </w:t>
      </w:r>
      <w:r w:rsidR="00315471" w:rsidRPr="00315471">
        <w:t>listopadu</w:t>
      </w:r>
      <w:r w:rsidRPr="00315471">
        <w:t xml:space="preserve"> 201</w:t>
      </w:r>
      <w:r w:rsidR="001D69E5" w:rsidRPr="00315471">
        <w:t>7</w:t>
      </w:r>
      <w:r w:rsidRPr="00315471">
        <w:t xml:space="preserve"> </w:t>
      </w:r>
      <w:r w:rsidRPr="00315471">
        <w:br/>
        <w:t>(</w:t>
      </w:r>
      <w:r w:rsidR="008E3A49" w:rsidRPr="00315471">
        <w:t>Předběžný odhad HDP</w:t>
      </w:r>
      <w:r w:rsidRPr="00315471">
        <w:t xml:space="preserve"> za </w:t>
      </w:r>
      <w:r w:rsidR="00315471" w:rsidRPr="00315471">
        <w:t>3</w:t>
      </w:r>
      <w:r w:rsidRPr="00315471">
        <w:t>. čtvrtletí 201</w:t>
      </w:r>
      <w:r w:rsidR="001D69E5" w:rsidRPr="00315471">
        <w:t>7</w:t>
      </w:r>
      <w:r w:rsidRPr="00315471">
        <w:t>)</w:t>
      </w:r>
    </w:p>
    <w:p w:rsidR="00D209A7" w:rsidRPr="008538A7" w:rsidRDefault="00D209A7" w:rsidP="008538A7"/>
    <w:sectPr w:rsidR="00D209A7" w:rsidRPr="008538A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CB" w:rsidRDefault="00B31BCB" w:rsidP="00BA6370">
      <w:r>
        <w:separator/>
      </w:r>
    </w:p>
  </w:endnote>
  <w:endnote w:type="continuationSeparator" w:id="0">
    <w:p w:rsidR="00B31BCB" w:rsidRDefault="00B31BC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CB" w:rsidRDefault="00B31BC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BCB" w:rsidRPr="001404AB" w:rsidRDefault="00B31BCB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B31BCB" w:rsidRPr="00A81EB3" w:rsidRDefault="00B31BCB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C074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B31BCB" w:rsidRPr="001404AB" w:rsidRDefault="00B31BCB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B31BCB" w:rsidRPr="00A81EB3" w:rsidRDefault="00B31BCB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C074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CB" w:rsidRDefault="00B31BCB" w:rsidP="00BA6370">
      <w:r>
        <w:separator/>
      </w:r>
    </w:p>
  </w:footnote>
  <w:footnote w:type="continuationSeparator" w:id="0">
    <w:p w:rsidR="00B31BCB" w:rsidRDefault="00B31BCB" w:rsidP="00BA6370">
      <w:r>
        <w:continuationSeparator/>
      </w:r>
    </w:p>
  </w:footnote>
  <w:footnote w:id="1">
    <w:p w:rsidR="00B31BCB" w:rsidRPr="00652020" w:rsidRDefault="00B31BCB" w:rsidP="00D925CF">
      <w:pPr>
        <w:pStyle w:val="Textpoznpodarou"/>
        <w:spacing w:after="60"/>
        <w:jc w:val="both"/>
        <w:rPr>
          <w:rFonts w:ascii="Arial" w:hAnsi="Arial" w:cs="Arial"/>
          <w:i/>
        </w:rPr>
      </w:pPr>
      <w:r w:rsidRPr="00652020">
        <w:rPr>
          <w:rStyle w:val="Znakapoznpodarou"/>
          <w:rFonts w:ascii="Arial" w:hAnsi="Arial" w:cs="Arial"/>
          <w:i/>
        </w:rPr>
        <w:footnoteRef/>
      </w:r>
      <w:r w:rsidRPr="00652020">
        <w:rPr>
          <w:rFonts w:ascii="Arial" w:hAnsi="Arial" w:cs="Arial"/>
          <w:i/>
        </w:rPr>
        <w:t xml:space="preserve"> </w:t>
      </w:r>
      <w:r w:rsidRPr="00652020">
        <w:rPr>
          <w:rFonts w:ascii="Arial" w:hAnsi="Arial" w:cs="Arial"/>
          <w:i/>
          <w:sz w:val="18"/>
          <w:szCs w:val="18"/>
        </w:rPr>
        <w:t>Pokud není uvedeno jinak, jsou všechny uváděné údaje očištěny o změny cen, sezónní vlivy a nestejný počet pracovních dnů</w:t>
      </w:r>
      <w:r>
        <w:rPr>
          <w:rFonts w:ascii="Arial" w:hAnsi="Arial" w:cs="Arial"/>
          <w:i/>
          <w:sz w:val="18"/>
          <w:szCs w:val="18"/>
        </w:rPr>
        <w:t xml:space="preserve">. 2. čtvrtletí 2017 mělo meziročně i </w:t>
      </w:r>
      <w:proofErr w:type="spellStart"/>
      <w:r>
        <w:rPr>
          <w:rFonts w:ascii="Arial" w:hAnsi="Arial" w:cs="Arial"/>
          <w:i/>
          <w:sz w:val="18"/>
          <w:szCs w:val="18"/>
        </w:rPr>
        <w:t>mezičtvrtletně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 4 pracovní dny méně.</w:t>
      </w:r>
    </w:p>
  </w:footnote>
  <w:footnote w:id="2">
    <w:p w:rsidR="00B31BCB" w:rsidRPr="00447037" w:rsidRDefault="00B31BCB" w:rsidP="00AC074A">
      <w:pPr>
        <w:pStyle w:val="Textpoznpodarou"/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447037">
        <w:rPr>
          <w:rStyle w:val="Znakapoznpodarou"/>
          <w:rFonts w:ascii="Arial" w:hAnsi="Arial" w:cs="Arial"/>
          <w:i/>
        </w:rPr>
        <w:footnoteRef/>
      </w:r>
      <w:r w:rsidRPr="00447037">
        <w:rPr>
          <w:rStyle w:val="Znakapoznpodarou"/>
          <w:rFonts w:ascii="Arial" w:hAnsi="Arial" w:cs="Arial"/>
          <w:i/>
        </w:rPr>
        <w:t xml:space="preserve"> </w:t>
      </w:r>
      <w:r w:rsidRPr="00447037">
        <w:rPr>
          <w:rFonts w:ascii="Arial" w:hAnsi="Arial" w:cs="Arial"/>
          <w:i/>
          <w:sz w:val="18"/>
          <w:szCs w:val="18"/>
        </w:rPr>
        <w:t xml:space="preserve">Měřená </w:t>
      </w:r>
      <w:r>
        <w:rPr>
          <w:rFonts w:ascii="Arial" w:hAnsi="Arial" w:cs="Arial"/>
          <w:i/>
          <w:sz w:val="18"/>
          <w:szCs w:val="18"/>
        </w:rPr>
        <w:t xml:space="preserve">tvorbou hrubého fixního kapitálu. </w:t>
      </w:r>
    </w:p>
  </w:footnote>
  <w:footnote w:id="3">
    <w:p w:rsidR="00B31BCB" w:rsidRPr="00403FFD" w:rsidRDefault="00B31BCB" w:rsidP="009D458B">
      <w:pPr>
        <w:pStyle w:val="Textpoznpodarou"/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 w:rsidRPr="00403FFD">
        <w:rPr>
          <w:rFonts w:ascii="Arial" w:hAnsi="Arial" w:cs="Arial"/>
          <w:i/>
          <w:sz w:val="18"/>
          <w:szCs w:val="18"/>
        </w:rPr>
        <w:t xml:space="preserve">Příspěvky k růstu </w:t>
      </w:r>
      <w:r>
        <w:rPr>
          <w:rFonts w:ascii="Arial" w:hAnsi="Arial" w:cs="Arial"/>
          <w:i/>
          <w:sz w:val="18"/>
          <w:szCs w:val="18"/>
        </w:rPr>
        <w:t xml:space="preserve">HDP </w:t>
      </w:r>
      <w:r w:rsidRPr="00403FFD">
        <w:rPr>
          <w:rFonts w:ascii="Arial" w:hAnsi="Arial" w:cs="Arial"/>
          <w:i/>
          <w:sz w:val="18"/>
          <w:szCs w:val="18"/>
        </w:rPr>
        <w:t xml:space="preserve">po vyloučení dovozu </w:t>
      </w:r>
      <w:r>
        <w:rPr>
          <w:rFonts w:ascii="Arial" w:hAnsi="Arial" w:cs="Arial"/>
          <w:i/>
          <w:sz w:val="18"/>
          <w:szCs w:val="18"/>
        </w:rPr>
        <w:t>pro konečné užití.</w:t>
      </w:r>
    </w:p>
  </w:footnote>
  <w:footnote w:id="4">
    <w:p w:rsidR="00B31BCB" w:rsidRPr="00943006" w:rsidRDefault="00B31BCB" w:rsidP="005B5F64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CB" w:rsidRDefault="00B31BC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8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5D"/>
    <w:rsid w:val="00000F72"/>
    <w:rsid w:val="00003763"/>
    <w:rsid w:val="0000380C"/>
    <w:rsid w:val="00003854"/>
    <w:rsid w:val="00010369"/>
    <w:rsid w:val="00017CD4"/>
    <w:rsid w:val="00021739"/>
    <w:rsid w:val="00032A08"/>
    <w:rsid w:val="00035FBC"/>
    <w:rsid w:val="00041A65"/>
    <w:rsid w:val="00042746"/>
    <w:rsid w:val="00043BF4"/>
    <w:rsid w:val="00051B69"/>
    <w:rsid w:val="000570D9"/>
    <w:rsid w:val="00076BF6"/>
    <w:rsid w:val="000776D9"/>
    <w:rsid w:val="00077942"/>
    <w:rsid w:val="00080DEF"/>
    <w:rsid w:val="00082070"/>
    <w:rsid w:val="000843A5"/>
    <w:rsid w:val="00086D19"/>
    <w:rsid w:val="000910DA"/>
    <w:rsid w:val="00096D6C"/>
    <w:rsid w:val="00096F6C"/>
    <w:rsid w:val="000A044B"/>
    <w:rsid w:val="000A0473"/>
    <w:rsid w:val="000A17D1"/>
    <w:rsid w:val="000A3205"/>
    <w:rsid w:val="000A5F4E"/>
    <w:rsid w:val="000B1377"/>
    <w:rsid w:val="000B5149"/>
    <w:rsid w:val="000B5B06"/>
    <w:rsid w:val="000B6F63"/>
    <w:rsid w:val="000C17DA"/>
    <w:rsid w:val="000C2D34"/>
    <w:rsid w:val="000C7AD0"/>
    <w:rsid w:val="000D093F"/>
    <w:rsid w:val="000D0C0A"/>
    <w:rsid w:val="000D3834"/>
    <w:rsid w:val="000D5993"/>
    <w:rsid w:val="000D7B80"/>
    <w:rsid w:val="000E416D"/>
    <w:rsid w:val="000E43CC"/>
    <w:rsid w:val="000E5E91"/>
    <w:rsid w:val="000E72B2"/>
    <w:rsid w:val="000F4CDF"/>
    <w:rsid w:val="000F5205"/>
    <w:rsid w:val="00101F6A"/>
    <w:rsid w:val="0010551E"/>
    <w:rsid w:val="001144B1"/>
    <w:rsid w:val="001147B7"/>
    <w:rsid w:val="001150BB"/>
    <w:rsid w:val="001156D8"/>
    <w:rsid w:val="00125D5C"/>
    <w:rsid w:val="001404AB"/>
    <w:rsid w:val="00143506"/>
    <w:rsid w:val="00152D00"/>
    <w:rsid w:val="00155705"/>
    <w:rsid w:val="0015703D"/>
    <w:rsid w:val="00157EBD"/>
    <w:rsid w:val="00165C18"/>
    <w:rsid w:val="0017231D"/>
    <w:rsid w:val="0017663F"/>
    <w:rsid w:val="001801DB"/>
    <w:rsid w:val="001810DC"/>
    <w:rsid w:val="00183B83"/>
    <w:rsid w:val="0018725C"/>
    <w:rsid w:val="001900EE"/>
    <w:rsid w:val="0019151D"/>
    <w:rsid w:val="00192A6E"/>
    <w:rsid w:val="00195E86"/>
    <w:rsid w:val="00196C86"/>
    <w:rsid w:val="00197652"/>
    <w:rsid w:val="001A3870"/>
    <w:rsid w:val="001A4F7D"/>
    <w:rsid w:val="001A6D9B"/>
    <w:rsid w:val="001B5892"/>
    <w:rsid w:val="001B607F"/>
    <w:rsid w:val="001C5A6B"/>
    <w:rsid w:val="001D04FD"/>
    <w:rsid w:val="001D2D62"/>
    <w:rsid w:val="001D2FBA"/>
    <w:rsid w:val="001D369A"/>
    <w:rsid w:val="001D39B2"/>
    <w:rsid w:val="001D69E5"/>
    <w:rsid w:val="001E0AE1"/>
    <w:rsid w:val="001E4252"/>
    <w:rsid w:val="001E6CA7"/>
    <w:rsid w:val="001F08B3"/>
    <w:rsid w:val="001F2BDB"/>
    <w:rsid w:val="001F2FE0"/>
    <w:rsid w:val="001F6ACF"/>
    <w:rsid w:val="00200854"/>
    <w:rsid w:val="002054BA"/>
    <w:rsid w:val="002070FB"/>
    <w:rsid w:val="00207BF7"/>
    <w:rsid w:val="002136BC"/>
    <w:rsid w:val="00213729"/>
    <w:rsid w:val="00224044"/>
    <w:rsid w:val="00232221"/>
    <w:rsid w:val="0023410D"/>
    <w:rsid w:val="00237E84"/>
    <w:rsid w:val="002403F7"/>
    <w:rsid w:val="002406FA"/>
    <w:rsid w:val="00241331"/>
    <w:rsid w:val="002428F1"/>
    <w:rsid w:val="00260174"/>
    <w:rsid w:val="0026107B"/>
    <w:rsid w:val="00271FB0"/>
    <w:rsid w:val="002733BF"/>
    <w:rsid w:val="00297D4D"/>
    <w:rsid w:val="002A6804"/>
    <w:rsid w:val="002B1ECB"/>
    <w:rsid w:val="002B2E47"/>
    <w:rsid w:val="002B3869"/>
    <w:rsid w:val="002C50DE"/>
    <w:rsid w:val="002C5CD1"/>
    <w:rsid w:val="002D3227"/>
    <w:rsid w:val="002E0E18"/>
    <w:rsid w:val="002E3C33"/>
    <w:rsid w:val="002E51CF"/>
    <w:rsid w:val="002F7952"/>
    <w:rsid w:val="003007E9"/>
    <w:rsid w:val="00315471"/>
    <w:rsid w:val="003156B7"/>
    <w:rsid w:val="00320D71"/>
    <w:rsid w:val="003223FB"/>
    <w:rsid w:val="00323D2F"/>
    <w:rsid w:val="00327E49"/>
    <w:rsid w:val="003301A3"/>
    <w:rsid w:val="00330B9B"/>
    <w:rsid w:val="00335D75"/>
    <w:rsid w:val="00340782"/>
    <w:rsid w:val="0034310F"/>
    <w:rsid w:val="00353901"/>
    <w:rsid w:val="00355504"/>
    <w:rsid w:val="00360DF7"/>
    <w:rsid w:val="00360EAD"/>
    <w:rsid w:val="00362E4F"/>
    <w:rsid w:val="0036777B"/>
    <w:rsid w:val="00367D99"/>
    <w:rsid w:val="00370FF4"/>
    <w:rsid w:val="00374FC6"/>
    <w:rsid w:val="00381BF7"/>
    <w:rsid w:val="0038282A"/>
    <w:rsid w:val="00397580"/>
    <w:rsid w:val="003A299A"/>
    <w:rsid w:val="003A45C8"/>
    <w:rsid w:val="003A57A0"/>
    <w:rsid w:val="003B2962"/>
    <w:rsid w:val="003B6B32"/>
    <w:rsid w:val="003C2DCF"/>
    <w:rsid w:val="003C7FE7"/>
    <w:rsid w:val="003D0499"/>
    <w:rsid w:val="003D13D8"/>
    <w:rsid w:val="003D164F"/>
    <w:rsid w:val="003D3576"/>
    <w:rsid w:val="003D4022"/>
    <w:rsid w:val="003E5988"/>
    <w:rsid w:val="003F0DF1"/>
    <w:rsid w:val="003F1D68"/>
    <w:rsid w:val="003F2F6A"/>
    <w:rsid w:val="003F526A"/>
    <w:rsid w:val="003F5F61"/>
    <w:rsid w:val="00403FFD"/>
    <w:rsid w:val="00405244"/>
    <w:rsid w:val="0041151D"/>
    <w:rsid w:val="00413AF1"/>
    <w:rsid w:val="004154C7"/>
    <w:rsid w:val="004161A0"/>
    <w:rsid w:val="004205D3"/>
    <w:rsid w:val="00420F19"/>
    <w:rsid w:val="004272F0"/>
    <w:rsid w:val="00441933"/>
    <w:rsid w:val="00441DA7"/>
    <w:rsid w:val="004436EE"/>
    <w:rsid w:val="00445ED3"/>
    <w:rsid w:val="00447037"/>
    <w:rsid w:val="0045023A"/>
    <w:rsid w:val="004505BB"/>
    <w:rsid w:val="0045547F"/>
    <w:rsid w:val="004626A4"/>
    <w:rsid w:val="00471DEF"/>
    <w:rsid w:val="00472821"/>
    <w:rsid w:val="0047397F"/>
    <w:rsid w:val="00480467"/>
    <w:rsid w:val="00483F35"/>
    <w:rsid w:val="00484EC1"/>
    <w:rsid w:val="004920AD"/>
    <w:rsid w:val="00493AD2"/>
    <w:rsid w:val="00495FDB"/>
    <w:rsid w:val="004A06D7"/>
    <w:rsid w:val="004A1507"/>
    <w:rsid w:val="004A2CD6"/>
    <w:rsid w:val="004B1F2F"/>
    <w:rsid w:val="004B2035"/>
    <w:rsid w:val="004B7B60"/>
    <w:rsid w:val="004C0447"/>
    <w:rsid w:val="004C645A"/>
    <w:rsid w:val="004D05B3"/>
    <w:rsid w:val="004D107B"/>
    <w:rsid w:val="004D1ABE"/>
    <w:rsid w:val="004D2257"/>
    <w:rsid w:val="004D31CD"/>
    <w:rsid w:val="004E3A7E"/>
    <w:rsid w:val="004E479E"/>
    <w:rsid w:val="004E5128"/>
    <w:rsid w:val="004E7E74"/>
    <w:rsid w:val="004F686C"/>
    <w:rsid w:val="004F6E82"/>
    <w:rsid w:val="004F78E6"/>
    <w:rsid w:val="005011AF"/>
    <w:rsid w:val="0050332E"/>
    <w:rsid w:val="0050420E"/>
    <w:rsid w:val="00507F4B"/>
    <w:rsid w:val="00510980"/>
    <w:rsid w:val="00512D99"/>
    <w:rsid w:val="00520963"/>
    <w:rsid w:val="0052627A"/>
    <w:rsid w:val="00527391"/>
    <w:rsid w:val="00527F54"/>
    <w:rsid w:val="00531D51"/>
    <w:rsid w:val="00531DBB"/>
    <w:rsid w:val="00537835"/>
    <w:rsid w:val="005402BD"/>
    <w:rsid w:val="005424A3"/>
    <w:rsid w:val="00543456"/>
    <w:rsid w:val="005447E6"/>
    <w:rsid w:val="00547645"/>
    <w:rsid w:val="00553FF9"/>
    <w:rsid w:val="0055470C"/>
    <w:rsid w:val="00555821"/>
    <w:rsid w:val="00562ACD"/>
    <w:rsid w:val="00562F0C"/>
    <w:rsid w:val="00563C14"/>
    <w:rsid w:val="00572037"/>
    <w:rsid w:val="00573720"/>
    <w:rsid w:val="00573994"/>
    <w:rsid w:val="005810DD"/>
    <w:rsid w:val="00582A9E"/>
    <w:rsid w:val="00586D3E"/>
    <w:rsid w:val="00593466"/>
    <w:rsid w:val="0059484F"/>
    <w:rsid w:val="005A14D1"/>
    <w:rsid w:val="005A2FFB"/>
    <w:rsid w:val="005B45FE"/>
    <w:rsid w:val="005B4719"/>
    <w:rsid w:val="005B54F0"/>
    <w:rsid w:val="005B5F64"/>
    <w:rsid w:val="005D2560"/>
    <w:rsid w:val="005D438E"/>
    <w:rsid w:val="005E2E7B"/>
    <w:rsid w:val="005E3385"/>
    <w:rsid w:val="005E45C7"/>
    <w:rsid w:val="005E798B"/>
    <w:rsid w:val="005F1550"/>
    <w:rsid w:val="005F2D5D"/>
    <w:rsid w:val="005F4A97"/>
    <w:rsid w:val="005F79FB"/>
    <w:rsid w:val="00604406"/>
    <w:rsid w:val="00605F4A"/>
    <w:rsid w:val="00607822"/>
    <w:rsid w:val="00607B73"/>
    <w:rsid w:val="006103AA"/>
    <w:rsid w:val="00610566"/>
    <w:rsid w:val="0061146D"/>
    <w:rsid w:val="00613BBF"/>
    <w:rsid w:val="00613BF0"/>
    <w:rsid w:val="00615311"/>
    <w:rsid w:val="00622B80"/>
    <w:rsid w:val="00627AE4"/>
    <w:rsid w:val="00627BDC"/>
    <w:rsid w:val="00627D5E"/>
    <w:rsid w:val="0063144E"/>
    <w:rsid w:val="0064139A"/>
    <w:rsid w:val="006418C3"/>
    <w:rsid w:val="00644049"/>
    <w:rsid w:val="006508A8"/>
    <w:rsid w:val="00652020"/>
    <w:rsid w:val="006564D1"/>
    <w:rsid w:val="00671F73"/>
    <w:rsid w:val="006750EC"/>
    <w:rsid w:val="006755BE"/>
    <w:rsid w:val="006912A3"/>
    <w:rsid w:val="006918BF"/>
    <w:rsid w:val="006931CF"/>
    <w:rsid w:val="006A3190"/>
    <w:rsid w:val="006A719A"/>
    <w:rsid w:val="006A7372"/>
    <w:rsid w:val="006A74ED"/>
    <w:rsid w:val="006B76B9"/>
    <w:rsid w:val="006D299B"/>
    <w:rsid w:val="006E024F"/>
    <w:rsid w:val="006E0648"/>
    <w:rsid w:val="006E30AA"/>
    <w:rsid w:val="006E4E81"/>
    <w:rsid w:val="006E6AB3"/>
    <w:rsid w:val="006F0C84"/>
    <w:rsid w:val="006F56CF"/>
    <w:rsid w:val="006F79C8"/>
    <w:rsid w:val="007005CB"/>
    <w:rsid w:val="00707F7D"/>
    <w:rsid w:val="00714E74"/>
    <w:rsid w:val="00717A40"/>
    <w:rsid w:val="00717EC5"/>
    <w:rsid w:val="00723066"/>
    <w:rsid w:val="00725D8C"/>
    <w:rsid w:val="00726F12"/>
    <w:rsid w:val="0073261E"/>
    <w:rsid w:val="00734714"/>
    <w:rsid w:val="00734E9A"/>
    <w:rsid w:val="00735BB9"/>
    <w:rsid w:val="00737453"/>
    <w:rsid w:val="007379E5"/>
    <w:rsid w:val="00743602"/>
    <w:rsid w:val="00743C48"/>
    <w:rsid w:val="007476D2"/>
    <w:rsid w:val="00754C05"/>
    <w:rsid w:val="00754C20"/>
    <w:rsid w:val="007602C5"/>
    <w:rsid w:val="00761AE7"/>
    <w:rsid w:val="00761B80"/>
    <w:rsid w:val="007768E9"/>
    <w:rsid w:val="0077768A"/>
    <w:rsid w:val="00777751"/>
    <w:rsid w:val="00781CFB"/>
    <w:rsid w:val="007873CF"/>
    <w:rsid w:val="00787D13"/>
    <w:rsid w:val="00790732"/>
    <w:rsid w:val="00792BA8"/>
    <w:rsid w:val="00792F46"/>
    <w:rsid w:val="007A2048"/>
    <w:rsid w:val="007A564C"/>
    <w:rsid w:val="007A57F2"/>
    <w:rsid w:val="007B1333"/>
    <w:rsid w:val="007B2DBA"/>
    <w:rsid w:val="007B4A65"/>
    <w:rsid w:val="007B601F"/>
    <w:rsid w:val="007C042A"/>
    <w:rsid w:val="007C4EBD"/>
    <w:rsid w:val="007C6C1B"/>
    <w:rsid w:val="007C7D5B"/>
    <w:rsid w:val="007E1A70"/>
    <w:rsid w:val="007E408F"/>
    <w:rsid w:val="007E53B3"/>
    <w:rsid w:val="007E5CB4"/>
    <w:rsid w:val="007E6C25"/>
    <w:rsid w:val="007F27A3"/>
    <w:rsid w:val="007F4AEB"/>
    <w:rsid w:val="007F54BA"/>
    <w:rsid w:val="007F75B2"/>
    <w:rsid w:val="00802EF6"/>
    <w:rsid w:val="00803993"/>
    <w:rsid w:val="008043C4"/>
    <w:rsid w:val="00813332"/>
    <w:rsid w:val="00813498"/>
    <w:rsid w:val="008166EE"/>
    <w:rsid w:val="008208F0"/>
    <w:rsid w:val="00821079"/>
    <w:rsid w:val="008230DD"/>
    <w:rsid w:val="00823FAB"/>
    <w:rsid w:val="00830951"/>
    <w:rsid w:val="00831B1B"/>
    <w:rsid w:val="008538A7"/>
    <w:rsid w:val="00854052"/>
    <w:rsid w:val="00855549"/>
    <w:rsid w:val="00855FB3"/>
    <w:rsid w:val="00861D0E"/>
    <w:rsid w:val="00864384"/>
    <w:rsid w:val="008662BB"/>
    <w:rsid w:val="00867569"/>
    <w:rsid w:val="00867C0E"/>
    <w:rsid w:val="00874606"/>
    <w:rsid w:val="008763E1"/>
    <w:rsid w:val="008840CE"/>
    <w:rsid w:val="00897018"/>
    <w:rsid w:val="008A6D74"/>
    <w:rsid w:val="008A750A"/>
    <w:rsid w:val="008B2AC5"/>
    <w:rsid w:val="008B3970"/>
    <w:rsid w:val="008B6B0F"/>
    <w:rsid w:val="008B7DC2"/>
    <w:rsid w:val="008C3102"/>
    <w:rsid w:val="008C384C"/>
    <w:rsid w:val="008D0F11"/>
    <w:rsid w:val="008D499F"/>
    <w:rsid w:val="008D5B75"/>
    <w:rsid w:val="008E2E09"/>
    <w:rsid w:val="008E307A"/>
    <w:rsid w:val="008E3A49"/>
    <w:rsid w:val="008E41AA"/>
    <w:rsid w:val="008E6A31"/>
    <w:rsid w:val="008F171E"/>
    <w:rsid w:val="008F73B4"/>
    <w:rsid w:val="0091361B"/>
    <w:rsid w:val="00914236"/>
    <w:rsid w:val="00914C72"/>
    <w:rsid w:val="0092560C"/>
    <w:rsid w:val="0092746F"/>
    <w:rsid w:val="009325B4"/>
    <w:rsid w:val="009344E6"/>
    <w:rsid w:val="00935C14"/>
    <w:rsid w:val="009377E3"/>
    <w:rsid w:val="00942AD6"/>
    <w:rsid w:val="009444D7"/>
    <w:rsid w:val="00945819"/>
    <w:rsid w:val="00951181"/>
    <w:rsid w:val="009516E3"/>
    <w:rsid w:val="00956E37"/>
    <w:rsid w:val="0097650A"/>
    <w:rsid w:val="00984CC1"/>
    <w:rsid w:val="00984CF2"/>
    <w:rsid w:val="00986DD7"/>
    <w:rsid w:val="00990FE7"/>
    <w:rsid w:val="0099648B"/>
    <w:rsid w:val="009A2CF9"/>
    <w:rsid w:val="009A5F9D"/>
    <w:rsid w:val="009A69E5"/>
    <w:rsid w:val="009A7B08"/>
    <w:rsid w:val="009B09C9"/>
    <w:rsid w:val="009B1918"/>
    <w:rsid w:val="009B55B1"/>
    <w:rsid w:val="009B6283"/>
    <w:rsid w:val="009B66AB"/>
    <w:rsid w:val="009B6E50"/>
    <w:rsid w:val="009C5C09"/>
    <w:rsid w:val="009D31AA"/>
    <w:rsid w:val="009D458B"/>
    <w:rsid w:val="009E7925"/>
    <w:rsid w:val="009E7CDD"/>
    <w:rsid w:val="009F0A72"/>
    <w:rsid w:val="009F6D1E"/>
    <w:rsid w:val="00A047C8"/>
    <w:rsid w:val="00A047E9"/>
    <w:rsid w:val="00A0762A"/>
    <w:rsid w:val="00A13AB9"/>
    <w:rsid w:val="00A14C68"/>
    <w:rsid w:val="00A15F02"/>
    <w:rsid w:val="00A2734F"/>
    <w:rsid w:val="00A27399"/>
    <w:rsid w:val="00A4343D"/>
    <w:rsid w:val="00A502F1"/>
    <w:rsid w:val="00A5073D"/>
    <w:rsid w:val="00A54187"/>
    <w:rsid w:val="00A54D6A"/>
    <w:rsid w:val="00A62C63"/>
    <w:rsid w:val="00A70A83"/>
    <w:rsid w:val="00A70E7B"/>
    <w:rsid w:val="00A75C25"/>
    <w:rsid w:val="00A80589"/>
    <w:rsid w:val="00A80E84"/>
    <w:rsid w:val="00A81EB3"/>
    <w:rsid w:val="00A87D94"/>
    <w:rsid w:val="00AA150C"/>
    <w:rsid w:val="00AA15FB"/>
    <w:rsid w:val="00AB1647"/>
    <w:rsid w:val="00AB3410"/>
    <w:rsid w:val="00AB79F6"/>
    <w:rsid w:val="00AC05F5"/>
    <w:rsid w:val="00AC074A"/>
    <w:rsid w:val="00AD199A"/>
    <w:rsid w:val="00AD2B9D"/>
    <w:rsid w:val="00AD6287"/>
    <w:rsid w:val="00AD76A9"/>
    <w:rsid w:val="00AF0AAD"/>
    <w:rsid w:val="00AF50DD"/>
    <w:rsid w:val="00AF5E6F"/>
    <w:rsid w:val="00B009D9"/>
    <w:rsid w:val="00B00C1D"/>
    <w:rsid w:val="00B10B32"/>
    <w:rsid w:val="00B140F6"/>
    <w:rsid w:val="00B175BA"/>
    <w:rsid w:val="00B20808"/>
    <w:rsid w:val="00B31BCB"/>
    <w:rsid w:val="00B341CF"/>
    <w:rsid w:val="00B401C2"/>
    <w:rsid w:val="00B421AF"/>
    <w:rsid w:val="00B45EC1"/>
    <w:rsid w:val="00B52016"/>
    <w:rsid w:val="00B54E14"/>
    <w:rsid w:val="00B55375"/>
    <w:rsid w:val="00B577BC"/>
    <w:rsid w:val="00B578A8"/>
    <w:rsid w:val="00B614ED"/>
    <w:rsid w:val="00B61757"/>
    <w:rsid w:val="00B62243"/>
    <w:rsid w:val="00B62652"/>
    <w:rsid w:val="00B632CC"/>
    <w:rsid w:val="00B63E93"/>
    <w:rsid w:val="00B65E7C"/>
    <w:rsid w:val="00B679A3"/>
    <w:rsid w:val="00B67CD3"/>
    <w:rsid w:val="00B75431"/>
    <w:rsid w:val="00B807A9"/>
    <w:rsid w:val="00B9294D"/>
    <w:rsid w:val="00B9490F"/>
    <w:rsid w:val="00B95E06"/>
    <w:rsid w:val="00B96475"/>
    <w:rsid w:val="00BA12F1"/>
    <w:rsid w:val="00BA3070"/>
    <w:rsid w:val="00BA439F"/>
    <w:rsid w:val="00BA43D5"/>
    <w:rsid w:val="00BA6321"/>
    <w:rsid w:val="00BA6370"/>
    <w:rsid w:val="00BB603E"/>
    <w:rsid w:val="00BD41D3"/>
    <w:rsid w:val="00BE0EEC"/>
    <w:rsid w:val="00BE208B"/>
    <w:rsid w:val="00BE7120"/>
    <w:rsid w:val="00BF476C"/>
    <w:rsid w:val="00BF4862"/>
    <w:rsid w:val="00BF538A"/>
    <w:rsid w:val="00C00171"/>
    <w:rsid w:val="00C013F6"/>
    <w:rsid w:val="00C0212C"/>
    <w:rsid w:val="00C035A9"/>
    <w:rsid w:val="00C07EE6"/>
    <w:rsid w:val="00C14765"/>
    <w:rsid w:val="00C14C02"/>
    <w:rsid w:val="00C269D4"/>
    <w:rsid w:val="00C3646A"/>
    <w:rsid w:val="00C37ADB"/>
    <w:rsid w:val="00C4160D"/>
    <w:rsid w:val="00C4228D"/>
    <w:rsid w:val="00C42EC1"/>
    <w:rsid w:val="00C5438E"/>
    <w:rsid w:val="00C54BC5"/>
    <w:rsid w:val="00C56310"/>
    <w:rsid w:val="00C602AF"/>
    <w:rsid w:val="00C61234"/>
    <w:rsid w:val="00C711C8"/>
    <w:rsid w:val="00C73CF6"/>
    <w:rsid w:val="00C81760"/>
    <w:rsid w:val="00C8201B"/>
    <w:rsid w:val="00C8406E"/>
    <w:rsid w:val="00C85786"/>
    <w:rsid w:val="00C87C55"/>
    <w:rsid w:val="00C910E9"/>
    <w:rsid w:val="00C94077"/>
    <w:rsid w:val="00CA389D"/>
    <w:rsid w:val="00CA3D23"/>
    <w:rsid w:val="00CA657E"/>
    <w:rsid w:val="00CB061F"/>
    <w:rsid w:val="00CB2709"/>
    <w:rsid w:val="00CB2CC0"/>
    <w:rsid w:val="00CB6F89"/>
    <w:rsid w:val="00CB7B15"/>
    <w:rsid w:val="00CC0AE9"/>
    <w:rsid w:val="00CD0BF6"/>
    <w:rsid w:val="00CE142F"/>
    <w:rsid w:val="00CE228C"/>
    <w:rsid w:val="00CE5635"/>
    <w:rsid w:val="00CE71D9"/>
    <w:rsid w:val="00CF3FBB"/>
    <w:rsid w:val="00CF545B"/>
    <w:rsid w:val="00CF6D10"/>
    <w:rsid w:val="00D11DD6"/>
    <w:rsid w:val="00D131B4"/>
    <w:rsid w:val="00D142D4"/>
    <w:rsid w:val="00D209A7"/>
    <w:rsid w:val="00D26B04"/>
    <w:rsid w:val="00D27D69"/>
    <w:rsid w:val="00D300D0"/>
    <w:rsid w:val="00D305FC"/>
    <w:rsid w:val="00D33658"/>
    <w:rsid w:val="00D36813"/>
    <w:rsid w:val="00D448C2"/>
    <w:rsid w:val="00D666C3"/>
    <w:rsid w:val="00D7012D"/>
    <w:rsid w:val="00D749B9"/>
    <w:rsid w:val="00D7698D"/>
    <w:rsid w:val="00D7726D"/>
    <w:rsid w:val="00D814B3"/>
    <w:rsid w:val="00D832B9"/>
    <w:rsid w:val="00D85CD0"/>
    <w:rsid w:val="00D9189F"/>
    <w:rsid w:val="00D9259D"/>
    <w:rsid w:val="00D925CF"/>
    <w:rsid w:val="00D947B2"/>
    <w:rsid w:val="00D96CC2"/>
    <w:rsid w:val="00DA2D8E"/>
    <w:rsid w:val="00DA3D73"/>
    <w:rsid w:val="00DC4C14"/>
    <w:rsid w:val="00DC546F"/>
    <w:rsid w:val="00DD0C06"/>
    <w:rsid w:val="00DD1892"/>
    <w:rsid w:val="00DD3560"/>
    <w:rsid w:val="00DD750E"/>
    <w:rsid w:val="00DE4352"/>
    <w:rsid w:val="00DE6FB5"/>
    <w:rsid w:val="00DF05F8"/>
    <w:rsid w:val="00DF1913"/>
    <w:rsid w:val="00DF47FE"/>
    <w:rsid w:val="00DF672E"/>
    <w:rsid w:val="00E0156A"/>
    <w:rsid w:val="00E01FC1"/>
    <w:rsid w:val="00E11529"/>
    <w:rsid w:val="00E14063"/>
    <w:rsid w:val="00E14C44"/>
    <w:rsid w:val="00E150B4"/>
    <w:rsid w:val="00E20F95"/>
    <w:rsid w:val="00E26704"/>
    <w:rsid w:val="00E31980"/>
    <w:rsid w:val="00E34FDF"/>
    <w:rsid w:val="00E41C76"/>
    <w:rsid w:val="00E43E70"/>
    <w:rsid w:val="00E449C1"/>
    <w:rsid w:val="00E51999"/>
    <w:rsid w:val="00E545EB"/>
    <w:rsid w:val="00E561E6"/>
    <w:rsid w:val="00E6423C"/>
    <w:rsid w:val="00E732AC"/>
    <w:rsid w:val="00E76B01"/>
    <w:rsid w:val="00E85FEC"/>
    <w:rsid w:val="00E92682"/>
    <w:rsid w:val="00E935A8"/>
    <w:rsid w:val="00E93830"/>
    <w:rsid w:val="00E93884"/>
    <w:rsid w:val="00E93CEF"/>
    <w:rsid w:val="00E93E0E"/>
    <w:rsid w:val="00E96F8A"/>
    <w:rsid w:val="00E978DB"/>
    <w:rsid w:val="00EA37C4"/>
    <w:rsid w:val="00EB1ED3"/>
    <w:rsid w:val="00ED1741"/>
    <w:rsid w:val="00EE436E"/>
    <w:rsid w:val="00EE513A"/>
    <w:rsid w:val="00EF607A"/>
    <w:rsid w:val="00F034C4"/>
    <w:rsid w:val="00F0691B"/>
    <w:rsid w:val="00F10882"/>
    <w:rsid w:val="00F11C7A"/>
    <w:rsid w:val="00F14104"/>
    <w:rsid w:val="00F23B1A"/>
    <w:rsid w:val="00F3284B"/>
    <w:rsid w:val="00F342B2"/>
    <w:rsid w:val="00F41BED"/>
    <w:rsid w:val="00F41CA8"/>
    <w:rsid w:val="00F41D41"/>
    <w:rsid w:val="00F47D74"/>
    <w:rsid w:val="00F5027D"/>
    <w:rsid w:val="00F53E66"/>
    <w:rsid w:val="00F57FEF"/>
    <w:rsid w:val="00F624A5"/>
    <w:rsid w:val="00F648CF"/>
    <w:rsid w:val="00F71432"/>
    <w:rsid w:val="00F75F2A"/>
    <w:rsid w:val="00F7707C"/>
    <w:rsid w:val="00F77291"/>
    <w:rsid w:val="00F80A1C"/>
    <w:rsid w:val="00F80F77"/>
    <w:rsid w:val="00F90149"/>
    <w:rsid w:val="00F90A47"/>
    <w:rsid w:val="00F93813"/>
    <w:rsid w:val="00FA1816"/>
    <w:rsid w:val="00FA6CD4"/>
    <w:rsid w:val="00FA6D55"/>
    <w:rsid w:val="00FB02E8"/>
    <w:rsid w:val="00FB4C98"/>
    <w:rsid w:val="00FB687C"/>
    <w:rsid w:val="00FC07FE"/>
    <w:rsid w:val="00FC1496"/>
    <w:rsid w:val="00FC51A7"/>
    <w:rsid w:val="00FC6E5D"/>
    <w:rsid w:val="00FC762E"/>
    <w:rsid w:val="00FD1A43"/>
    <w:rsid w:val="00FD4BA4"/>
    <w:rsid w:val="00FD75AD"/>
    <w:rsid w:val="00FE12F4"/>
    <w:rsid w:val="00FE13DB"/>
    <w:rsid w:val="00FE4819"/>
    <w:rsid w:val="00FE5DA6"/>
    <w:rsid w:val="00FE6A12"/>
    <w:rsid w:val="00FF08C3"/>
    <w:rsid w:val="00FF2A32"/>
    <w:rsid w:val="00FF2E5C"/>
    <w:rsid w:val="00FF31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538A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B1F2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A87D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538A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B1F2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A87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tvrtletni-narodni-ucty-tvorba-a-uziti-hdp-a-predbezny-odhad-hd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hdp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C633-9492-45F3-9B71-D5917AED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4019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Košťáková</dc:creator>
  <cp:lastModifiedBy>Alena Svatošová</cp:lastModifiedBy>
  <cp:revision>2</cp:revision>
  <cp:lastPrinted>2017-08-30T16:27:00Z</cp:lastPrinted>
  <dcterms:created xsi:type="dcterms:W3CDTF">2017-08-31T07:20:00Z</dcterms:created>
  <dcterms:modified xsi:type="dcterms:W3CDTF">2017-08-31T07:20:00Z</dcterms:modified>
</cp:coreProperties>
</file>