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B77088" w14:textId="2871F83C" w:rsidR="00F21B6A" w:rsidRPr="00F4165D" w:rsidRDefault="00504C1B" w:rsidP="00F21B6A">
      <w:pPr>
        <w:pStyle w:val="Nadpis1"/>
        <w:rPr>
          <w:lang w:val="en-US"/>
        </w:rPr>
      </w:pPr>
      <w:r w:rsidRPr="00F4165D">
        <w:rPr>
          <w:lang w:val="en-US"/>
        </w:rPr>
        <w:t>Balance of the general government sector ended up in deficit</w:t>
      </w:r>
      <w:r w:rsidR="00122363">
        <w:rPr>
          <w:lang w:val="en-US"/>
        </w:rPr>
        <w:t xml:space="preserve"> 2.2% of the GDP</w:t>
      </w:r>
    </w:p>
    <w:p w14:paraId="0F64EB53" w14:textId="2BCFD684" w:rsidR="00F21B6A" w:rsidRPr="00F4165D" w:rsidRDefault="00A42822" w:rsidP="00200551">
      <w:pPr>
        <w:jc w:val="left"/>
      </w:pPr>
      <w:r w:rsidRPr="00F4165D">
        <w:t>1 </w:t>
      </w:r>
      <w:proofErr w:type="spellStart"/>
      <w:r w:rsidRPr="00F4165D">
        <w:t>October</w:t>
      </w:r>
      <w:proofErr w:type="spellEnd"/>
      <w:r w:rsidRPr="00F4165D">
        <w:t xml:space="preserve"> 2026</w:t>
      </w:r>
    </w:p>
    <w:p w14:paraId="2DA4816E" w14:textId="2A624568" w:rsidR="00773B0B" w:rsidRPr="00F4165D" w:rsidRDefault="00504C1B" w:rsidP="00773B0B">
      <w:pPr>
        <w:pStyle w:val="Nadpis2"/>
        <w:rPr>
          <w:lang w:val="en-GB"/>
        </w:rPr>
      </w:pPr>
      <w:r w:rsidRPr="00F4165D">
        <w:rPr>
          <w:lang w:val="en-GB"/>
        </w:rPr>
        <w:t>Notification of government deficit and debt – 2025</w:t>
      </w:r>
    </w:p>
    <w:p w14:paraId="1B062E3B" w14:textId="304D9346" w:rsidR="006A57CC" w:rsidRPr="00F4165D" w:rsidRDefault="00504C1B" w:rsidP="006A57CC">
      <w:pPr>
        <w:pStyle w:val="Perex"/>
        <w:rPr>
          <w:lang w:val="en-GB"/>
        </w:rPr>
      </w:pPr>
      <w:r w:rsidRPr="00F4165D">
        <w:rPr>
          <w:lang w:val="en-GB"/>
        </w:rPr>
        <w:t>For the year 2025, the balance of the general government sector ended up with a deficit corresponding to 2.</w:t>
      </w:r>
      <w:r w:rsidR="00A42822" w:rsidRPr="00F4165D">
        <w:rPr>
          <w:lang w:val="en-GB"/>
        </w:rPr>
        <w:t>2</w:t>
      </w:r>
      <w:r w:rsidRPr="00F4165D">
        <w:rPr>
          <w:lang w:val="en-GB"/>
        </w:rPr>
        <w:t>% of the GDP, which was by 0.</w:t>
      </w:r>
      <w:r w:rsidR="00A42822" w:rsidRPr="00F4165D">
        <w:rPr>
          <w:lang w:val="en-GB"/>
        </w:rPr>
        <w:t>2 </w:t>
      </w:r>
      <w:r w:rsidRPr="00F4165D">
        <w:rPr>
          <w:lang w:val="en-GB"/>
        </w:rPr>
        <w:t>percentage</w:t>
      </w:r>
      <w:r w:rsidR="00A42822" w:rsidRPr="00F4165D">
        <w:rPr>
          <w:lang w:val="en-GB"/>
        </w:rPr>
        <w:t> </w:t>
      </w:r>
      <w:r w:rsidRPr="00F4165D">
        <w:rPr>
          <w:lang w:val="en-GB"/>
        </w:rPr>
        <w:t>point (p.</w:t>
      </w:r>
      <w:r w:rsidR="00A42822" w:rsidRPr="00F4165D">
        <w:rPr>
          <w:lang w:val="en-GB"/>
        </w:rPr>
        <w:t> </w:t>
      </w:r>
      <w:r w:rsidRPr="00F4165D">
        <w:rPr>
          <w:lang w:val="en-GB"/>
        </w:rPr>
        <w:t>p.) more than in 2024. The general government sector debt in the end of the year 2025 reached 44.</w:t>
      </w:r>
      <w:r w:rsidR="00A42822" w:rsidRPr="00F4165D">
        <w:rPr>
          <w:lang w:val="en-GB"/>
        </w:rPr>
        <w:t>2</w:t>
      </w:r>
      <w:r w:rsidRPr="00F4165D">
        <w:rPr>
          <w:lang w:val="en-GB"/>
        </w:rPr>
        <w:t>% of the GDP while the</w:t>
      </w:r>
      <w:r w:rsidR="00C36D22" w:rsidRPr="00F4165D">
        <w:rPr>
          <w:lang w:val="en-GB"/>
        </w:rPr>
        <w:t xml:space="preserve"> year-on-year</w:t>
      </w:r>
      <w:r w:rsidRPr="00F4165D">
        <w:rPr>
          <w:lang w:val="en-GB"/>
        </w:rPr>
        <w:t xml:space="preserve"> </w:t>
      </w:r>
      <w:r w:rsidR="00C36D22" w:rsidRPr="00F4165D">
        <w:rPr>
          <w:lang w:val="en-GB"/>
        </w:rPr>
        <w:t>(</w:t>
      </w:r>
      <w:r w:rsidRPr="00F4165D">
        <w:rPr>
          <w:lang w:val="en-GB"/>
        </w:rPr>
        <w:t>y-o-y</w:t>
      </w:r>
      <w:r w:rsidR="00C36D22" w:rsidRPr="00F4165D">
        <w:rPr>
          <w:lang w:val="en-GB"/>
        </w:rPr>
        <w:t>)</w:t>
      </w:r>
      <w:r w:rsidRPr="00F4165D">
        <w:rPr>
          <w:lang w:val="en-GB"/>
        </w:rPr>
        <w:t xml:space="preserve"> increase was by </w:t>
      </w:r>
      <w:r w:rsidR="00A42822" w:rsidRPr="00F4165D">
        <w:rPr>
          <w:lang w:val="en-GB"/>
        </w:rPr>
        <w:t>0</w:t>
      </w:r>
      <w:r w:rsidRPr="00F4165D">
        <w:rPr>
          <w:lang w:val="en-GB"/>
        </w:rPr>
        <w:t>.</w:t>
      </w:r>
      <w:r w:rsidR="00A42822" w:rsidRPr="00F4165D">
        <w:rPr>
          <w:lang w:val="en-GB"/>
        </w:rPr>
        <w:t>9 </w:t>
      </w:r>
      <w:r w:rsidRPr="00F4165D">
        <w:rPr>
          <w:lang w:val="en-GB"/>
        </w:rPr>
        <w:t>p.</w:t>
      </w:r>
      <w:r w:rsidR="00A42822" w:rsidRPr="00F4165D">
        <w:rPr>
          <w:lang w:val="en-GB"/>
        </w:rPr>
        <w:t> </w:t>
      </w:r>
      <w:r w:rsidRPr="00F4165D">
        <w:rPr>
          <w:lang w:val="en-GB"/>
        </w:rPr>
        <w:t>p</w:t>
      </w:r>
      <w:r w:rsidR="00A42822" w:rsidRPr="00F4165D">
        <w:rPr>
          <w:lang w:val="en-GB"/>
        </w:rPr>
        <w:t>.</w:t>
      </w:r>
    </w:p>
    <w:p w14:paraId="4AA429AD" w14:textId="4DECD3FE" w:rsidR="00C0580F" w:rsidRPr="00F4165D" w:rsidRDefault="00C0580F" w:rsidP="00F62F51">
      <w:pPr>
        <w:jc w:val="left"/>
        <w:rPr>
          <w:i/>
          <w:lang w:val="en-GB"/>
        </w:rPr>
      </w:pPr>
      <w:r w:rsidRPr="00F4165D">
        <w:rPr>
          <w:i/>
          <w:lang w:val="en-GB"/>
        </w:rPr>
        <w:t>“The balance of the general government sector for the year 2025 ended up with a deficit in the amount of CZK 18</w:t>
      </w:r>
      <w:r w:rsidR="004F5CFF" w:rsidRPr="00F4165D">
        <w:rPr>
          <w:i/>
          <w:lang w:val="en-GB"/>
        </w:rPr>
        <w:t>5</w:t>
      </w:r>
      <w:r w:rsidRPr="00F4165D">
        <w:rPr>
          <w:i/>
          <w:lang w:val="en-GB"/>
        </w:rPr>
        <w:t>.</w:t>
      </w:r>
      <w:r w:rsidR="004F5CFF" w:rsidRPr="00F4165D">
        <w:rPr>
          <w:i/>
          <w:lang w:val="en-GB"/>
        </w:rPr>
        <w:t>5 </w:t>
      </w:r>
      <w:r w:rsidRPr="00F4165D">
        <w:rPr>
          <w:i/>
          <w:lang w:val="en-GB"/>
        </w:rPr>
        <w:t>billion (bn), which in the year-on-year comparison means worsening by CZK 2</w:t>
      </w:r>
      <w:r w:rsidR="004F5CFF" w:rsidRPr="00F4165D">
        <w:rPr>
          <w:i/>
          <w:lang w:val="en-GB"/>
        </w:rPr>
        <w:t>6</w:t>
      </w:r>
      <w:r w:rsidRPr="00F4165D">
        <w:rPr>
          <w:i/>
          <w:lang w:val="en-GB"/>
        </w:rPr>
        <w:t>.</w:t>
      </w:r>
      <w:r w:rsidR="004F5CFF" w:rsidRPr="00F4165D">
        <w:rPr>
          <w:i/>
          <w:lang w:val="en-GB"/>
        </w:rPr>
        <w:t>2 </w:t>
      </w:r>
      <w:r w:rsidRPr="00F4165D">
        <w:rPr>
          <w:i/>
          <w:lang w:val="en-GB"/>
        </w:rPr>
        <w:t>billion. The government debt ratio increased to the level of 44.</w:t>
      </w:r>
      <w:r w:rsidR="004F5CFF" w:rsidRPr="00F4165D">
        <w:rPr>
          <w:i/>
          <w:lang w:val="en-GB"/>
        </w:rPr>
        <w:t>2</w:t>
      </w:r>
      <w:r w:rsidRPr="00F4165D">
        <w:rPr>
          <w:i/>
          <w:lang w:val="en-GB"/>
        </w:rPr>
        <w:t xml:space="preserve">% of the GDP,” </w:t>
      </w:r>
      <w:r w:rsidR="004F5CFF" w:rsidRPr="00F4165D">
        <w:rPr>
          <w:lang w:val="en-GB"/>
        </w:rPr>
        <w:t>Petr Musil</w:t>
      </w:r>
      <w:r w:rsidRPr="00F4165D">
        <w:rPr>
          <w:lang w:val="en-GB"/>
        </w:rPr>
        <w:t xml:space="preserve">, </w:t>
      </w:r>
      <w:r w:rsidR="00B62FCA" w:rsidRPr="00F4165D">
        <w:rPr>
          <w:iCs/>
          <w:lang w:val="en-GB"/>
        </w:rPr>
        <w:t xml:space="preserve">Director of the Government and Financial Accounts Department </w:t>
      </w:r>
      <w:r w:rsidRPr="00F4165D">
        <w:rPr>
          <w:iCs/>
          <w:lang w:val="en-GB"/>
        </w:rPr>
        <w:t>of the Czech Statistical Office (CZSO), stated.</w:t>
      </w:r>
      <w:r w:rsidRPr="00F4165D">
        <w:rPr>
          <w:lang w:val="en-GB"/>
        </w:rPr>
        <w:t xml:space="preserve">  </w:t>
      </w:r>
    </w:p>
    <w:p w14:paraId="505C6975" w14:textId="2B313560" w:rsidR="00087970" w:rsidRPr="00F4165D" w:rsidRDefault="00087970" w:rsidP="00087970">
      <w:pPr>
        <w:jc w:val="left"/>
        <w:rPr>
          <w:b/>
          <w:bCs/>
          <w:lang w:val="en-GB"/>
        </w:rPr>
      </w:pPr>
      <w:r w:rsidRPr="00F4165D">
        <w:rPr>
          <w:b/>
          <w:bCs/>
          <w:lang w:val="en-GB"/>
        </w:rPr>
        <w:t>Notification table of government deficit and debt</w:t>
      </w:r>
    </w:p>
    <w:tbl>
      <w:tblPr>
        <w:tblStyle w:val="TabulkaJVS2-modr"/>
        <w:tblW w:w="9067" w:type="dxa"/>
        <w:tblLayout w:type="fixed"/>
        <w:tblLook w:val="04A0" w:firstRow="1" w:lastRow="0" w:firstColumn="1" w:lastColumn="0" w:noHBand="0" w:noVBand="1"/>
      </w:tblPr>
      <w:tblGrid>
        <w:gridCol w:w="3473"/>
        <w:gridCol w:w="1398"/>
        <w:gridCol w:w="1399"/>
        <w:gridCol w:w="1398"/>
        <w:gridCol w:w="1399"/>
      </w:tblGrid>
      <w:tr w:rsidR="00087970" w:rsidRPr="00F4165D" w14:paraId="2B42DDE1" w14:textId="77777777" w:rsidTr="00F71825">
        <w:trPr>
          <w:cnfStyle w:val="100000000000" w:firstRow="1" w:lastRow="0" w:firstColumn="0" w:lastColumn="0" w:oddVBand="0" w:evenVBand="0" w:oddHBand="0" w:evenHBand="0" w:firstRowFirstColumn="0" w:firstRowLastColumn="0" w:lastRowFirstColumn="0" w:lastRowLastColumn="0"/>
        </w:trPr>
        <w:tc>
          <w:tcPr>
            <w:tcW w:w="3473" w:type="dxa"/>
          </w:tcPr>
          <w:p w14:paraId="4917006A" w14:textId="2CFB3DDD" w:rsidR="00087970" w:rsidRPr="00F4165D" w:rsidRDefault="007F4B17" w:rsidP="00F71825">
            <w:pPr>
              <w:rPr>
                <w:lang w:val="en-GB"/>
              </w:rPr>
            </w:pPr>
            <w:r w:rsidRPr="00F4165D">
              <w:rPr>
                <w:lang w:val="en-GB"/>
              </w:rPr>
              <w:t>Indicator</w:t>
            </w:r>
          </w:p>
        </w:tc>
        <w:tc>
          <w:tcPr>
            <w:tcW w:w="1398" w:type="dxa"/>
          </w:tcPr>
          <w:p w14:paraId="1277B455" w14:textId="77777777" w:rsidR="00087970" w:rsidRPr="00F4165D" w:rsidRDefault="00087970" w:rsidP="007D1B14">
            <w:pPr>
              <w:jc w:val="right"/>
            </w:pPr>
            <w:r w:rsidRPr="00F4165D">
              <w:t>2022</w:t>
            </w:r>
          </w:p>
        </w:tc>
        <w:tc>
          <w:tcPr>
            <w:tcW w:w="1399" w:type="dxa"/>
          </w:tcPr>
          <w:p w14:paraId="154DE1D8" w14:textId="77777777" w:rsidR="00087970" w:rsidRPr="00F4165D" w:rsidRDefault="00087970" w:rsidP="007D1B14">
            <w:pPr>
              <w:jc w:val="right"/>
            </w:pPr>
            <w:r w:rsidRPr="00F4165D">
              <w:t>2023</w:t>
            </w:r>
          </w:p>
        </w:tc>
        <w:tc>
          <w:tcPr>
            <w:tcW w:w="1398" w:type="dxa"/>
          </w:tcPr>
          <w:p w14:paraId="67DDE173" w14:textId="77777777" w:rsidR="00087970" w:rsidRPr="00F4165D" w:rsidRDefault="00087970" w:rsidP="007D1B14">
            <w:pPr>
              <w:jc w:val="right"/>
            </w:pPr>
            <w:r w:rsidRPr="00F4165D">
              <w:t>2024</w:t>
            </w:r>
          </w:p>
        </w:tc>
        <w:tc>
          <w:tcPr>
            <w:tcW w:w="1399" w:type="dxa"/>
          </w:tcPr>
          <w:p w14:paraId="461EEBA4" w14:textId="77777777" w:rsidR="00087970" w:rsidRPr="00F4165D" w:rsidRDefault="00087970" w:rsidP="007D1B14">
            <w:pPr>
              <w:jc w:val="right"/>
            </w:pPr>
            <w:r w:rsidRPr="00F4165D">
              <w:t>2025</w:t>
            </w:r>
          </w:p>
        </w:tc>
      </w:tr>
      <w:tr w:rsidR="00305738" w:rsidRPr="00F4165D" w14:paraId="28E9D2AF" w14:textId="77777777" w:rsidTr="00B17C98">
        <w:tc>
          <w:tcPr>
            <w:tcW w:w="3473" w:type="dxa"/>
          </w:tcPr>
          <w:p w14:paraId="3F46B869" w14:textId="605A96A2" w:rsidR="00305738" w:rsidRPr="00F4165D" w:rsidRDefault="00305738" w:rsidP="00305738">
            <w:pPr>
              <w:rPr>
                <w:lang w:val="en-GB"/>
              </w:rPr>
            </w:pPr>
            <w:r w:rsidRPr="00F4165D">
              <w:rPr>
                <w:lang w:val="en-GB"/>
              </w:rPr>
              <w:t>Net lending</w:t>
            </w:r>
            <w:r w:rsidR="001430FC">
              <w:rPr>
                <w:lang w:val="en-GB"/>
              </w:rPr>
              <w:t> </w:t>
            </w:r>
            <w:r w:rsidRPr="00F4165D">
              <w:rPr>
                <w:lang w:val="en-GB"/>
              </w:rPr>
              <w:t>/</w:t>
            </w:r>
            <w:r w:rsidR="001430FC">
              <w:rPr>
                <w:lang w:val="en-GB"/>
              </w:rPr>
              <w:t> </w:t>
            </w:r>
            <w:r w:rsidRPr="00F4165D">
              <w:rPr>
                <w:lang w:val="en-GB"/>
              </w:rPr>
              <w:t>net borrowing, CZK</w:t>
            </w:r>
            <w:r w:rsidR="001430FC">
              <w:rPr>
                <w:lang w:val="en-GB"/>
              </w:rPr>
              <w:t> </w:t>
            </w:r>
            <w:r w:rsidRPr="00F4165D">
              <w:rPr>
                <w:lang w:val="en-GB"/>
              </w:rPr>
              <w:t>mil.</w:t>
            </w:r>
          </w:p>
        </w:tc>
        <w:tc>
          <w:tcPr>
            <w:tcW w:w="1398" w:type="dxa"/>
            <w:vAlign w:val="center"/>
          </w:tcPr>
          <w:p w14:paraId="171D6C6A" w14:textId="1EE8E292" w:rsidR="00305738" w:rsidRPr="00F4165D" w:rsidRDefault="00305738" w:rsidP="007D1B14">
            <w:pPr>
              <w:jc w:val="right"/>
            </w:pPr>
            <w:r w:rsidRPr="00F4165D">
              <w:rPr>
                <w:rFonts w:ascii="Arial" w:hAnsi="Arial" w:cs="Arial"/>
              </w:rPr>
              <w:t>-213 884</w:t>
            </w:r>
          </w:p>
        </w:tc>
        <w:tc>
          <w:tcPr>
            <w:tcW w:w="1399" w:type="dxa"/>
            <w:vAlign w:val="center"/>
          </w:tcPr>
          <w:p w14:paraId="5ED4D0EF" w14:textId="6748B7CE" w:rsidR="00305738" w:rsidRPr="00F4165D" w:rsidRDefault="00305738" w:rsidP="007D1B14">
            <w:pPr>
              <w:jc w:val="right"/>
            </w:pPr>
            <w:r w:rsidRPr="00F4165D">
              <w:rPr>
                <w:rFonts w:ascii="Arial" w:hAnsi="Arial" w:cs="Arial"/>
              </w:rPr>
              <w:t>-282 814</w:t>
            </w:r>
          </w:p>
        </w:tc>
        <w:tc>
          <w:tcPr>
            <w:tcW w:w="1398" w:type="dxa"/>
            <w:vAlign w:val="center"/>
          </w:tcPr>
          <w:p w14:paraId="25604408" w14:textId="6BC03F96" w:rsidR="00305738" w:rsidRPr="00F4165D" w:rsidRDefault="00305738" w:rsidP="007D1B14">
            <w:pPr>
              <w:jc w:val="right"/>
            </w:pPr>
            <w:r w:rsidRPr="00F4165D">
              <w:rPr>
                <w:rFonts w:ascii="Arial" w:hAnsi="Arial" w:cs="Arial"/>
              </w:rPr>
              <w:t>-159 222</w:t>
            </w:r>
          </w:p>
        </w:tc>
        <w:tc>
          <w:tcPr>
            <w:tcW w:w="1399" w:type="dxa"/>
            <w:vAlign w:val="center"/>
          </w:tcPr>
          <w:p w14:paraId="791EAD43" w14:textId="495450F5" w:rsidR="00305738" w:rsidRPr="00F4165D" w:rsidRDefault="00305738" w:rsidP="007D1B14">
            <w:pPr>
              <w:jc w:val="right"/>
            </w:pPr>
            <w:r w:rsidRPr="00F4165D">
              <w:rPr>
                <w:rFonts w:ascii="Arial" w:hAnsi="Arial" w:cs="Arial"/>
              </w:rPr>
              <w:t>-185 469</w:t>
            </w:r>
          </w:p>
        </w:tc>
      </w:tr>
      <w:tr w:rsidR="00305738" w:rsidRPr="00F4165D" w14:paraId="1251D3E2" w14:textId="77777777" w:rsidTr="00B17C98">
        <w:tc>
          <w:tcPr>
            <w:tcW w:w="3473" w:type="dxa"/>
          </w:tcPr>
          <w:p w14:paraId="2007B71D" w14:textId="77777777" w:rsidR="001430FC" w:rsidRDefault="00305738" w:rsidP="00305738">
            <w:pPr>
              <w:rPr>
                <w:lang w:val="en-GB"/>
              </w:rPr>
            </w:pPr>
            <w:r w:rsidRPr="00F4165D">
              <w:rPr>
                <w:lang w:val="en-GB"/>
              </w:rPr>
              <w:t>Net lending</w:t>
            </w:r>
            <w:r w:rsidR="001430FC">
              <w:rPr>
                <w:lang w:val="en-GB"/>
              </w:rPr>
              <w:t> </w:t>
            </w:r>
            <w:r w:rsidRPr="00F4165D">
              <w:rPr>
                <w:lang w:val="en-GB"/>
              </w:rPr>
              <w:t>/</w:t>
            </w:r>
            <w:r w:rsidR="001430FC">
              <w:rPr>
                <w:lang w:val="en-GB"/>
              </w:rPr>
              <w:t> </w:t>
            </w:r>
            <w:r w:rsidRPr="00F4165D">
              <w:rPr>
                <w:lang w:val="en-GB"/>
              </w:rPr>
              <w:t xml:space="preserve">net borrowing, </w:t>
            </w:r>
          </w:p>
          <w:p w14:paraId="2D445A6B" w14:textId="7F19E8DF" w:rsidR="00305738" w:rsidRPr="00F4165D" w:rsidRDefault="00305738" w:rsidP="00305738">
            <w:pPr>
              <w:rPr>
                <w:lang w:val="en-GB"/>
              </w:rPr>
            </w:pPr>
            <w:r w:rsidRPr="00F4165D">
              <w:rPr>
                <w:lang w:val="en-GB"/>
              </w:rPr>
              <w:t xml:space="preserve">% </w:t>
            </w:r>
            <w:r w:rsidR="001430FC">
              <w:rPr>
                <w:lang w:val="en-GB"/>
              </w:rPr>
              <w:t xml:space="preserve">of </w:t>
            </w:r>
            <w:r w:rsidRPr="00F4165D">
              <w:rPr>
                <w:lang w:val="en-GB"/>
              </w:rPr>
              <w:t>GDP</w:t>
            </w:r>
          </w:p>
        </w:tc>
        <w:tc>
          <w:tcPr>
            <w:tcW w:w="1398" w:type="dxa"/>
            <w:vAlign w:val="center"/>
          </w:tcPr>
          <w:p w14:paraId="324D825B" w14:textId="23816BAA" w:rsidR="00305738" w:rsidRPr="00F4165D" w:rsidRDefault="00305738" w:rsidP="007D1B14">
            <w:pPr>
              <w:jc w:val="right"/>
            </w:pPr>
            <w:r w:rsidRPr="00F4165D">
              <w:rPr>
                <w:rFonts w:ascii="Arial" w:hAnsi="Arial" w:cs="Arial"/>
              </w:rPr>
              <w:t>-3.0</w:t>
            </w:r>
          </w:p>
        </w:tc>
        <w:tc>
          <w:tcPr>
            <w:tcW w:w="1399" w:type="dxa"/>
            <w:vAlign w:val="center"/>
          </w:tcPr>
          <w:p w14:paraId="628E9B79" w14:textId="68E1560E" w:rsidR="00305738" w:rsidRPr="00F4165D" w:rsidRDefault="00305738" w:rsidP="007D1B14">
            <w:pPr>
              <w:jc w:val="right"/>
            </w:pPr>
            <w:r w:rsidRPr="00F4165D">
              <w:rPr>
                <w:rFonts w:ascii="Arial" w:hAnsi="Arial" w:cs="Arial"/>
              </w:rPr>
              <w:t>-3.7</w:t>
            </w:r>
          </w:p>
        </w:tc>
        <w:tc>
          <w:tcPr>
            <w:tcW w:w="1398" w:type="dxa"/>
            <w:vAlign w:val="center"/>
          </w:tcPr>
          <w:p w14:paraId="13EF5690" w14:textId="0A89BC85" w:rsidR="00305738" w:rsidRPr="00F4165D" w:rsidRDefault="00305738" w:rsidP="007D1B14">
            <w:pPr>
              <w:jc w:val="right"/>
            </w:pPr>
            <w:r w:rsidRPr="00F4165D">
              <w:rPr>
                <w:rFonts w:ascii="Arial" w:hAnsi="Arial" w:cs="Arial"/>
              </w:rPr>
              <w:t>-2.0</w:t>
            </w:r>
          </w:p>
        </w:tc>
        <w:tc>
          <w:tcPr>
            <w:tcW w:w="1399" w:type="dxa"/>
            <w:vAlign w:val="center"/>
          </w:tcPr>
          <w:p w14:paraId="5FD8917A" w14:textId="064148EA" w:rsidR="00305738" w:rsidRPr="00F4165D" w:rsidRDefault="00305738" w:rsidP="007D1B14">
            <w:pPr>
              <w:jc w:val="right"/>
            </w:pPr>
            <w:r w:rsidRPr="00F4165D">
              <w:rPr>
                <w:rFonts w:ascii="Arial" w:hAnsi="Arial" w:cs="Arial"/>
              </w:rPr>
              <w:t>-2.2</w:t>
            </w:r>
          </w:p>
        </w:tc>
      </w:tr>
      <w:tr w:rsidR="00305738" w:rsidRPr="00F4165D" w14:paraId="0489DD0F" w14:textId="77777777" w:rsidTr="00B17C98">
        <w:tc>
          <w:tcPr>
            <w:tcW w:w="3473" w:type="dxa"/>
          </w:tcPr>
          <w:p w14:paraId="5A89403E" w14:textId="77777777" w:rsidR="001430FC" w:rsidRDefault="00305738" w:rsidP="00305738">
            <w:pPr>
              <w:rPr>
                <w:lang w:val="en-GB"/>
              </w:rPr>
            </w:pPr>
            <w:r w:rsidRPr="00F4165D">
              <w:rPr>
                <w:lang w:val="en-GB"/>
              </w:rPr>
              <w:t xml:space="preserve">Consolidated gross debt, </w:t>
            </w:r>
          </w:p>
          <w:p w14:paraId="683A416B" w14:textId="63089000" w:rsidR="00305738" w:rsidRPr="00F4165D" w:rsidRDefault="00305738" w:rsidP="00305738">
            <w:pPr>
              <w:rPr>
                <w:lang w:val="en-GB"/>
              </w:rPr>
            </w:pPr>
            <w:r w:rsidRPr="00F4165D">
              <w:rPr>
                <w:lang w:val="en-GB"/>
              </w:rPr>
              <w:t>CZK</w:t>
            </w:r>
            <w:r w:rsidR="001430FC">
              <w:rPr>
                <w:lang w:val="en-GB"/>
              </w:rPr>
              <w:t> </w:t>
            </w:r>
            <w:r w:rsidRPr="00F4165D">
              <w:rPr>
                <w:lang w:val="en-GB"/>
              </w:rPr>
              <w:t>mil.</w:t>
            </w:r>
          </w:p>
        </w:tc>
        <w:tc>
          <w:tcPr>
            <w:tcW w:w="1398" w:type="dxa"/>
            <w:vAlign w:val="center"/>
          </w:tcPr>
          <w:p w14:paraId="1DEC882E" w14:textId="08F9D439" w:rsidR="00305738" w:rsidRPr="00F4165D" w:rsidRDefault="00305738" w:rsidP="007D1B14">
            <w:pPr>
              <w:jc w:val="right"/>
            </w:pPr>
            <w:r w:rsidRPr="00F4165D">
              <w:rPr>
                <w:rFonts w:ascii="Arial" w:hAnsi="Arial" w:cs="Arial"/>
              </w:rPr>
              <w:t>2 997 632</w:t>
            </w:r>
          </w:p>
        </w:tc>
        <w:tc>
          <w:tcPr>
            <w:tcW w:w="1399" w:type="dxa"/>
            <w:vAlign w:val="center"/>
          </w:tcPr>
          <w:p w14:paraId="16310C2E" w14:textId="734F3704" w:rsidR="00305738" w:rsidRPr="00F4165D" w:rsidRDefault="00305738" w:rsidP="007D1B14">
            <w:pPr>
              <w:jc w:val="right"/>
            </w:pPr>
            <w:r w:rsidRPr="00F4165D">
              <w:rPr>
                <w:rFonts w:ascii="Arial" w:hAnsi="Arial" w:cs="Arial"/>
              </w:rPr>
              <w:t>3 234 102</w:t>
            </w:r>
          </w:p>
        </w:tc>
        <w:tc>
          <w:tcPr>
            <w:tcW w:w="1398" w:type="dxa"/>
            <w:vAlign w:val="center"/>
          </w:tcPr>
          <w:p w14:paraId="72ACEE6A" w14:textId="40FE8A04" w:rsidR="00305738" w:rsidRPr="00F4165D" w:rsidRDefault="00305738" w:rsidP="007D1B14">
            <w:pPr>
              <w:jc w:val="right"/>
            </w:pPr>
            <w:r w:rsidRPr="00F4165D">
              <w:rPr>
                <w:rFonts w:ascii="Arial" w:hAnsi="Arial" w:cs="Arial"/>
              </w:rPr>
              <w:t>3 488 500</w:t>
            </w:r>
          </w:p>
        </w:tc>
        <w:tc>
          <w:tcPr>
            <w:tcW w:w="1399" w:type="dxa"/>
            <w:vAlign w:val="center"/>
          </w:tcPr>
          <w:p w14:paraId="6F435111" w14:textId="00019526" w:rsidR="00305738" w:rsidRPr="00F4165D" w:rsidRDefault="00305738" w:rsidP="007D1B14">
            <w:pPr>
              <w:jc w:val="right"/>
            </w:pPr>
            <w:r w:rsidRPr="00F4165D">
              <w:rPr>
                <w:rFonts w:ascii="Arial" w:hAnsi="Arial" w:cs="Arial"/>
              </w:rPr>
              <w:t>3 787 253</w:t>
            </w:r>
          </w:p>
        </w:tc>
      </w:tr>
      <w:tr w:rsidR="00305738" w:rsidRPr="00F4165D" w14:paraId="1F12BB3E" w14:textId="77777777" w:rsidTr="00B17C98">
        <w:tc>
          <w:tcPr>
            <w:tcW w:w="3473" w:type="dxa"/>
          </w:tcPr>
          <w:p w14:paraId="6610CEFD" w14:textId="77777777" w:rsidR="001430FC" w:rsidRDefault="00305738" w:rsidP="00305738">
            <w:pPr>
              <w:rPr>
                <w:lang w:val="en-GB"/>
              </w:rPr>
            </w:pPr>
            <w:r w:rsidRPr="00F4165D">
              <w:rPr>
                <w:lang w:val="en-GB"/>
              </w:rPr>
              <w:t xml:space="preserve">Consolidated gross debt, </w:t>
            </w:r>
          </w:p>
          <w:p w14:paraId="37F240DF" w14:textId="5E72681B" w:rsidR="00305738" w:rsidRPr="00F4165D" w:rsidRDefault="00305738" w:rsidP="00305738">
            <w:pPr>
              <w:rPr>
                <w:lang w:val="en-GB"/>
              </w:rPr>
            </w:pPr>
            <w:r w:rsidRPr="00F4165D">
              <w:rPr>
                <w:lang w:val="en-GB"/>
              </w:rPr>
              <w:t xml:space="preserve">% </w:t>
            </w:r>
            <w:r w:rsidR="001430FC">
              <w:rPr>
                <w:lang w:val="en-GB"/>
              </w:rPr>
              <w:t xml:space="preserve">of </w:t>
            </w:r>
            <w:r w:rsidRPr="00F4165D">
              <w:rPr>
                <w:lang w:val="en-GB"/>
              </w:rPr>
              <w:t>GDP</w:t>
            </w:r>
          </w:p>
        </w:tc>
        <w:tc>
          <w:tcPr>
            <w:tcW w:w="1398" w:type="dxa"/>
            <w:vAlign w:val="center"/>
          </w:tcPr>
          <w:p w14:paraId="63AF7C3B" w14:textId="67FDAB91" w:rsidR="00305738" w:rsidRPr="00F4165D" w:rsidRDefault="00305738" w:rsidP="007D1B14">
            <w:pPr>
              <w:jc w:val="right"/>
            </w:pPr>
            <w:r w:rsidRPr="00F4165D">
              <w:rPr>
                <w:rFonts w:ascii="Arial" w:hAnsi="Arial" w:cs="Arial"/>
              </w:rPr>
              <w:t>42.5</w:t>
            </w:r>
          </w:p>
        </w:tc>
        <w:tc>
          <w:tcPr>
            <w:tcW w:w="1399" w:type="dxa"/>
            <w:vAlign w:val="center"/>
          </w:tcPr>
          <w:p w14:paraId="5E3DDFBD" w14:textId="1F70CE52" w:rsidR="00305738" w:rsidRPr="00F4165D" w:rsidRDefault="00305738" w:rsidP="007D1B14">
            <w:pPr>
              <w:jc w:val="right"/>
            </w:pPr>
            <w:r w:rsidRPr="00F4165D">
              <w:rPr>
                <w:rFonts w:ascii="Arial" w:hAnsi="Arial" w:cs="Arial"/>
              </w:rPr>
              <w:t>42.2</w:t>
            </w:r>
          </w:p>
        </w:tc>
        <w:tc>
          <w:tcPr>
            <w:tcW w:w="1398" w:type="dxa"/>
            <w:vAlign w:val="center"/>
          </w:tcPr>
          <w:p w14:paraId="06BD3C9E" w14:textId="5388BC0E" w:rsidR="00305738" w:rsidRPr="00F4165D" w:rsidRDefault="00305738" w:rsidP="007D1B14">
            <w:pPr>
              <w:jc w:val="right"/>
            </w:pPr>
            <w:r w:rsidRPr="00F4165D">
              <w:rPr>
                <w:rFonts w:ascii="Arial" w:hAnsi="Arial" w:cs="Arial"/>
              </w:rPr>
              <w:t>43.2</w:t>
            </w:r>
          </w:p>
        </w:tc>
        <w:tc>
          <w:tcPr>
            <w:tcW w:w="1399" w:type="dxa"/>
            <w:vAlign w:val="center"/>
          </w:tcPr>
          <w:p w14:paraId="24CB1C8B" w14:textId="7441C0CF" w:rsidR="00305738" w:rsidRPr="00F4165D" w:rsidRDefault="00305738" w:rsidP="007D1B14">
            <w:pPr>
              <w:jc w:val="right"/>
            </w:pPr>
            <w:r w:rsidRPr="00F4165D">
              <w:rPr>
                <w:rFonts w:ascii="Arial" w:hAnsi="Arial" w:cs="Arial"/>
              </w:rPr>
              <w:t>44.2</w:t>
            </w:r>
          </w:p>
        </w:tc>
      </w:tr>
    </w:tbl>
    <w:p w14:paraId="2137D2B2" w14:textId="1A0549F7" w:rsidR="000876AE" w:rsidRPr="00F4165D" w:rsidRDefault="00C74A35" w:rsidP="00A22708">
      <w:pPr>
        <w:spacing w:before="280" w:after="0"/>
        <w:jc w:val="left"/>
        <w:rPr>
          <w:rFonts w:eastAsiaTheme="majorEastAsia" w:cstheme="majorBidi"/>
          <w:b/>
          <w:bCs/>
          <w:color w:val="545860" w:themeColor="text2"/>
          <w:lang w:val="en-GB"/>
        </w:rPr>
      </w:pPr>
      <w:r w:rsidRPr="00F4165D">
        <w:rPr>
          <w:rFonts w:eastAsiaTheme="majorEastAsia" w:cstheme="majorBidi"/>
          <w:b/>
          <w:bCs/>
          <w:color w:val="545860" w:themeColor="text2"/>
          <w:lang w:val="en-GB"/>
        </w:rPr>
        <w:t>Net lending / net borrowing</w:t>
      </w:r>
    </w:p>
    <w:p w14:paraId="5FF7D9D6" w14:textId="405BA3FB" w:rsidR="000876AE" w:rsidRPr="00F4165D" w:rsidRDefault="000876AE" w:rsidP="000876AE">
      <w:pPr>
        <w:jc w:val="left"/>
        <w:rPr>
          <w:rFonts w:cs="Arial"/>
          <w:lang w:val="en-GB"/>
        </w:rPr>
      </w:pPr>
      <w:r w:rsidRPr="00F4165D">
        <w:rPr>
          <w:rFonts w:cs="Arial"/>
          <w:lang w:val="en-GB"/>
        </w:rPr>
        <w:t xml:space="preserve">The largest part of the deficit </w:t>
      </w:r>
      <w:r w:rsidR="00332D40">
        <w:rPr>
          <w:rFonts w:cs="Arial"/>
          <w:lang w:val="en-GB"/>
        </w:rPr>
        <w:t>was in</w:t>
      </w:r>
      <w:r w:rsidRPr="00F4165D">
        <w:rPr>
          <w:rFonts w:cs="Arial"/>
          <w:lang w:val="en-GB"/>
        </w:rPr>
        <w:t xml:space="preserve"> the central government sub-sector that ended up with the deficit of CZK </w:t>
      </w:r>
      <w:r w:rsidR="0084627A" w:rsidRPr="00F4165D">
        <w:rPr>
          <w:rFonts w:cs="Arial"/>
          <w:lang w:val="en-GB"/>
        </w:rPr>
        <w:t>202</w:t>
      </w:r>
      <w:r w:rsidRPr="00F4165D">
        <w:rPr>
          <w:rFonts w:cs="Arial"/>
          <w:lang w:val="en-GB"/>
        </w:rPr>
        <w:t>.</w:t>
      </w:r>
      <w:r w:rsidR="0084627A" w:rsidRPr="00F4165D">
        <w:rPr>
          <w:rFonts w:cs="Arial"/>
          <w:lang w:val="en-GB"/>
        </w:rPr>
        <w:t>6</w:t>
      </w:r>
      <w:r w:rsidRPr="00F4165D">
        <w:rPr>
          <w:rFonts w:cs="Arial"/>
          <w:lang w:val="en-GB"/>
        </w:rPr>
        <w:t xml:space="preserve"> bn. </w:t>
      </w:r>
      <w:r w:rsidRPr="00F4165D">
        <w:rPr>
          <w:lang w:val="en-GB"/>
        </w:rPr>
        <w:t>The local government sector ended up with a surplus of CZK</w:t>
      </w:r>
      <w:r w:rsidRPr="00F4165D">
        <w:rPr>
          <w:rFonts w:cs="Arial"/>
          <w:lang w:val="en-GB"/>
        </w:rPr>
        <w:t> 2</w:t>
      </w:r>
      <w:r w:rsidR="0084627A" w:rsidRPr="00F4165D">
        <w:rPr>
          <w:rFonts w:cs="Arial"/>
          <w:lang w:val="en-GB"/>
        </w:rPr>
        <w:t>8</w:t>
      </w:r>
      <w:r w:rsidRPr="00F4165D">
        <w:rPr>
          <w:rFonts w:cs="Arial"/>
          <w:lang w:val="en-GB"/>
        </w:rPr>
        <w:t>.</w:t>
      </w:r>
      <w:r w:rsidR="0084627A" w:rsidRPr="00F4165D">
        <w:rPr>
          <w:rFonts w:cs="Arial"/>
          <w:lang w:val="en-GB"/>
        </w:rPr>
        <w:t>3</w:t>
      </w:r>
      <w:r w:rsidRPr="00F4165D">
        <w:rPr>
          <w:rFonts w:cs="Arial"/>
          <w:lang w:val="en-GB"/>
        </w:rPr>
        <w:t> </w:t>
      </w:r>
      <w:proofErr w:type="gramStart"/>
      <w:r w:rsidRPr="00F4165D">
        <w:rPr>
          <w:rFonts w:cs="Arial"/>
          <w:lang w:val="en-GB"/>
        </w:rPr>
        <w:t>bn</w:t>
      </w:r>
      <w:proofErr w:type="gramEnd"/>
      <w:r w:rsidRPr="00F4165D">
        <w:rPr>
          <w:rFonts w:cs="Arial"/>
          <w:lang w:val="en-GB"/>
        </w:rPr>
        <w:t xml:space="preserve"> and the social security funds sub-sector (of health insurance companies) ended up with a</w:t>
      </w:r>
      <w:r w:rsidR="0084627A" w:rsidRPr="00F4165D">
        <w:rPr>
          <w:rFonts w:cs="Arial"/>
          <w:lang w:val="en-GB"/>
        </w:rPr>
        <w:t> </w:t>
      </w:r>
      <w:r w:rsidRPr="00F4165D">
        <w:rPr>
          <w:rFonts w:cs="Arial"/>
          <w:lang w:val="en-GB"/>
        </w:rPr>
        <w:t>deficit of CZK 1</w:t>
      </w:r>
      <w:r w:rsidR="0084627A" w:rsidRPr="00F4165D">
        <w:rPr>
          <w:rFonts w:cs="Arial"/>
          <w:lang w:val="en-GB"/>
        </w:rPr>
        <w:t>1</w:t>
      </w:r>
      <w:r w:rsidRPr="00F4165D">
        <w:rPr>
          <w:rFonts w:cs="Arial"/>
          <w:lang w:val="en-GB"/>
        </w:rPr>
        <w:t>.</w:t>
      </w:r>
      <w:r w:rsidR="0084627A" w:rsidRPr="00F4165D">
        <w:rPr>
          <w:rFonts w:cs="Arial"/>
          <w:lang w:val="en-GB"/>
        </w:rPr>
        <w:t>2</w:t>
      </w:r>
      <w:r w:rsidRPr="00F4165D">
        <w:rPr>
          <w:rFonts w:cs="Arial"/>
          <w:lang w:val="en-GB"/>
        </w:rPr>
        <w:t> bn.</w:t>
      </w:r>
    </w:p>
    <w:p w14:paraId="52A6C872" w14:textId="66C92755" w:rsidR="00F62F51" w:rsidRPr="00F4165D" w:rsidRDefault="00F62F51" w:rsidP="001A75E8">
      <w:pPr>
        <w:jc w:val="left"/>
        <w:rPr>
          <w:rFonts w:cs="Arial"/>
          <w:lang w:val="en-GB"/>
        </w:rPr>
      </w:pPr>
      <w:r w:rsidRPr="00F4165D">
        <w:rPr>
          <w:rFonts w:cs="Arial"/>
          <w:lang w:val="en-GB"/>
        </w:rPr>
        <w:t xml:space="preserve">The total general government sector revenue increased by </w:t>
      </w:r>
      <w:r w:rsidR="00C36D22" w:rsidRPr="00F4165D">
        <w:rPr>
          <w:rFonts w:cs="Arial"/>
          <w:lang w:val="en-GB"/>
        </w:rPr>
        <w:t>6</w:t>
      </w:r>
      <w:r w:rsidRPr="00F4165D">
        <w:rPr>
          <w:rFonts w:cs="Arial"/>
          <w:lang w:val="en-GB"/>
        </w:rPr>
        <w:t>.</w:t>
      </w:r>
      <w:r w:rsidR="00C36D22" w:rsidRPr="00F4165D">
        <w:rPr>
          <w:rFonts w:cs="Arial"/>
          <w:lang w:val="en-GB"/>
        </w:rPr>
        <w:t>2</w:t>
      </w:r>
      <w:r w:rsidRPr="00F4165D">
        <w:rPr>
          <w:rFonts w:cs="Arial"/>
          <w:lang w:val="en-GB"/>
        </w:rPr>
        <w:t>%, y-o-y</w:t>
      </w:r>
      <w:r w:rsidR="00391B1C">
        <w:rPr>
          <w:rFonts w:cs="Arial"/>
          <w:lang w:val="en-GB"/>
        </w:rPr>
        <w:t xml:space="preserve">, </w:t>
      </w:r>
      <w:r w:rsidR="00391B1C" w:rsidRPr="00F4165D">
        <w:rPr>
          <w:rFonts w:cs="Arial"/>
          <w:lang w:val="en-GB"/>
        </w:rPr>
        <w:t>in 2025</w:t>
      </w:r>
      <w:r w:rsidRPr="00F4165D">
        <w:rPr>
          <w:rFonts w:cs="Arial"/>
          <w:lang w:val="en-GB"/>
        </w:rPr>
        <w:t>; in absolute terms, it was an increase by CZK</w:t>
      </w:r>
      <w:r w:rsidR="00C36D22" w:rsidRPr="00F4165D">
        <w:rPr>
          <w:rFonts w:cs="Arial"/>
          <w:lang w:val="en-GB"/>
        </w:rPr>
        <w:t> 20</w:t>
      </w:r>
      <w:r w:rsidRPr="00F4165D">
        <w:rPr>
          <w:rFonts w:cs="Arial"/>
          <w:lang w:val="en-GB"/>
        </w:rPr>
        <w:t>4.</w:t>
      </w:r>
      <w:r w:rsidR="00C36D22" w:rsidRPr="00F4165D">
        <w:rPr>
          <w:rFonts w:cs="Arial"/>
          <w:lang w:val="en-GB"/>
        </w:rPr>
        <w:t>9 </w:t>
      </w:r>
      <w:r w:rsidRPr="00F4165D">
        <w:rPr>
          <w:rFonts w:cs="Arial"/>
          <w:lang w:val="en-GB"/>
        </w:rPr>
        <w:t>bn. Received social contributions, revenue from income taxes</w:t>
      </w:r>
      <w:r w:rsidR="00F53B1A">
        <w:rPr>
          <w:rFonts w:cs="Arial"/>
          <w:lang w:val="en-GB"/>
        </w:rPr>
        <w:t>,</w:t>
      </w:r>
      <w:r w:rsidRPr="00F4165D">
        <w:rPr>
          <w:rFonts w:cs="Arial"/>
          <w:lang w:val="en-GB"/>
        </w:rPr>
        <w:t xml:space="preserve"> and</w:t>
      </w:r>
      <w:r w:rsidR="00F53B1A">
        <w:rPr>
          <w:rFonts w:cs="Arial"/>
          <w:lang w:val="en-GB"/>
        </w:rPr>
        <w:t xml:space="preserve"> revenue</w:t>
      </w:r>
      <w:r w:rsidRPr="00F4165D">
        <w:rPr>
          <w:rFonts w:cs="Arial"/>
          <w:lang w:val="en-GB"/>
        </w:rPr>
        <w:t xml:space="preserve"> from taxes on production and imports </w:t>
      </w:r>
      <w:r w:rsidR="00F53B1A">
        <w:rPr>
          <w:rFonts w:cs="Arial"/>
          <w:lang w:val="en-GB"/>
        </w:rPr>
        <w:t>increased</w:t>
      </w:r>
      <w:r w:rsidRPr="00F4165D">
        <w:rPr>
          <w:rFonts w:cs="Arial"/>
          <w:lang w:val="en-GB"/>
        </w:rPr>
        <w:t xml:space="preserve"> the most</w:t>
      </w:r>
      <w:r w:rsidR="00125948" w:rsidRPr="00F4165D">
        <w:rPr>
          <w:rFonts w:cs="Arial"/>
          <w:lang w:val="en-GB"/>
        </w:rPr>
        <w:t xml:space="preserve"> </w:t>
      </w:r>
      <w:r w:rsidR="00F53B1A" w:rsidRPr="00F4165D">
        <w:rPr>
          <w:rFonts w:cs="Arial"/>
          <w:lang w:val="en-GB"/>
        </w:rPr>
        <w:t xml:space="preserve">in absolute terms </w:t>
      </w:r>
      <w:r w:rsidR="00125948" w:rsidRPr="00F4165D">
        <w:rPr>
          <w:rFonts w:cs="Arial"/>
          <w:lang w:val="en-GB"/>
        </w:rPr>
        <w:t>(by CZK 80.2 bn, CZK 41.4 bn, and CZK 44.0 bn)</w:t>
      </w:r>
      <w:r w:rsidRPr="00F4165D">
        <w:rPr>
          <w:rFonts w:cs="Arial"/>
          <w:lang w:val="en-GB"/>
        </w:rPr>
        <w:t>.</w:t>
      </w:r>
    </w:p>
    <w:p w14:paraId="7089CB50" w14:textId="69D1F684" w:rsidR="001D3284" w:rsidRPr="00F4165D" w:rsidRDefault="00F62F51" w:rsidP="001A75E8">
      <w:pPr>
        <w:jc w:val="left"/>
        <w:rPr>
          <w:rFonts w:cs="Arial"/>
          <w:lang w:val="en-GB"/>
        </w:rPr>
      </w:pPr>
      <w:r w:rsidRPr="00F4165D">
        <w:rPr>
          <w:rFonts w:cs="Arial"/>
          <w:lang w:val="en-GB"/>
        </w:rPr>
        <w:t>The total general government sector expenditure increased by 6.</w:t>
      </w:r>
      <w:r w:rsidR="0056331C" w:rsidRPr="00F4165D">
        <w:rPr>
          <w:rFonts w:cs="Arial"/>
          <w:lang w:val="en-GB"/>
        </w:rPr>
        <w:t>6</w:t>
      </w:r>
      <w:r w:rsidRPr="00F4165D">
        <w:rPr>
          <w:rFonts w:cs="Arial"/>
          <w:lang w:val="en-GB"/>
        </w:rPr>
        <w:t>%, y-o-y, or by CZK</w:t>
      </w:r>
      <w:r w:rsidR="0056331C" w:rsidRPr="00F4165D">
        <w:rPr>
          <w:rFonts w:cs="Arial"/>
          <w:lang w:val="en-GB"/>
        </w:rPr>
        <w:t> </w:t>
      </w:r>
      <w:r w:rsidRPr="00F4165D">
        <w:rPr>
          <w:rFonts w:cs="Arial"/>
          <w:lang w:val="en-GB"/>
        </w:rPr>
        <w:t>2</w:t>
      </w:r>
      <w:r w:rsidR="0056331C" w:rsidRPr="00F4165D">
        <w:rPr>
          <w:rFonts w:cs="Arial"/>
          <w:lang w:val="en-GB"/>
        </w:rPr>
        <w:t>31</w:t>
      </w:r>
      <w:r w:rsidRPr="00F4165D">
        <w:rPr>
          <w:rFonts w:cs="Arial"/>
          <w:lang w:val="en-GB"/>
        </w:rPr>
        <w:t>.</w:t>
      </w:r>
      <w:r w:rsidR="0056331C" w:rsidRPr="00F4165D">
        <w:rPr>
          <w:rFonts w:cs="Arial"/>
          <w:lang w:val="en-GB"/>
        </w:rPr>
        <w:t>1 </w:t>
      </w:r>
      <w:r w:rsidRPr="00F4165D">
        <w:rPr>
          <w:rFonts w:cs="Arial"/>
          <w:lang w:val="en-GB"/>
        </w:rPr>
        <w:t>bn</w:t>
      </w:r>
      <w:r w:rsidR="00391B1C">
        <w:rPr>
          <w:rFonts w:cs="Arial"/>
          <w:lang w:val="en-GB"/>
        </w:rPr>
        <w:t xml:space="preserve"> </w:t>
      </w:r>
      <w:r w:rsidR="00391B1C" w:rsidRPr="00F4165D">
        <w:rPr>
          <w:rFonts w:cs="Arial"/>
          <w:lang w:val="en-GB"/>
        </w:rPr>
        <w:t>in 2025</w:t>
      </w:r>
      <w:r w:rsidRPr="00F4165D">
        <w:rPr>
          <w:rFonts w:cs="Arial"/>
          <w:lang w:val="en-GB"/>
        </w:rPr>
        <w:t>. The biggest increase was recorded for gross fixed capital formation</w:t>
      </w:r>
      <w:r w:rsidR="0056331C" w:rsidRPr="00F4165D">
        <w:rPr>
          <w:rFonts w:cs="Arial"/>
          <w:lang w:val="en-GB"/>
        </w:rPr>
        <w:t xml:space="preserve"> (CZK 65.5 bn)</w:t>
      </w:r>
      <w:r w:rsidRPr="00F4165D">
        <w:rPr>
          <w:rFonts w:cs="Arial"/>
          <w:lang w:val="en-GB"/>
        </w:rPr>
        <w:t>, compensation of employees paid</w:t>
      </w:r>
      <w:r w:rsidR="0056331C" w:rsidRPr="00F4165D">
        <w:rPr>
          <w:rFonts w:cs="Arial"/>
          <w:lang w:val="en-GB"/>
        </w:rPr>
        <w:t xml:space="preserve"> (CZK 56.7 bn)</w:t>
      </w:r>
      <w:r w:rsidRPr="00F4165D">
        <w:rPr>
          <w:rFonts w:cs="Arial"/>
          <w:lang w:val="en-GB"/>
        </w:rPr>
        <w:t xml:space="preserve">, </w:t>
      </w:r>
      <w:r w:rsidRPr="0013468F">
        <w:rPr>
          <w:rFonts w:cs="Arial"/>
          <w:lang w:val="en-GB"/>
        </w:rPr>
        <w:t>and social benefits paid</w:t>
      </w:r>
      <w:r w:rsidR="0056331C" w:rsidRPr="0013468F">
        <w:rPr>
          <w:rFonts w:cs="Arial"/>
          <w:lang w:val="en-GB"/>
        </w:rPr>
        <w:t xml:space="preserve"> (CZK</w:t>
      </w:r>
      <w:r w:rsidR="0056331C" w:rsidRPr="00F4165D">
        <w:rPr>
          <w:rFonts w:cs="Arial"/>
          <w:lang w:val="en-GB"/>
        </w:rPr>
        <w:t> 40.5 bn)</w:t>
      </w:r>
      <w:r w:rsidRPr="00F4165D">
        <w:rPr>
          <w:rFonts w:cs="Arial"/>
          <w:lang w:val="en-GB"/>
        </w:rPr>
        <w:t>.</w:t>
      </w:r>
    </w:p>
    <w:p w14:paraId="113FC28C" w14:textId="2A554FA2" w:rsidR="00087970" w:rsidRPr="00F4165D" w:rsidRDefault="001D3284" w:rsidP="001A75E8">
      <w:pPr>
        <w:jc w:val="left"/>
        <w:rPr>
          <w:rFonts w:cs="Arial"/>
          <w:lang w:val="en-GB"/>
        </w:rPr>
      </w:pPr>
      <w:r w:rsidRPr="00F4165D">
        <w:rPr>
          <w:rFonts w:cs="Arial"/>
          <w:lang w:val="en-GB"/>
        </w:rPr>
        <w:t>Compared to spring notifications, the balance of the general government sector (n</w:t>
      </w:r>
      <w:r w:rsidRPr="00F4165D">
        <w:rPr>
          <w:lang w:val="en-GB"/>
        </w:rPr>
        <w:t>et lending / net borrowing)</w:t>
      </w:r>
      <w:r w:rsidR="00F62F51" w:rsidRPr="00F4165D">
        <w:rPr>
          <w:rFonts w:cs="Arial"/>
          <w:lang w:val="en-GB"/>
        </w:rPr>
        <w:t xml:space="preserve"> </w:t>
      </w:r>
      <w:r w:rsidRPr="00F4165D">
        <w:rPr>
          <w:rFonts w:cs="Arial"/>
          <w:lang w:val="en-GB"/>
        </w:rPr>
        <w:t xml:space="preserve">worsened </w:t>
      </w:r>
      <w:r w:rsidR="00BF48BB" w:rsidRPr="00F4165D">
        <w:rPr>
          <w:rFonts w:cs="Arial"/>
          <w:lang w:val="en-GB"/>
        </w:rPr>
        <w:t>in 20</w:t>
      </w:r>
      <w:r w:rsidR="00BF48BB">
        <w:rPr>
          <w:rFonts w:cs="Arial"/>
          <w:lang w:val="en-GB"/>
        </w:rPr>
        <w:t>2</w:t>
      </w:r>
      <w:r w:rsidR="00BF48BB" w:rsidRPr="00F4165D">
        <w:rPr>
          <w:rFonts w:cs="Arial"/>
          <w:lang w:val="en-GB"/>
        </w:rPr>
        <w:t xml:space="preserve">5 </w:t>
      </w:r>
      <w:r w:rsidRPr="00F4165D">
        <w:rPr>
          <w:rFonts w:cs="Arial"/>
          <w:lang w:val="en-GB"/>
        </w:rPr>
        <w:t xml:space="preserve">by 0.1 p. p. mainly due to updated information on income tax of legal </w:t>
      </w:r>
      <w:r w:rsidRPr="00F4165D">
        <w:rPr>
          <w:rFonts w:cs="Arial"/>
          <w:lang w:val="en-GB"/>
        </w:rPr>
        <w:lastRenderedPageBreak/>
        <w:t>persons.</w:t>
      </w:r>
      <w:r w:rsidR="001279FE" w:rsidRPr="00F4165D">
        <w:rPr>
          <w:rFonts w:cs="Arial"/>
          <w:lang w:val="en-GB"/>
        </w:rPr>
        <w:t xml:space="preserve"> </w:t>
      </w:r>
      <w:r w:rsidR="006C2152" w:rsidRPr="00F4165D">
        <w:rPr>
          <w:rFonts w:cs="Arial"/>
          <w:lang w:val="en-GB"/>
        </w:rPr>
        <w:t>In all the years,</w:t>
      </w:r>
      <w:r w:rsidR="00C62424" w:rsidRPr="00F4165D">
        <w:rPr>
          <w:rFonts w:cs="Arial"/>
          <w:lang w:val="en-GB"/>
        </w:rPr>
        <w:t xml:space="preserve"> data were refined on received social contributions to health insurance, which meant an increase in the </w:t>
      </w:r>
      <w:r w:rsidR="0047364E" w:rsidRPr="00F4165D">
        <w:rPr>
          <w:rFonts w:cs="Arial"/>
          <w:lang w:val="en-GB"/>
        </w:rPr>
        <w:t xml:space="preserve">revenue of the </w:t>
      </w:r>
      <w:r w:rsidR="00C62424" w:rsidRPr="00F4165D">
        <w:rPr>
          <w:rFonts w:cs="Arial"/>
          <w:lang w:val="en-GB"/>
        </w:rPr>
        <w:t>general government</w:t>
      </w:r>
      <w:r w:rsidR="0047364E" w:rsidRPr="00F4165D">
        <w:rPr>
          <w:rFonts w:cs="Arial"/>
          <w:lang w:val="en-GB"/>
        </w:rPr>
        <w:t xml:space="preserve"> sector</w:t>
      </w:r>
      <w:r w:rsidR="00C62424" w:rsidRPr="00F4165D">
        <w:rPr>
          <w:rFonts w:cs="Arial"/>
          <w:lang w:val="en-GB"/>
        </w:rPr>
        <w:t>.</w:t>
      </w:r>
      <w:r w:rsidR="00771587" w:rsidRPr="00F4165D">
        <w:rPr>
          <w:rFonts w:cs="Arial"/>
          <w:lang w:val="en-GB"/>
        </w:rPr>
        <w:t xml:space="preserve"> The influence on a relative indicator of the balance was 0.1 p. p. in the years 2024 and 2025.</w:t>
      </w:r>
    </w:p>
    <w:p w14:paraId="5B736AE9" w14:textId="20DC2CF7" w:rsidR="004E0C3E" w:rsidRPr="00F4165D" w:rsidRDefault="001A75E8" w:rsidP="004E0C3E">
      <w:pPr>
        <w:pStyle w:val="Nadpis6"/>
        <w:rPr>
          <w:lang w:val="en-GB"/>
        </w:rPr>
      </w:pPr>
      <w:r w:rsidRPr="00F4165D">
        <w:rPr>
          <w:lang w:val="en-GB"/>
        </w:rPr>
        <w:t>D</w:t>
      </w:r>
      <w:r w:rsidR="004E0C3E" w:rsidRPr="00F4165D">
        <w:rPr>
          <w:lang w:val="en-GB"/>
        </w:rPr>
        <w:t>ebt</w:t>
      </w:r>
    </w:p>
    <w:p w14:paraId="0056789B" w14:textId="7F9F2EB7" w:rsidR="00F62F51" w:rsidRPr="00F4165D" w:rsidRDefault="001A75E8" w:rsidP="001A75E8">
      <w:pPr>
        <w:jc w:val="left"/>
        <w:rPr>
          <w:rFonts w:cs="Arial"/>
          <w:lang w:val="en-GB"/>
        </w:rPr>
      </w:pPr>
      <w:r w:rsidRPr="00F4165D">
        <w:rPr>
          <w:rFonts w:cs="Arial"/>
          <w:lang w:val="en-GB"/>
        </w:rPr>
        <w:t>In the end of 2025, the relative debt of the general government reached 44.</w:t>
      </w:r>
      <w:r w:rsidR="00753FD4" w:rsidRPr="00F4165D">
        <w:rPr>
          <w:rFonts w:cs="Arial"/>
          <w:lang w:val="en-GB"/>
        </w:rPr>
        <w:t>2</w:t>
      </w:r>
      <w:r w:rsidRPr="00F4165D">
        <w:rPr>
          <w:rFonts w:cs="Arial"/>
          <w:lang w:val="en-GB"/>
        </w:rPr>
        <w:t xml:space="preserve">% of the GDP. In the year-on-year comparison, the relative debt increased by </w:t>
      </w:r>
      <w:r w:rsidR="00753FD4" w:rsidRPr="00F4165D">
        <w:rPr>
          <w:rFonts w:cs="Arial"/>
          <w:lang w:val="en-GB"/>
        </w:rPr>
        <w:t>0</w:t>
      </w:r>
      <w:r w:rsidRPr="00F4165D">
        <w:rPr>
          <w:rFonts w:cs="Arial"/>
          <w:lang w:val="en-GB"/>
        </w:rPr>
        <w:t>.</w:t>
      </w:r>
      <w:r w:rsidR="00753FD4" w:rsidRPr="00F4165D">
        <w:rPr>
          <w:rFonts w:cs="Arial"/>
          <w:lang w:val="en-GB"/>
        </w:rPr>
        <w:t>9 </w:t>
      </w:r>
      <w:r w:rsidRPr="00F4165D">
        <w:rPr>
          <w:rFonts w:cs="Arial"/>
          <w:lang w:val="en-GB"/>
        </w:rPr>
        <w:t>p.</w:t>
      </w:r>
      <w:r w:rsidR="00753FD4" w:rsidRPr="00F4165D">
        <w:rPr>
          <w:rFonts w:cs="Arial"/>
          <w:lang w:val="en-GB"/>
        </w:rPr>
        <w:t> </w:t>
      </w:r>
      <w:r w:rsidRPr="00F4165D">
        <w:rPr>
          <w:rFonts w:cs="Arial"/>
          <w:lang w:val="en-GB"/>
        </w:rPr>
        <w:t>p. An increase in the nominal GDP contributed to the decrease of the relative amount of the debt (-2.5</w:t>
      </w:r>
      <w:r w:rsidR="00753FD4" w:rsidRPr="00F4165D">
        <w:rPr>
          <w:rFonts w:cs="Arial"/>
          <w:lang w:val="en-GB"/>
        </w:rPr>
        <w:t> </w:t>
      </w:r>
      <w:r w:rsidRPr="00F4165D">
        <w:rPr>
          <w:rFonts w:cs="Arial"/>
          <w:lang w:val="en-GB"/>
        </w:rPr>
        <w:t>p.</w:t>
      </w:r>
      <w:r w:rsidR="00753FD4" w:rsidRPr="00F4165D">
        <w:rPr>
          <w:rFonts w:cs="Arial"/>
          <w:lang w:val="en-GB"/>
        </w:rPr>
        <w:t> </w:t>
      </w:r>
      <w:r w:rsidRPr="00F4165D">
        <w:rPr>
          <w:rFonts w:cs="Arial"/>
          <w:lang w:val="en-GB"/>
        </w:rPr>
        <w:t>p.), whereas the nominal growth of the debt contributed in relation to the GDP to an increase by 3.5</w:t>
      </w:r>
      <w:r w:rsidR="00753FD4" w:rsidRPr="00F4165D">
        <w:rPr>
          <w:rFonts w:cs="Arial"/>
          <w:lang w:val="en-GB"/>
        </w:rPr>
        <w:t> </w:t>
      </w:r>
      <w:r w:rsidRPr="00F4165D">
        <w:rPr>
          <w:rFonts w:cs="Arial"/>
          <w:lang w:val="en-GB"/>
        </w:rPr>
        <w:t>p.</w:t>
      </w:r>
      <w:r w:rsidR="00753FD4" w:rsidRPr="00F4165D">
        <w:rPr>
          <w:rFonts w:cs="Arial"/>
          <w:lang w:val="en-GB"/>
        </w:rPr>
        <w:t> </w:t>
      </w:r>
      <w:r w:rsidRPr="00F4165D">
        <w:rPr>
          <w:rFonts w:cs="Arial"/>
          <w:lang w:val="en-GB"/>
        </w:rPr>
        <w:t>p.</w:t>
      </w:r>
    </w:p>
    <w:p w14:paraId="310A154C" w14:textId="3B659739" w:rsidR="002C3794" w:rsidRDefault="00D447AE" w:rsidP="001A75E8">
      <w:pPr>
        <w:rPr>
          <w:b/>
          <w:bCs/>
          <w:noProof/>
          <w:lang w:eastAsia="cs-CZ"/>
        </w:rPr>
      </w:pPr>
      <w:r>
        <w:rPr>
          <w:b/>
          <w:bCs/>
          <w:noProof/>
          <w:lang w:eastAsia="cs-CZ"/>
        </w:rPr>
        <w:t xml:space="preserve">Chart: </w:t>
      </w:r>
      <w:r w:rsidR="001A75E8" w:rsidRPr="00F4165D">
        <w:rPr>
          <w:b/>
          <w:bCs/>
          <w:noProof/>
          <w:lang w:eastAsia="cs-CZ"/>
        </w:rPr>
        <w:t>Year-on-year relative changes in government deb</w:t>
      </w:r>
      <w:r w:rsidR="002C3794">
        <w:rPr>
          <w:b/>
          <w:bCs/>
          <w:noProof/>
          <w:lang w:eastAsia="cs-CZ"/>
        </w:rPr>
        <w:t>t</w:t>
      </w:r>
    </w:p>
    <w:p w14:paraId="65A3B974" w14:textId="1091B045" w:rsidR="001A75E8" w:rsidRDefault="002C3794" w:rsidP="001A75E8">
      <w:pPr>
        <w:rPr>
          <w:b/>
          <w:bCs/>
          <w:noProof/>
          <w:lang w:eastAsia="cs-CZ"/>
        </w:rPr>
      </w:pPr>
      <w:r w:rsidRPr="002C3794">
        <w:rPr>
          <w:b/>
          <w:bCs/>
          <w:noProof/>
          <w:lang w:eastAsia="cs-CZ"/>
        </w:rPr>
        <w:drawing>
          <wp:inline distT="0" distB="0" distL="0" distR="0" wp14:anchorId="4023F36D" wp14:editId="3E3E6474">
            <wp:extent cx="5077534" cy="3467584"/>
            <wp:effectExtent l="0" t="0" r="8890" b="0"/>
            <wp:docPr id="1376527584"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527584" name=""/>
                    <pic:cNvPicPr/>
                  </pic:nvPicPr>
                  <pic:blipFill>
                    <a:blip r:embed="rId11"/>
                    <a:stretch>
                      <a:fillRect/>
                    </a:stretch>
                  </pic:blipFill>
                  <pic:spPr>
                    <a:xfrm>
                      <a:off x="0" y="0"/>
                      <a:ext cx="5077534" cy="3467584"/>
                    </a:xfrm>
                    <a:prstGeom prst="rect">
                      <a:avLst/>
                    </a:prstGeom>
                  </pic:spPr>
                </pic:pic>
              </a:graphicData>
            </a:graphic>
          </wp:inline>
        </w:drawing>
      </w:r>
    </w:p>
    <w:p w14:paraId="1D103341" w14:textId="150CC2E3" w:rsidR="001A75E8" w:rsidRPr="00F4165D" w:rsidRDefault="001A75E8" w:rsidP="001A75E8">
      <w:pPr>
        <w:jc w:val="left"/>
        <w:rPr>
          <w:rFonts w:cs="Arial"/>
          <w:lang w:val="en-GB"/>
        </w:rPr>
      </w:pPr>
      <w:r w:rsidRPr="00F4165D">
        <w:rPr>
          <w:rFonts w:cs="Arial"/>
          <w:lang w:val="en-GB"/>
        </w:rPr>
        <w:t>In the end of 2025, the general government debt increased by CZK</w:t>
      </w:r>
      <w:r w:rsidR="001519FD" w:rsidRPr="00F4165D">
        <w:rPr>
          <w:rFonts w:cs="Arial"/>
          <w:lang w:val="en-GB"/>
        </w:rPr>
        <w:t> </w:t>
      </w:r>
      <w:r w:rsidRPr="00F4165D">
        <w:rPr>
          <w:rFonts w:cs="Arial"/>
          <w:lang w:val="en-GB"/>
        </w:rPr>
        <w:t>29</w:t>
      </w:r>
      <w:r w:rsidR="001519FD" w:rsidRPr="00F4165D">
        <w:rPr>
          <w:rFonts w:cs="Arial"/>
          <w:lang w:val="en-GB"/>
        </w:rPr>
        <w:t>8</w:t>
      </w:r>
      <w:r w:rsidRPr="00F4165D">
        <w:rPr>
          <w:rFonts w:cs="Arial"/>
          <w:lang w:val="en-GB"/>
        </w:rPr>
        <w:t>.8</w:t>
      </w:r>
      <w:r w:rsidR="001519FD" w:rsidRPr="00F4165D">
        <w:rPr>
          <w:rFonts w:cs="Arial"/>
          <w:lang w:val="en-GB"/>
        </w:rPr>
        <w:t> </w:t>
      </w:r>
      <w:r w:rsidRPr="00F4165D">
        <w:rPr>
          <w:rFonts w:cs="Arial"/>
          <w:lang w:val="en-GB"/>
        </w:rPr>
        <w:t>bn, y-o-y, and reached CZK</w:t>
      </w:r>
      <w:r w:rsidR="001519FD" w:rsidRPr="00F4165D">
        <w:rPr>
          <w:rFonts w:cs="Arial"/>
          <w:lang w:val="en-GB"/>
        </w:rPr>
        <w:t> </w:t>
      </w:r>
      <w:r w:rsidRPr="00F4165D">
        <w:rPr>
          <w:rFonts w:cs="Arial"/>
          <w:lang w:val="en-GB"/>
        </w:rPr>
        <w:t>3</w:t>
      </w:r>
      <w:r w:rsidR="0008359B">
        <w:rPr>
          <w:rFonts w:cs="Arial"/>
          <w:lang w:val="en-GB"/>
        </w:rPr>
        <w:t> </w:t>
      </w:r>
      <w:r w:rsidRPr="00F4165D">
        <w:rPr>
          <w:rFonts w:cs="Arial"/>
          <w:lang w:val="en-GB"/>
        </w:rPr>
        <w:t>78</w:t>
      </w:r>
      <w:r w:rsidR="001519FD" w:rsidRPr="00F4165D">
        <w:rPr>
          <w:rFonts w:cs="Arial"/>
          <w:lang w:val="en-GB"/>
        </w:rPr>
        <w:t>7</w:t>
      </w:r>
      <w:r w:rsidRPr="00F4165D">
        <w:rPr>
          <w:rFonts w:cs="Arial"/>
          <w:lang w:val="en-GB"/>
        </w:rPr>
        <w:t>.3</w:t>
      </w:r>
      <w:r w:rsidR="001519FD" w:rsidRPr="00F4165D">
        <w:rPr>
          <w:rFonts w:cs="Arial"/>
          <w:lang w:val="en-GB"/>
        </w:rPr>
        <w:t> </w:t>
      </w:r>
      <w:r w:rsidRPr="00F4165D">
        <w:rPr>
          <w:rFonts w:cs="Arial"/>
          <w:lang w:val="en-GB"/>
        </w:rPr>
        <w:t>bn. A major part of the y-o-y change is due to the issued debt securities (CZK</w:t>
      </w:r>
      <w:r w:rsidR="001519FD" w:rsidRPr="00F4165D">
        <w:rPr>
          <w:rFonts w:cs="Arial"/>
          <w:lang w:val="en-GB"/>
        </w:rPr>
        <w:t> </w:t>
      </w:r>
      <w:r w:rsidRPr="00F4165D">
        <w:rPr>
          <w:rFonts w:cs="Arial"/>
          <w:lang w:val="en-GB"/>
        </w:rPr>
        <w:t>276.</w:t>
      </w:r>
      <w:r w:rsidR="001519FD" w:rsidRPr="00F4165D">
        <w:rPr>
          <w:rFonts w:cs="Arial"/>
          <w:lang w:val="en-GB"/>
        </w:rPr>
        <w:t>9 </w:t>
      </w:r>
      <w:r w:rsidRPr="00F4165D">
        <w:rPr>
          <w:rFonts w:cs="Arial"/>
          <w:lang w:val="en-GB"/>
        </w:rPr>
        <w:t>bn).</w:t>
      </w:r>
    </w:p>
    <w:p w14:paraId="7966B805" w14:textId="1ED787F7" w:rsidR="001A75E8" w:rsidRPr="00F4165D" w:rsidRDefault="001A75E8" w:rsidP="001A75E8">
      <w:pPr>
        <w:jc w:val="left"/>
        <w:rPr>
          <w:rFonts w:cs="Arial"/>
          <w:lang w:val="en-GB"/>
        </w:rPr>
      </w:pPr>
      <w:r w:rsidRPr="00F4165D">
        <w:rPr>
          <w:rFonts w:cs="Arial"/>
          <w:lang w:val="en-GB"/>
        </w:rPr>
        <w:t>In 2025, the year-on-year change in the debt (the increase by CZK</w:t>
      </w:r>
      <w:r w:rsidR="00FB3865" w:rsidRPr="00F4165D">
        <w:rPr>
          <w:rFonts w:cs="Arial"/>
          <w:lang w:val="en-GB"/>
        </w:rPr>
        <w:t> </w:t>
      </w:r>
      <w:r w:rsidRPr="00F4165D">
        <w:rPr>
          <w:rFonts w:cs="Arial"/>
          <w:lang w:val="en-GB"/>
        </w:rPr>
        <w:t>29</w:t>
      </w:r>
      <w:r w:rsidR="00FB3865" w:rsidRPr="00F4165D">
        <w:rPr>
          <w:rFonts w:cs="Arial"/>
          <w:lang w:val="en-GB"/>
        </w:rPr>
        <w:t>8</w:t>
      </w:r>
      <w:r w:rsidRPr="00F4165D">
        <w:rPr>
          <w:rFonts w:cs="Arial"/>
          <w:lang w:val="en-GB"/>
        </w:rPr>
        <w:t>.8</w:t>
      </w:r>
      <w:r w:rsidR="00FB3865" w:rsidRPr="00F4165D">
        <w:rPr>
          <w:rFonts w:cs="Arial"/>
          <w:lang w:val="en-GB"/>
        </w:rPr>
        <w:t> </w:t>
      </w:r>
      <w:r w:rsidRPr="00F4165D">
        <w:rPr>
          <w:rFonts w:cs="Arial"/>
          <w:lang w:val="en-GB"/>
        </w:rPr>
        <w:t>bn) was markedly different from the general government sector balance (a deficit of CZK</w:t>
      </w:r>
      <w:r w:rsidR="00FB3865" w:rsidRPr="00F4165D">
        <w:rPr>
          <w:rFonts w:cs="Arial"/>
          <w:lang w:val="en-GB"/>
        </w:rPr>
        <w:t> </w:t>
      </w:r>
      <w:r w:rsidRPr="00F4165D">
        <w:rPr>
          <w:rFonts w:cs="Arial"/>
          <w:lang w:val="en-GB"/>
        </w:rPr>
        <w:t>18</w:t>
      </w:r>
      <w:r w:rsidR="00FB3865" w:rsidRPr="00F4165D">
        <w:rPr>
          <w:rFonts w:cs="Arial"/>
          <w:lang w:val="en-GB"/>
        </w:rPr>
        <w:t>5</w:t>
      </w:r>
      <w:r w:rsidRPr="00F4165D">
        <w:rPr>
          <w:rFonts w:cs="Arial"/>
          <w:lang w:val="en-GB"/>
        </w:rPr>
        <w:t>.</w:t>
      </w:r>
      <w:r w:rsidR="00FB3865" w:rsidRPr="00F4165D">
        <w:rPr>
          <w:rFonts w:cs="Arial"/>
          <w:lang w:val="en-GB"/>
        </w:rPr>
        <w:t>5 </w:t>
      </w:r>
      <w:r w:rsidRPr="00F4165D">
        <w:rPr>
          <w:rFonts w:cs="Arial"/>
          <w:lang w:val="en-GB"/>
        </w:rPr>
        <w:t>bn)</w:t>
      </w:r>
      <w:r w:rsidR="0008359B">
        <w:rPr>
          <w:rFonts w:cs="Arial"/>
          <w:lang w:val="en-GB"/>
        </w:rPr>
        <w:t>, which</w:t>
      </w:r>
      <w:r w:rsidRPr="00F4165D">
        <w:rPr>
          <w:rFonts w:cs="Arial"/>
          <w:lang w:val="en-GB"/>
        </w:rPr>
        <w:t xml:space="preserve"> means that the general government sector borrowed by CZK</w:t>
      </w:r>
      <w:r w:rsidR="00FB3865" w:rsidRPr="00F4165D">
        <w:rPr>
          <w:rFonts w:cs="Arial"/>
          <w:lang w:val="en-GB"/>
        </w:rPr>
        <w:t> </w:t>
      </w:r>
      <w:r w:rsidRPr="00F4165D">
        <w:rPr>
          <w:rFonts w:cs="Arial"/>
          <w:lang w:val="en-GB"/>
        </w:rPr>
        <w:t>11</w:t>
      </w:r>
      <w:r w:rsidR="00FB3865" w:rsidRPr="00F4165D">
        <w:rPr>
          <w:rFonts w:cs="Arial"/>
          <w:lang w:val="en-GB"/>
        </w:rPr>
        <w:t>3</w:t>
      </w:r>
      <w:r w:rsidRPr="00F4165D">
        <w:rPr>
          <w:rFonts w:cs="Arial"/>
          <w:lang w:val="en-GB"/>
        </w:rPr>
        <w:t>.</w:t>
      </w:r>
      <w:r w:rsidR="00FB3865" w:rsidRPr="00F4165D">
        <w:rPr>
          <w:rFonts w:cs="Arial"/>
          <w:lang w:val="en-GB"/>
        </w:rPr>
        <w:t>3 </w:t>
      </w:r>
      <w:r w:rsidRPr="00F4165D">
        <w:rPr>
          <w:rFonts w:cs="Arial"/>
          <w:lang w:val="en-GB"/>
        </w:rPr>
        <w:t>bn more than its need to be financed was. This fact was reflected on the assets side by an increase in the value of financial assets held, especially of deposits</w:t>
      </w:r>
      <w:r w:rsidR="00FB3865" w:rsidRPr="00F4165D">
        <w:rPr>
          <w:rFonts w:cs="Arial"/>
          <w:lang w:val="en-GB"/>
        </w:rPr>
        <w:t>.</w:t>
      </w:r>
    </w:p>
    <w:p w14:paraId="2FC86DCA" w14:textId="22FF1B5A" w:rsidR="001A75E8" w:rsidRPr="00F4165D" w:rsidRDefault="001A75E8" w:rsidP="001A75E8">
      <w:pPr>
        <w:jc w:val="left"/>
        <w:rPr>
          <w:rFonts w:cs="Arial"/>
          <w:lang w:val="en-GB"/>
        </w:rPr>
      </w:pPr>
      <w:r w:rsidRPr="00F4165D">
        <w:rPr>
          <w:rFonts w:cs="Arial"/>
          <w:lang w:val="en-GB"/>
        </w:rPr>
        <w:t>Indicators presented in the notification table were transmitted to Eurostat on 30</w:t>
      </w:r>
      <w:r w:rsidR="00FB3865" w:rsidRPr="00F4165D">
        <w:rPr>
          <w:rFonts w:cs="Arial"/>
          <w:lang w:val="en-GB"/>
        </w:rPr>
        <w:t> </w:t>
      </w:r>
      <w:r w:rsidRPr="00F4165D">
        <w:rPr>
          <w:rFonts w:cs="Arial"/>
          <w:lang w:val="en-GB"/>
        </w:rPr>
        <w:t>September 2026.</w:t>
      </w:r>
    </w:p>
    <w:p w14:paraId="4543C4D8" w14:textId="77777777" w:rsidR="00200551" w:rsidRPr="00F4165D" w:rsidRDefault="00200551" w:rsidP="006A57CC"/>
    <w:p w14:paraId="2FB7A3CC" w14:textId="276DD98B" w:rsidR="00D57951" w:rsidRPr="00F4165D" w:rsidRDefault="00D57951" w:rsidP="00D57951">
      <w:pPr>
        <w:pStyle w:val="Poznmky0"/>
        <w:jc w:val="left"/>
        <w:rPr>
          <w:rFonts w:cs="Arial"/>
          <w:i w:val="0"/>
        </w:rPr>
      </w:pPr>
      <w:r w:rsidRPr="00F4165D">
        <w:rPr>
          <w:rFonts w:cs="Arial"/>
        </w:rPr>
        <w:t xml:space="preserve">Notes: Notification of government deficit and debt is compiled always for the past four years and submitted to the European Commission by each Member State of the European Union always at the end of March and September each year, including a projection for the current year. The projection for the current year is compiled and published by the Ministry of Finance of the Czech Republic. Quantification of fiscal indicators is based on the ESA 2010 methodology and serves the assessment of how the Maastricht convergence criteria are complied with. </w:t>
      </w:r>
      <w:r w:rsidRPr="00F4165D">
        <w:rPr>
          <w:rFonts w:cs="Arial"/>
        </w:rPr>
        <w:lastRenderedPageBreak/>
        <w:t xml:space="preserve">Pursuant to the Maastricht criteria, the government deficit must not exceed 3% of the GDP and the level of the accumulated government debt must not exceed 60% of the GDP. </w:t>
      </w:r>
    </w:p>
    <w:p w14:paraId="33139CA8" w14:textId="77777777" w:rsidR="00D57951" w:rsidRPr="00F4165D" w:rsidRDefault="00D57951" w:rsidP="00D57951">
      <w:pPr>
        <w:pStyle w:val="Zkladntext"/>
        <w:spacing w:after="0"/>
        <w:jc w:val="left"/>
        <w:rPr>
          <w:rFonts w:cs="Arial"/>
          <w:i/>
          <w:sz w:val="18"/>
          <w:szCs w:val="18"/>
          <w:lang w:val="en-GB"/>
        </w:rPr>
      </w:pPr>
    </w:p>
    <w:p w14:paraId="126DA0D1" w14:textId="77777777" w:rsidR="00D57951" w:rsidRPr="00F4165D" w:rsidRDefault="00D57951" w:rsidP="00D57951">
      <w:pPr>
        <w:pStyle w:val="Zkladntext"/>
        <w:spacing w:after="0"/>
        <w:jc w:val="left"/>
        <w:rPr>
          <w:rFonts w:cs="Arial"/>
          <w:i/>
          <w:sz w:val="18"/>
          <w:szCs w:val="18"/>
          <w:lang w:val="en-GB"/>
        </w:rPr>
      </w:pPr>
      <w:r w:rsidRPr="00F4165D">
        <w:rPr>
          <w:rFonts w:cs="Arial"/>
          <w:i/>
          <w:sz w:val="18"/>
          <w:szCs w:val="18"/>
          <w:lang w:val="en-GB"/>
        </w:rPr>
        <w:t>Government surplus/deficit is represented by the item B.9 “net borrowing (−) or net lending (+)” in the system of national accounts. The indicator refers to the ability of the general government sector in the given year to finance other sectors of the economy (+) or the need of the general government sector to be financed (−) by other sectors.</w:t>
      </w:r>
    </w:p>
    <w:p w14:paraId="12BF25DB" w14:textId="77777777" w:rsidR="00D57951" w:rsidRPr="00F4165D" w:rsidRDefault="00D57951" w:rsidP="00D57951">
      <w:pPr>
        <w:pStyle w:val="Zkladntext"/>
        <w:spacing w:after="0"/>
        <w:jc w:val="left"/>
        <w:rPr>
          <w:rFonts w:cs="Arial"/>
          <w:i/>
          <w:sz w:val="18"/>
          <w:szCs w:val="18"/>
          <w:lang w:val="en-GB"/>
        </w:rPr>
      </w:pPr>
    </w:p>
    <w:p w14:paraId="4A1BF150" w14:textId="77777777" w:rsidR="00D57951" w:rsidRPr="00F4165D" w:rsidRDefault="00D57951" w:rsidP="00D57951">
      <w:pPr>
        <w:jc w:val="left"/>
        <w:rPr>
          <w:rFonts w:cs="Arial"/>
          <w:i/>
          <w:sz w:val="18"/>
          <w:szCs w:val="18"/>
          <w:lang w:val="en-GB"/>
        </w:rPr>
      </w:pPr>
      <w:r w:rsidRPr="00F4165D">
        <w:rPr>
          <w:rFonts w:cs="Arial"/>
          <w:i/>
          <w:sz w:val="18"/>
          <w:szCs w:val="18"/>
          <w:lang w:val="en-GB"/>
        </w:rPr>
        <w:t>The government debt consists of consolidated liabilities of the general government sector in the form of currency and deposits, issued debt securities, and received loans. In case of foreign exchange debt instruments hedged against currency risk, value in CZK is obtained by means of a contractual exchange rate.</w:t>
      </w:r>
    </w:p>
    <w:p w14:paraId="58DC8055" w14:textId="2E189CD8" w:rsidR="00F423F6" w:rsidRPr="00F4165D" w:rsidRDefault="00F423F6" w:rsidP="00F423F6">
      <w:pPr>
        <w:jc w:val="left"/>
        <w:rPr>
          <w:rFonts w:cs="Arial"/>
          <w:i/>
          <w:sz w:val="18"/>
          <w:szCs w:val="18"/>
        </w:rPr>
      </w:pPr>
      <w:r w:rsidRPr="00F4165D">
        <w:rPr>
          <w:rFonts w:cs="Arial"/>
          <w:i/>
          <w:sz w:val="18"/>
          <w:szCs w:val="18"/>
        </w:rPr>
        <w:t xml:space="preserve">Minor </w:t>
      </w:r>
      <w:proofErr w:type="spellStart"/>
      <w:r w:rsidRPr="00F4165D">
        <w:rPr>
          <w:rFonts w:cs="Arial"/>
          <w:i/>
          <w:sz w:val="18"/>
          <w:szCs w:val="18"/>
        </w:rPr>
        <w:t>differences</w:t>
      </w:r>
      <w:proofErr w:type="spellEnd"/>
      <w:r w:rsidRPr="00F4165D">
        <w:rPr>
          <w:rFonts w:cs="Arial"/>
          <w:i/>
          <w:sz w:val="18"/>
          <w:szCs w:val="18"/>
        </w:rPr>
        <w:t xml:space="preserve"> in </w:t>
      </w:r>
      <w:proofErr w:type="spellStart"/>
      <w:r w:rsidRPr="00F4165D">
        <w:rPr>
          <w:rFonts w:cs="Arial"/>
          <w:i/>
          <w:sz w:val="18"/>
          <w:szCs w:val="18"/>
        </w:rPr>
        <w:t>the</w:t>
      </w:r>
      <w:proofErr w:type="spellEnd"/>
      <w:r w:rsidRPr="00F4165D">
        <w:rPr>
          <w:rFonts w:cs="Arial"/>
          <w:i/>
          <w:sz w:val="18"/>
          <w:szCs w:val="18"/>
        </w:rPr>
        <w:t xml:space="preserve"> last </w:t>
      </w:r>
      <w:proofErr w:type="spellStart"/>
      <w:r w:rsidRPr="00F4165D">
        <w:rPr>
          <w:rFonts w:cs="Arial"/>
          <w:i/>
          <w:sz w:val="18"/>
          <w:szCs w:val="18"/>
        </w:rPr>
        <w:t>decimal</w:t>
      </w:r>
      <w:proofErr w:type="spellEnd"/>
      <w:r w:rsidRPr="00F4165D">
        <w:rPr>
          <w:rFonts w:cs="Arial"/>
          <w:i/>
          <w:sz w:val="18"/>
          <w:szCs w:val="18"/>
        </w:rPr>
        <w:t xml:space="preserve"> place are </w:t>
      </w:r>
      <w:proofErr w:type="spellStart"/>
      <w:r w:rsidRPr="00F4165D">
        <w:rPr>
          <w:rFonts w:cs="Arial"/>
          <w:i/>
          <w:sz w:val="18"/>
          <w:szCs w:val="18"/>
        </w:rPr>
        <w:t>due</w:t>
      </w:r>
      <w:proofErr w:type="spellEnd"/>
      <w:r w:rsidRPr="00F4165D">
        <w:rPr>
          <w:rFonts w:cs="Arial"/>
          <w:i/>
          <w:sz w:val="18"/>
          <w:szCs w:val="18"/>
        </w:rPr>
        <w:t xml:space="preserve"> to </w:t>
      </w:r>
      <w:proofErr w:type="spellStart"/>
      <w:r w:rsidRPr="00F4165D">
        <w:rPr>
          <w:rFonts w:cs="Arial"/>
          <w:i/>
          <w:sz w:val="18"/>
          <w:szCs w:val="18"/>
        </w:rPr>
        <w:t>rounding</w:t>
      </w:r>
      <w:proofErr w:type="spellEnd"/>
      <w:r w:rsidRPr="00F4165D">
        <w:rPr>
          <w:rFonts w:cs="Arial"/>
          <w:i/>
          <w:sz w:val="18"/>
          <w:szCs w:val="18"/>
        </w:rPr>
        <w:t>.</w:t>
      </w:r>
    </w:p>
    <w:tbl>
      <w:tblPr>
        <w:tblW w:w="8741" w:type="dxa"/>
        <w:tblLook w:val="04A0" w:firstRow="1" w:lastRow="0" w:firstColumn="1" w:lastColumn="0" w:noHBand="0" w:noVBand="1"/>
      </w:tblPr>
      <w:tblGrid>
        <w:gridCol w:w="3544"/>
        <w:gridCol w:w="5197"/>
      </w:tblGrid>
      <w:tr w:rsidR="00D57951" w:rsidRPr="00F4165D" w14:paraId="16FCD446" w14:textId="77777777" w:rsidTr="00F71825">
        <w:tc>
          <w:tcPr>
            <w:tcW w:w="3544" w:type="dxa"/>
          </w:tcPr>
          <w:p w14:paraId="41626F99" w14:textId="77777777" w:rsidR="00D57951" w:rsidRPr="00F4165D" w:rsidRDefault="00D57951" w:rsidP="00F71825">
            <w:pPr>
              <w:rPr>
                <w:i/>
                <w:iCs/>
                <w:sz w:val="18"/>
                <w:szCs w:val="18"/>
                <w:lang w:val="en-GB"/>
              </w:rPr>
            </w:pPr>
            <w:r w:rsidRPr="00F4165D">
              <w:rPr>
                <w:i/>
                <w:iCs/>
                <w:sz w:val="18"/>
                <w:szCs w:val="18"/>
                <w:lang w:val="en-GB"/>
              </w:rPr>
              <w:t>Responsible head at the CZSO:</w:t>
            </w:r>
          </w:p>
        </w:tc>
        <w:tc>
          <w:tcPr>
            <w:tcW w:w="5197" w:type="dxa"/>
          </w:tcPr>
          <w:p w14:paraId="78600716" w14:textId="24D2F591" w:rsidR="00D57951" w:rsidRPr="00F4165D" w:rsidRDefault="00D57951" w:rsidP="002D504C">
            <w:pPr>
              <w:spacing w:after="0"/>
              <w:jc w:val="left"/>
              <w:rPr>
                <w:i/>
                <w:iCs/>
                <w:sz w:val="18"/>
                <w:szCs w:val="18"/>
                <w:lang w:val="en-GB"/>
              </w:rPr>
            </w:pPr>
            <w:r w:rsidRPr="00F4165D">
              <w:rPr>
                <w:i/>
                <w:iCs/>
                <w:sz w:val="18"/>
                <w:szCs w:val="18"/>
                <w:lang w:val="en-GB"/>
              </w:rPr>
              <w:t xml:space="preserve">Petr Musil, Director of the </w:t>
            </w:r>
            <w:r w:rsidR="0011194F" w:rsidRPr="00F4165D">
              <w:rPr>
                <w:i/>
                <w:iCs/>
                <w:sz w:val="18"/>
                <w:szCs w:val="18"/>
                <w:lang w:val="en-GB"/>
              </w:rPr>
              <w:t>Government and Financial Accounts Department</w:t>
            </w:r>
            <w:r w:rsidRPr="00F4165D">
              <w:rPr>
                <w:i/>
                <w:iCs/>
                <w:sz w:val="18"/>
                <w:szCs w:val="18"/>
                <w:lang w:val="en-GB"/>
              </w:rPr>
              <w:t xml:space="preserve">, </w:t>
            </w:r>
            <w:r w:rsidR="002D504C" w:rsidRPr="00F4165D">
              <w:rPr>
                <w:i/>
                <w:iCs/>
                <w:sz w:val="18"/>
                <w:szCs w:val="18"/>
                <w:lang w:val="en-GB"/>
              </w:rPr>
              <w:t>T</w:t>
            </w:r>
            <w:r w:rsidRPr="00F4165D">
              <w:rPr>
                <w:i/>
                <w:iCs/>
                <w:sz w:val="18"/>
                <w:szCs w:val="18"/>
                <w:lang w:val="en-GB"/>
              </w:rPr>
              <w:t>: +420</w:t>
            </w:r>
            <w:r w:rsidR="002D504C" w:rsidRPr="00F4165D">
              <w:rPr>
                <w:i/>
                <w:iCs/>
                <w:sz w:val="18"/>
                <w:szCs w:val="18"/>
                <w:lang w:val="en-GB"/>
              </w:rPr>
              <w:t> </w:t>
            </w:r>
            <w:r w:rsidRPr="00F4165D">
              <w:rPr>
                <w:i/>
                <w:iCs/>
                <w:sz w:val="18"/>
                <w:szCs w:val="18"/>
              </w:rPr>
              <w:t>734</w:t>
            </w:r>
            <w:r w:rsidR="002D504C" w:rsidRPr="00F4165D">
              <w:rPr>
                <w:i/>
                <w:iCs/>
                <w:sz w:val="18"/>
                <w:szCs w:val="18"/>
              </w:rPr>
              <w:t> </w:t>
            </w:r>
            <w:r w:rsidRPr="00F4165D">
              <w:rPr>
                <w:i/>
                <w:iCs/>
                <w:sz w:val="18"/>
                <w:szCs w:val="18"/>
              </w:rPr>
              <w:t>352</w:t>
            </w:r>
            <w:r w:rsidR="002D504C" w:rsidRPr="00F4165D">
              <w:rPr>
                <w:i/>
                <w:iCs/>
                <w:sz w:val="18"/>
                <w:szCs w:val="18"/>
              </w:rPr>
              <w:t> </w:t>
            </w:r>
            <w:r w:rsidRPr="00F4165D">
              <w:rPr>
                <w:i/>
                <w:iCs/>
                <w:sz w:val="18"/>
                <w:szCs w:val="18"/>
              </w:rPr>
              <w:t>286</w:t>
            </w:r>
            <w:r w:rsidRPr="00F4165D">
              <w:rPr>
                <w:i/>
                <w:iCs/>
                <w:sz w:val="18"/>
                <w:szCs w:val="18"/>
                <w:lang w:val="en-GB"/>
              </w:rPr>
              <w:t xml:space="preserve">, </w:t>
            </w:r>
            <w:r w:rsidR="002D504C" w:rsidRPr="00F4165D">
              <w:rPr>
                <w:i/>
                <w:iCs/>
                <w:sz w:val="18"/>
                <w:szCs w:val="18"/>
                <w:lang w:val="en-GB"/>
              </w:rPr>
              <w:t>E</w:t>
            </w:r>
            <w:r w:rsidRPr="00F4165D">
              <w:rPr>
                <w:i/>
                <w:iCs/>
                <w:sz w:val="18"/>
                <w:szCs w:val="18"/>
                <w:lang w:val="en-GB"/>
              </w:rPr>
              <w:t xml:space="preserve">: </w:t>
            </w:r>
            <w:hyperlink r:id="rId12" w:history="1">
              <w:r w:rsidRPr="00F4165D">
                <w:rPr>
                  <w:rStyle w:val="Hypertextovodkaz"/>
                  <w:sz w:val="18"/>
                  <w:lang w:val="en-GB"/>
                </w:rPr>
                <w:t>petr.musil@csu.gov.cz</w:t>
              </w:r>
            </w:hyperlink>
            <w:r w:rsidRPr="00F4165D">
              <w:rPr>
                <w:sz w:val="18"/>
                <w:lang w:val="en-GB"/>
              </w:rPr>
              <w:t xml:space="preserve"> </w:t>
            </w:r>
          </w:p>
        </w:tc>
      </w:tr>
      <w:tr w:rsidR="00D57951" w:rsidRPr="00F4165D" w14:paraId="4C1A0CDE" w14:textId="77777777" w:rsidTr="00F71825">
        <w:tc>
          <w:tcPr>
            <w:tcW w:w="3544" w:type="dxa"/>
          </w:tcPr>
          <w:p w14:paraId="5DAFA27E" w14:textId="77777777" w:rsidR="00D57951" w:rsidRDefault="00D57951" w:rsidP="0013468F">
            <w:pPr>
              <w:spacing w:after="0"/>
              <w:rPr>
                <w:i/>
                <w:iCs/>
                <w:sz w:val="18"/>
                <w:szCs w:val="18"/>
                <w:lang w:val="en-GB"/>
              </w:rPr>
            </w:pPr>
            <w:r w:rsidRPr="00F4165D">
              <w:rPr>
                <w:i/>
                <w:iCs/>
                <w:sz w:val="18"/>
                <w:szCs w:val="18"/>
                <w:lang w:val="en-GB"/>
              </w:rPr>
              <w:t>Contact person:</w:t>
            </w:r>
          </w:p>
          <w:p w14:paraId="6A0F58E0" w14:textId="77777777" w:rsidR="0013468F" w:rsidRPr="00F4165D" w:rsidRDefault="0013468F" w:rsidP="00F71825">
            <w:pPr>
              <w:rPr>
                <w:i/>
                <w:iCs/>
                <w:sz w:val="18"/>
                <w:szCs w:val="18"/>
                <w:lang w:val="en-GB"/>
              </w:rPr>
            </w:pPr>
          </w:p>
          <w:p w14:paraId="7C684FE0" w14:textId="6E20455F" w:rsidR="00535FFB" w:rsidRPr="00F4165D" w:rsidRDefault="001860D9" w:rsidP="00F71825">
            <w:pPr>
              <w:rPr>
                <w:i/>
                <w:iCs/>
                <w:sz w:val="18"/>
                <w:szCs w:val="18"/>
                <w:lang w:val="en-GB"/>
              </w:rPr>
            </w:pPr>
            <w:r w:rsidRPr="00F4165D">
              <w:rPr>
                <w:i/>
                <w:iCs/>
                <w:sz w:val="18"/>
                <w:szCs w:val="18"/>
                <w:lang w:val="en-GB"/>
              </w:rPr>
              <w:t xml:space="preserve">Related information: </w:t>
            </w:r>
          </w:p>
        </w:tc>
        <w:tc>
          <w:tcPr>
            <w:tcW w:w="5197" w:type="dxa"/>
          </w:tcPr>
          <w:p w14:paraId="424AEDAD" w14:textId="77777777" w:rsidR="0013468F" w:rsidRDefault="00D57951" w:rsidP="00AD225D">
            <w:pPr>
              <w:spacing w:after="0"/>
              <w:jc w:val="left"/>
              <w:rPr>
                <w:i/>
                <w:iCs/>
                <w:sz w:val="18"/>
                <w:szCs w:val="18"/>
                <w:lang w:val="en-GB"/>
              </w:rPr>
            </w:pPr>
            <w:r w:rsidRPr="00F4165D">
              <w:rPr>
                <w:i/>
                <w:iCs/>
                <w:sz w:val="18"/>
                <w:szCs w:val="18"/>
                <w:lang w:val="en-GB"/>
              </w:rPr>
              <w:t xml:space="preserve">Jaroslav Kahoun, Head of the Government Accounts Unit, </w:t>
            </w:r>
          </w:p>
          <w:p w14:paraId="33D9E091" w14:textId="671240C0" w:rsidR="001860D9" w:rsidRPr="00F4165D" w:rsidRDefault="00AC1F2E" w:rsidP="00AD225D">
            <w:pPr>
              <w:spacing w:after="0"/>
              <w:jc w:val="left"/>
              <w:rPr>
                <w:sz w:val="18"/>
                <w:lang w:val="en-GB"/>
              </w:rPr>
            </w:pPr>
            <w:r w:rsidRPr="00F4165D">
              <w:rPr>
                <w:i/>
                <w:iCs/>
                <w:sz w:val="18"/>
                <w:szCs w:val="18"/>
                <w:lang w:val="en-GB"/>
              </w:rPr>
              <w:t>T</w:t>
            </w:r>
            <w:r w:rsidR="00D57951" w:rsidRPr="00F4165D">
              <w:rPr>
                <w:i/>
                <w:iCs/>
                <w:sz w:val="18"/>
                <w:szCs w:val="18"/>
                <w:lang w:val="en-GB"/>
              </w:rPr>
              <w:t>:</w:t>
            </w:r>
            <w:r w:rsidRPr="00F4165D">
              <w:rPr>
                <w:i/>
                <w:iCs/>
                <w:sz w:val="18"/>
                <w:szCs w:val="18"/>
                <w:lang w:val="en-GB"/>
              </w:rPr>
              <w:t> </w:t>
            </w:r>
            <w:r w:rsidR="00D57951" w:rsidRPr="00F4165D">
              <w:rPr>
                <w:i/>
                <w:iCs/>
                <w:sz w:val="18"/>
                <w:szCs w:val="18"/>
                <w:lang w:val="en-GB"/>
              </w:rPr>
              <w:t>+420</w:t>
            </w:r>
            <w:r w:rsidRPr="00F4165D">
              <w:rPr>
                <w:i/>
                <w:iCs/>
                <w:sz w:val="18"/>
                <w:szCs w:val="18"/>
                <w:lang w:val="en-GB"/>
              </w:rPr>
              <w:t> </w:t>
            </w:r>
            <w:r w:rsidR="00D57951" w:rsidRPr="00F4165D">
              <w:rPr>
                <w:i/>
                <w:iCs/>
                <w:sz w:val="18"/>
                <w:szCs w:val="18"/>
                <w:lang w:val="en-GB"/>
              </w:rPr>
              <w:t xml:space="preserve">274 054 232, </w:t>
            </w:r>
            <w:r w:rsidRPr="00F4165D">
              <w:rPr>
                <w:i/>
                <w:iCs/>
                <w:sz w:val="18"/>
                <w:szCs w:val="18"/>
                <w:lang w:val="en-GB"/>
              </w:rPr>
              <w:t>E</w:t>
            </w:r>
            <w:r w:rsidR="00D57951" w:rsidRPr="00F4165D">
              <w:rPr>
                <w:i/>
                <w:iCs/>
                <w:sz w:val="18"/>
                <w:szCs w:val="18"/>
                <w:lang w:val="en-GB"/>
              </w:rPr>
              <w:t xml:space="preserve">: </w:t>
            </w:r>
            <w:hyperlink r:id="rId13" w:history="1">
              <w:r w:rsidR="00D57951" w:rsidRPr="00F4165D">
                <w:rPr>
                  <w:rStyle w:val="Hypertextovodkaz"/>
                  <w:sz w:val="18"/>
                  <w:lang w:val="en-GB"/>
                </w:rPr>
                <w:t>jaroslav.kahoun@csu.gov.cz</w:t>
              </w:r>
            </w:hyperlink>
            <w:r w:rsidR="00D57951" w:rsidRPr="00F4165D">
              <w:rPr>
                <w:sz w:val="18"/>
                <w:lang w:val="en-GB"/>
              </w:rPr>
              <w:t xml:space="preserve"> </w:t>
            </w:r>
          </w:p>
          <w:p w14:paraId="4E3E831F" w14:textId="39697497" w:rsidR="00535FFB" w:rsidRPr="00F4165D" w:rsidRDefault="0013468F" w:rsidP="00D57951">
            <w:pPr>
              <w:jc w:val="left"/>
              <w:rPr>
                <w:sz w:val="18"/>
                <w:lang w:val="en-GB"/>
              </w:rPr>
            </w:pPr>
            <w:hyperlink r:id="rId14" w:history="1">
              <w:r w:rsidRPr="00775AC5">
                <w:rPr>
                  <w:rStyle w:val="Hypertextovodkaz"/>
                  <w:sz w:val="18"/>
                  <w:lang w:val="en-GB"/>
                </w:rPr>
                <w:t>https://csu.gov.cz/government-finance-statistics</w:t>
              </w:r>
            </w:hyperlink>
          </w:p>
          <w:p w14:paraId="06D247D3" w14:textId="77777777" w:rsidR="00D57951" w:rsidRPr="00F4165D" w:rsidRDefault="00D57951" w:rsidP="00D57951">
            <w:pPr>
              <w:jc w:val="left"/>
              <w:rPr>
                <w:i/>
                <w:iCs/>
                <w:sz w:val="18"/>
                <w:szCs w:val="18"/>
                <w:lang w:val="en-GB"/>
              </w:rPr>
            </w:pPr>
          </w:p>
        </w:tc>
      </w:tr>
      <w:tr w:rsidR="00D57951" w:rsidRPr="00F4165D" w14:paraId="7BF4993E" w14:textId="77777777" w:rsidTr="00F71825">
        <w:tc>
          <w:tcPr>
            <w:tcW w:w="3544" w:type="dxa"/>
          </w:tcPr>
          <w:p w14:paraId="1E6C88BA" w14:textId="77777777" w:rsidR="00D57951" w:rsidRPr="00F4165D" w:rsidRDefault="00D57951" w:rsidP="00F71825">
            <w:pPr>
              <w:rPr>
                <w:i/>
                <w:iCs/>
                <w:sz w:val="18"/>
                <w:szCs w:val="18"/>
                <w:lang w:val="en-GB"/>
              </w:rPr>
            </w:pPr>
            <w:r w:rsidRPr="00F4165D">
              <w:rPr>
                <w:i/>
                <w:iCs/>
                <w:sz w:val="18"/>
                <w:szCs w:val="18"/>
                <w:lang w:val="en-GB"/>
              </w:rPr>
              <w:t>Next news release will be published on:</w:t>
            </w:r>
          </w:p>
        </w:tc>
        <w:tc>
          <w:tcPr>
            <w:tcW w:w="5197" w:type="dxa"/>
          </w:tcPr>
          <w:p w14:paraId="44C60683" w14:textId="5D1EDE8E" w:rsidR="00D57951" w:rsidRPr="00F4165D" w:rsidRDefault="00D57951" w:rsidP="00F71825">
            <w:pPr>
              <w:rPr>
                <w:i/>
                <w:iCs/>
                <w:sz w:val="18"/>
                <w:szCs w:val="18"/>
                <w:lang w:val="en-GB"/>
              </w:rPr>
            </w:pPr>
            <w:r w:rsidRPr="00F4165D">
              <w:rPr>
                <w:i/>
                <w:iCs/>
                <w:sz w:val="18"/>
                <w:szCs w:val="18"/>
                <w:lang w:val="en-GB"/>
              </w:rPr>
              <w:t>21 October 2026</w:t>
            </w:r>
          </w:p>
        </w:tc>
      </w:tr>
    </w:tbl>
    <w:p w14:paraId="53E366E9" w14:textId="2D057117" w:rsidR="00A7786D" w:rsidRPr="00F4165D" w:rsidRDefault="00A7786D" w:rsidP="00A7786D">
      <w:pPr>
        <w:pStyle w:val="Poznmky"/>
      </w:pPr>
    </w:p>
    <w:p w14:paraId="55EFEDAE" w14:textId="77777777" w:rsidR="00200551" w:rsidRPr="00F4165D" w:rsidRDefault="00200551" w:rsidP="00A7786D">
      <w:pPr>
        <w:pStyle w:val="Poznmky"/>
      </w:pPr>
    </w:p>
    <w:p w14:paraId="5A606CE0" w14:textId="77777777" w:rsidR="00062565" w:rsidRPr="00F4165D" w:rsidRDefault="00062565" w:rsidP="00A7786D">
      <w:pPr>
        <w:pStyle w:val="Poznmky"/>
      </w:pPr>
    </w:p>
    <w:p w14:paraId="403DC0D7" w14:textId="718B04DF" w:rsidR="00062565" w:rsidRPr="00F4165D" w:rsidRDefault="00DA25FE" w:rsidP="00062565">
      <w:pPr>
        <w:spacing w:after="0"/>
        <w:rPr>
          <w:lang w:val="en-GB"/>
        </w:rPr>
      </w:pPr>
      <w:r w:rsidRPr="00F4165D">
        <w:rPr>
          <w:lang w:val="en-GB"/>
        </w:rPr>
        <w:t>Annex</w:t>
      </w:r>
      <w:r w:rsidR="00062565" w:rsidRPr="00F4165D">
        <w:rPr>
          <w:lang w:val="en-GB"/>
        </w:rPr>
        <w:t>:</w:t>
      </w:r>
    </w:p>
    <w:p w14:paraId="1C1BCE6D" w14:textId="0E631D74" w:rsidR="00062565" w:rsidRDefault="00062565" w:rsidP="00062565">
      <w:pPr>
        <w:spacing w:after="0"/>
      </w:pPr>
      <w:r w:rsidRPr="00F4165D">
        <w:t>Tab. 1</w:t>
      </w:r>
      <w:r w:rsidR="00DA25FE" w:rsidRPr="00F4165D">
        <w:t>:</w:t>
      </w:r>
      <w:r w:rsidRPr="00F4165D">
        <w:t xml:space="preserve"> </w:t>
      </w:r>
      <w:r w:rsidR="00384070" w:rsidRPr="00F4165D">
        <w:rPr>
          <w:lang w:val="en-GB"/>
        </w:rPr>
        <w:t>Notification tables of government deficit and debt, 2022</w:t>
      </w:r>
      <w:r w:rsidR="00FD140D" w:rsidRPr="00F4165D">
        <w:t>–</w:t>
      </w:r>
      <w:r w:rsidR="00384070" w:rsidRPr="00F4165D">
        <w:rPr>
          <w:lang w:val="en-GB"/>
        </w:rPr>
        <w:t>2025</w:t>
      </w:r>
    </w:p>
    <w:p w14:paraId="5DA28219" w14:textId="77777777" w:rsidR="00062565" w:rsidRDefault="00062565" w:rsidP="00062565">
      <w:pPr>
        <w:spacing w:after="0"/>
      </w:pPr>
    </w:p>
    <w:p w14:paraId="3E65E37B" w14:textId="559FFD43" w:rsidR="00070445" w:rsidRDefault="00070445">
      <w:pPr>
        <w:rPr>
          <w:i/>
          <w:sz w:val="18"/>
        </w:rPr>
      </w:pPr>
    </w:p>
    <w:sectPr w:rsidR="00070445" w:rsidSect="00BE2E0B">
      <w:headerReference w:type="default" r:id="rId15"/>
      <w:footerReference w:type="default" r:id="rId16"/>
      <w:pgSz w:w="11906" w:h="16838" w:code="9"/>
      <w:pgMar w:top="2268" w:right="1361" w:bottom="1531" w:left="1474" w:header="60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7E1461" w14:textId="77777777" w:rsidR="00F2736D" w:rsidRDefault="00F2736D" w:rsidP="004A01A7">
      <w:pPr>
        <w:spacing w:after="0" w:line="240" w:lineRule="auto"/>
      </w:pPr>
      <w:r>
        <w:separator/>
      </w:r>
    </w:p>
  </w:endnote>
  <w:endnote w:type="continuationSeparator" w:id="0">
    <w:p w14:paraId="504292C1" w14:textId="77777777" w:rsidR="00F2736D" w:rsidRDefault="00F2736D" w:rsidP="004A01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MT">
    <w:altName w:val="Times New Roman"/>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50EEC" w14:textId="77777777" w:rsidR="00B910FF" w:rsidRDefault="00B910FF" w:rsidP="00F21B6A">
    <w:pPr>
      <w:pStyle w:val="Zpat"/>
      <w:rPr>
        <w:b/>
        <w:bCs/>
      </w:rPr>
    </w:pPr>
    <w:r w:rsidRPr="00F243C9">
      <w:t xml:space="preserve">Czech </w:t>
    </w:r>
    <w:proofErr w:type="spellStart"/>
    <w:r w:rsidRPr="00F243C9">
      <w:t>Statistical</w:t>
    </w:r>
    <w:proofErr w:type="spellEnd"/>
    <w:r w:rsidRPr="00F243C9">
      <w:t xml:space="preserve"> Office</w:t>
    </w:r>
    <w:r w:rsidRPr="00B910FF">
      <w:rPr>
        <w:b/>
        <w:bCs/>
      </w:rPr>
      <w:t xml:space="preserve"> </w:t>
    </w:r>
  </w:p>
  <w:p w14:paraId="0DFA3407" w14:textId="77777777" w:rsidR="00F21B6A" w:rsidRDefault="00B910FF" w:rsidP="00F21B6A">
    <w:pPr>
      <w:pStyle w:val="Zpat"/>
    </w:pPr>
    <w:proofErr w:type="spellStart"/>
    <w:r w:rsidRPr="00B910FF">
      <w:t>Information</w:t>
    </w:r>
    <w:proofErr w:type="spellEnd"/>
    <w:r w:rsidRPr="00B910FF">
      <w:t xml:space="preserve"> </w:t>
    </w:r>
    <w:proofErr w:type="spellStart"/>
    <w:r w:rsidRPr="00B910FF">
      <w:t>Services</w:t>
    </w:r>
    <w:proofErr w:type="spellEnd"/>
    <w:r w:rsidRPr="00B910FF">
      <w:t xml:space="preserve"> Department</w:t>
    </w:r>
    <w:r w:rsidR="00F21B6A">
      <w:tab/>
    </w:r>
    <w:r w:rsidR="00F21B6A">
      <w:tab/>
    </w:r>
    <w:r w:rsidR="00F21B6A" w:rsidRPr="008B0E87">
      <w:rPr>
        <w:spacing w:val="20"/>
      </w:rPr>
      <w:fldChar w:fldCharType="begin"/>
    </w:r>
    <w:r w:rsidR="00F21B6A" w:rsidRPr="008B0E87">
      <w:rPr>
        <w:spacing w:val="20"/>
      </w:rPr>
      <w:instrText>PAGE</w:instrText>
    </w:r>
    <w:r w:rsidR="00F21B6A" w:rsidRPr="008B0E87">
      <w:rPr>
        <w:spacing w:val="20"/>
      </w:rPr>
      <w:fldChar w:fldCharType="separate"/>
    </w:r>
    <w:r w:rsidR="00F21B6A">
      <w:rPr>
        <w:spacing w:val="20"/>
      </w:rPr>
      <w:t>1</w:t>
    </w:r>
    <w:r w:rsidR="00F21B6A" w:rsidRPr="008B0E87">
      <w:rPr>
        <w:spacing w:val="20"/>
      </w:rPr>
      <w:fldChar w:fldCharType="end"/>
    </w:r>
    <w:r w:rsidR="00F21B6A" w:rsidRPr="008B0E87">
      <w:rPr>
        <w:spacing w:val="20"/>
      </w:rPr>
      <w:t>/</w:t>
    </w:r>
    <w:r w:rsidR="00F21B6A" w:rsidRPr="008B0E87">
      <w:rPr>
        <w:spacing w:val="20"/>
      </w:rPr>
      <w:fldChar w:fldCharType="begin"/>
    </w:r>
    <w:r w:rsidR="00F21B6A" w:rsidRPr="008B0E87">
      <w:rPr>
        <w:spacing w:val="20"/>
      </w:rPr>
      <w:instrText>NUMPAGES</w:instrText>
    </w:r>
    <w:r w:rsidR="00F21B6A" w:rsidRPr="008B0E87">
      <w:rPr>
        <w:spacing w:val="20"/>
      </w:rPr>
      <w:fldChar w:fldCharType="separate"/>
    </w:r>
    <w:r w:rsidR="00F21B6A">
      <w:rPr>
        <w:spacing w:val="20"/>
      </w:rPr>
      <w:t>6</w:t>
    </w:r>
    <w:r w:rsidR="00F21B6A" w:rsidRPr="008B0E87">
      <w:rPr>
        <w:spacing w:val="20"/>
      </w:rPr>
      <w:fldChar w:fldCharType="end"/>
    </w:r>
  </w:p>
  <w:p w14:paraId="52AA9E2C" w14:textId="77777777" w:rsidR="00F21B6A" w:rsidRDefault="006A57CC" w:rsidP="00F21B6A">
    <w:pPr>
      <w:pStyle w:val="Zpat"/>
      <w:tabs>
        <w:tab w:val="left" w:pos="4440"/>
      </w:tabs>
    </w:pPr>
    <w:r w:rsidRPr="006A57CC">
      <w:t xml:space="preserve">Na padesátém 3268/81, 100 82 </w:t>
    </w:r>
    <w:r w:rsidR="00B910FF">
      <w:t>Prague</w:t>
    </w:r>
    <w:r w:rsidRPr="006A57CC">
      <w:t xml:space="preserve"> 10</w:t>
    </w:r>
    <w:r w:rsidR="007334B7">
      <w:t xml:space="preserve">, </w:t>
    </w:r>
    <w:r w:rsidR="007334B7" w:rsidRPr="007334B7">
      <w:t>Czech Republic</w:t>
    </w:r>
    <w:r w:rsidR="00F21B6A">
      <w:tab/>
    </w:r>
    <w:r w:rsidR="00F21B6A">
      <w:tab/>
    </w:r>
    <w:r w:rsidR="00F21B6A">
      <w:tab/>
    </w:r>
  </w:p>
  <w:p w14:paraId="7682EF93" w14:textId="77777777" w:rsidR="004A01A7" w:rsidRPr="00F21B6A" w:rsidRDefault="00CB5768" w:rsidP="00F21B6A">
    <w:pPr>
      <w:pStyle w:val="Zpat"/>
    </w:pPr>
    <w:r w:rsidRPr="00CB5768">
      <w:t>T: +420 274 056 789, E: infoservis@csu.gov.cz</w:t>
    </w:r>
    <w:r w:rsidR="00F21B6A">
      <w:tab/>
    </w:r>
    <w:r w:rsidR="00F21B6A">
      <w:tab/>
    </w:r>
    <w:hyperlink r:id="rId1" w:history="1">
      <w:r w:rsidR="006A57CC">
        <w:t>csu.gov.cz</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EC9BF6" w14:textId="77777777" w:rsidR="00F2736D" w:rsidRDefault="00F2736D" w:rsidP="004A01A7">
      <w:pPr>
        <w:spacing w:after="0" w:line="240" w:lineRule="auto"/>
      </w:pPr>
    </w:p>
  </w:footnote>
  <w:footnote w:type="continuationSeparator" w:id="0">
    <w:p w14:paraId="3C08DA5A" w14:textId="77777777" w:rsidR="00F2736D" w:rsidRDefault="00F2736D" w:rsidP="004A01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ulkaJVS4-bezohranien"/>
      <w:tblW w:w="4253" w:type="dxa"/>
      <w:jc w:val="right"/>
      <w:tblLayout w:type="fixed"/>
      <w:tblLook w:val="04A0" w:firstRow="1" w:lastRow="0" w:firstColumn="1" w:lastColumn="0" w:noHBand="0" w:noVBand="1"/>
    </w:tblPr>
    <w:tblGrid>
      <w:gridCol w:w="4253"/>
    </w:tblGrid>
    <w:tr w:rsidR="003208E6" w14:paraId="5374B049" w14:textId="77777777" w:rsidTr="00F21B6A">
      <w:trPr>
        <w:jc w:val="right"/>
      </w:trPr>
      <w:tc>
        <w:tcPr>
          <w:tcW w:w="4253" w:type="dxa"/>
        </w:tcPr>
        <w:p w14:paraId="2CE4754C" w14:textId="77777777" w:rsidR="003208E6" w:rsidRDefault="00B910FF" w:rsidP="00C063DD">
          <w:pPr>
            <w:pStyle w:val="Nadpis3"/>
            <w:spacing w:before="0"/>
            <w:jc w:val="right"/>
          </w:pPr>
          <w:proofErr w:type="spellStart"/>
          <w:r>
            <w:t>News</w:t>
          </w:r>
          <w:proofErr w:type="spellEnd"/>
          <w:r>
            <w:t xml:space="preserve"> </w:t>
          </w:r>
          <w:proofErr w:type="spellStart"/>
          <w:r>
            <w:t>release</w:t>
          </w:r>
          <w:proofErr w:type="spellEnd"/>
        </w:p>
      </w:tc>
    </w:tr>
  </w:tbl>
  <w:p w14:paraId="3E9BCBE4" w14:textId="77777777" w:rsidR="00B910FF" w:rsidRDefault="00B910FF" w:rsidP="00B910FF">
    <w:pPr>
      <w:pStyle w:val="Zhlav"/>
      <w:jc w:val="left"/>
    </w:pPr>
    <w:r>
      <w:rPr>
        <w:noProof/>
        <w:color w:val="000000" w:themeColor="text1"/>
      </w:rPr>
      <w:drawing>
        <wp:anchor distT="0" distB="0" distL="114300" distR="114300" simplePos="0" relativeHeight="251659264" behindDoc="1" locked="0" layoutInCell="1" allowOverlap="1" wp14:anchorId="0A08946F" wp14:editId="06332318">
          <wp:simplePos x="0" y="0"/>
          <wp:positionH relativeFrom="page">
            <wp:posOffset>489585</wp:posOffset>
          </wp:positionH>
          <wp:positionV relativeFrom="page">
            <wp:posOffset>360045</wp:posOffset>
          </wp:positionV>
          <wp:extent cx="1267200" cy="792000"/>
          <wp:effectExtent l="0" t="0" r="9525" b="8255"/>
          <wp:wrapNone/>
          <wp:docPr id="163138449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1384499" name="Obrázek 1631384499"/>
                  <pic:cNvPicPr/>
                </pic:nvPicPr>
                <pic:blipFill>
                  <a:blip r:embed="rId1">
                    <a:extLst>
                      <a:ext uri="{28A0092B-C50C-407E-A947-70E740481C1C}">
                        <a14:useLocalDpi xmlns:a14="http://schemas.microsoft.com/office/drawing/2010/main" val="0"/>
                      </a:ext>
                    </a:extLst>
                  </a:blip>
                  <a:stretch>
                    <a:fillRect/>
                  </a:stretch>
                </pic:blipFill>
                <pic:spPr>
                  <a:xfrm>
                    <a:off x="0" y="0"/>
                    <a:ext cx="1267200" cy="792000"/>
                  </a:xfrm>
                  <a:prstGeom prst="rect">
                    <a:avLst/>
                  </a:prstGeom>
                </pic:spPr>
              </pic:pic>
            </a:graphicData>
          </a:graphic>
          <wp14:sizeRelH relativeFrom="page">
            <wp14:pctWidth>0</wp14:pctWidth>
          </wp14:sizeRelH>
          <wp14:sizeRelV relativeFrom="page">
            <wp14:pctHeight>0</wp14:pctHeight>
          </wp14:sizeRelV>
        </wp:anchor>
      </w:drawing>
    </w:r>
  </w:p>
  <w:p w14:paraId="79E9CED4" w14:textId="77777777" w:rsidR="004A01A7" w:rsidRDefault="004A01A7" w:rsidP="00550B36">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A9117C"/>
    <w:multiLevelType w:val="multilevel"/>
    <w:tmpl w:val="3BE66384"/>
    <w:numStyleLink w:val="Stylseznamu-odrky"/>
  </w:abstractNum>
  <w:abstractNum w:abstractNumId="1" w15:restartNumberingAfterBreak="0">
    <w:nsid w:val="174263CB"/>
    <w:multiLevelType w:val="multilevel"/>
    <w:tmpl w:val="3BE66384"/>
    <w:numStyleLink w:val="Stylseznamu-odrky"/>
  </w:abstractNum>
  <w:abstractNum w:abstractNumId="2" w15:restartNumberingAfterBreak="0">
    <w:nsid w:val="17E43046"/>
    <w:multiLevelType w:val="multilevel"/>
    <w:tmpl w:val="B87A9D68"/>
    <w:styleLink w:val="Stylseznamu-odstavceslovan"/>
    <w:lvl w:ilvl="0">
      <w:start w:val="1"/>
      <w:numFmt w:val="decimal"/>
      <w:pStyle w:val="Seznamslovan1"/>
      <w:lvlText w:val="%1."/>
      <w:lvlJc w:val="left"/>
      <w:pPr>
        <w:ind w:left="397" w:hanging="397"/>
      </w:pPr>
      <w:rPr>
        <w:rFonts w:hint="default"/>
      </w:rPr>
    </w:lvl>
    <w:lvl w:ilvl="1">
      <w:start w:val="1"/>
      <w:numFmt w:val="decimal"/>
      <w:pStyle w:val="Seznamslovan2"/>
      <w:lvlText w:val="%1.%2."/>
      <w:lvlJc w:val="left"/>
      <w:pPr>
        <w:ind w:left="964" w:hanging="567"/>
      </w:pPr>
      <w:rPr>
        <w:rFonts w:hint="default"/>
      </w:rPr>
    </w:lvl>
    <w:lvl w:ilvl="2">
      <w:start w:val="1"/>
      <w:numFmt w:val="decimal"/>
      <w:pStyle w:val="Seznamslovan3"/>
      <w:lvlText w:val="%1.%2.%3."/>
      <w:lvlJc w:val="left"/>
      <w:pPr>
        <w:ind w:left="1134" w:hanging="737"/>
      </w:pPr>
      <w:rPr>
        <w:rFonts w:hint="default"/>
      </w:rPr>
    </w:lvl>
    <w:lvl w:ilvl="3">
      <w:start w:val="1"/>
      <w:numFmt w:val="decimal"/>
      <w:pStyle w:val="Seznamslovan4"/>
      <w:lvlText w:val="%1.%2.%3.%4."/>
      <w:lvlJc w:val="left"/>
      <w:pPr>
        <w:ind w:left="1304" w:hanging="907"/>
      </w:pPr>
      <w:rPr>
        <w:rFonts w:hint="default"/>
      </w:rPr>
    </w:lvl>
    <w:lvl w:ilvl="4">
      <w:start w:val="1"/>
      <w:numFmt w:val="decimal"/>
      <w:pStyle w:val="Seznamslovan5"/>
      <w:lvlText w:val="%1.%2.%3.%4.%5."/>
      <w:lvlJc w:val="left"/>
      <w:pPr>
        <w:ind w:left="1474" w:hanging="1077"/>
      </w:pPr>
      <w:rPr>
        <w:rFonts w:hint="default"/>
      </w:rPr>
    </w:lvl>
    <w:lvl w:ilvl="5">
      <w:start w:val="1"/>
      <w:numFmt w:val="decimal"/>
      <w:pStyle w:val="Seznamslovan6"/>
      <w:lvlText w:val="%1.%2.%3.%4.%5.%6."/>
      <w:lvlJc w:val="left"/>
      <w:pPr>
        <w:ind w:left="1644" w:hanging="1247"/>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 w15:restartNumberingAfterBreak="0">
    <w:nsid w:val="1BCC2635"/>
    <w:multiLevelType w:val="multilevel"/>
    <w:tmpl w:val="B87A9D68"/>
    <w:numStyleLink w:val="Stylseznamu-odstavceslovan"/>
  </w:abstractNum>
  <w:abstractNum w:abstractNumId="4" w15:restartNumberingAfterBreak="0">
    <w:nsid w:val="23AA7C6F"/>
    <w:multiLevelType w:val="multilevel"/>
    <w:tmpl w:val="3BE66384"/>
    <w:numStyleLink w:val="Stylseznamu-odrky"/>
  </w:abstractNum>
  <w:abstractNum w:abstractNumId="5" w15:restartNumberingAfterBreak="0">
    <w:nsid w:val="3EAA4253"/>
    <w:multiLevelType w:val="multilevel"/>
    <w:tmpl w:val="3BE66384"/>
    <w:numStyleLink w:val="Stylseznamu-odrky"/>
  </w:abstractNum>
  <w:abstractNum w:abstractNumId="6" w15:restartNumberingAfterBreak="0">
    <w:nsid w:val="507C7313"/>
    <w:multiLevelType w:val="multilevel"/>
    <w:tmpl w:val="B87A9D68"/>
    <w:numStyleLink w:val="Stylseznamu-odstavceslovan"/>
  </w:abstractNum>
  <w:abstractNum w:abstractNumId="7" w15:restartNumberingAfterBreak="0">
    <w:nsid w:val="528219F0"/>
    <w:multiLevelType w:val="multilevel"/>
    <w:tmpl w:val="599C2AC6"/>
    <w:numStyleLink w:val="Stylseznamu-nadpisyslovan"/>
  </w:abstractNum>
  <w:abstractNum w:abstractNumId="8" w15:restartNumberingAfterBreak="0">
    <w:nsid w:val="55427B69"/>
    <w:multiLevelType w:val="multilevel"/>
    <w:tmpl w:val="599C2AC6"/>
    <w:numStyleLink w:val="Stylseznamu-nadpisyslovan"/>
  </w:abstractNum>
  <w:abstractNum w:abstractNumId="9" w15:restartNumberingAfterBreak="0">
    <w:nsid w:val="56960494"/>
    <w:multiLevelType w:val="multilevel"/>
    <w:tmpl w:val="3BE66384"/>
    <w:numStyleLink w:val="Stylseznamu-odrky"/>
  </w:abstractNum>
  <w:abstractNum w:abstractNumId="10" w15:restartNumberingAfterBreak="0">
    <w:nsid w:val="57355857"/>
    <w:multiLevelType w:val="multilevel"/>
    <w:tmpl w:val="599C2AC6"/>
    <w:styleLink w:val="Stylseznamu-nadpisyslovan"/>
    <w:lvl w:ilvl="0">
      <w:start w:val="1"/>
      <w:numFmt w:val="decimal"/>
      <w:pStyle w:val="Nadpis1slovan"/>
      <w:lvlText w:val="%1."/>
      <w:lvlJc w:val="left"/>
      <w:pPr>
        <w:ind w:left="482" w:hanging="482"/>
      </w:pPr>
      <w:rPr>
        <w:rFonts w:hint="default"/>
      </w:rPr>
    </w:lvl>
    <w:lvl w:ilvl="1">
      <w:start w:val="1"/>
      <w:numFmt w:val="decimal"/>
      <w:pStyle w:val="Nadpis2slovan"/>
      <w:lvlText w:val="%1.%2."/>
      <w:lvlJc w:val="left"/>
      <w:pPr>
        <w:ind w:left="680" w:hanging="680"/>
      </w:pPr>
      <w:rPr>
        <w:rFonts w:hint="default"/>
      </w:rPr>
    </w:lvl>
    <w:lvl w:ilvl="2">
      <w:start w:val="1"/>
      <w:numFmt w:val="decimal"/>
      <w:pStyle w:val="Nadpis3slovan"/>
      <w:lvlText w:val="%1.%2.%3."/>
      <w:lvlJc w:val="left"/>
      <w:pPr>
        <w:ind w:left="822" w:hanging="822"/>
      </w:pPr>
      <w:rPr>
        <w:rFonts w:hint="default"/>
      </w:rPr>
    </w:lvl>
    <w:lvl w:ilvl="3">
      <w:start w:val="1"/>
      <w:numFmt w:val="decimal"/>
      <w:pStyle w:val="Nadpis4slovan"/>
      <w:lvlText w:val="%1.%2.%3.%4."/>
      <w:lvlJc w:val="left"/>
      <w:pPr>
        <w:ind w:left="936" w:hanging="936"/>
      </w:pPr>
      <w:rPr>
        <w:rFonts w:hint="default"/>
      </w:rPr>
    </w:lvl>
    <w:lvl w:ilvl="4">
      <w:start w:val="1"/>
      <w:numFmt w:val="decimal"/>
      <w:pStyle w:val="Nadpis5slovan"/>
      <w:lvlText w:val="%1.%2.%3.%4.%5."/>
      <w:lvlJc w:val="left"/>
      <w:pPr>
        <w:ind w:left="1049" w:hanging="1049"/>
      </w:pPr>
      <w:rPr>
        <w:rFonts w:hint="default"/>
      </w:rPr>
    </w:lvl>
    <w:lvl w:ilvl="5">
      <w:start w:val="1"/>
      <w:numFmt w:val="decimal"/>
      <w:pStyle w:val="Nadpis6slovan"/>
      <w:lvlText w:val="%1.%2.%3.%4.%5.%6."/>
      <w:lvlJc w:val="left"/>
      <w:pPr>
        <w:ind w:left="1162" w:hanging="1162"/>
      </w:pPr>
      <w:rPr>
        <w:rFonts w:hint="default"/>
      </w:rPr>
    </w:lvl>
    <w:lvl w:ilvl="6">
      <w:start w:val="1"/>
      <w:numFmt w:val="none"/>
      <w:lvlText w:val=""/>
      <w:lvlJc w:val="left"/>
      <w:pPr>
        <w:ind w:left="0" w:firstLine="0"/>
      </w:pPr>
      <w:rPr>
        <w:rFonts w:hint="default"/>
      </w:rPr>
    </w:lvl>
    <w:lvl w:ilvl="7">
      <w:start w:val="1"/>
      <w:numFmt w:val="none"/>
      <w:lvlText w:val="%8"/>
      <w:lvlJc w:val="left"/>
      <w:pPr>
        <w:ind w:left="0" w:firstLine="0"/>
      </w:pPr>
      <w:rPr>
        <w:rFonts w:hint="default"/>
      </w:rPr>
    </w:lvl>
    <w:lvl w:ilvl="8">
      <w:start w:val="1"/>
      <w:numFmt w:val="none"/>
      <w:lvlText w:val=""/>
      <w:lvlJc w:val="left"/>
      <w:pPr>
        <w:ind w:left="0" w:firstLine="0"/>
      </w:pPr>
      <w:rPr>
        <w:rFonts w:hint="default"/>
      </w:rPr>
    </w:lvl>
  </w:abstractNum>
  <w:abstractNum w:abstractNumId="11" w15:restartNumberingAfterBreak="0">
    <w:nsid w:val="5A0E0C17"/>
    <w:multiLevelType w:val="multilevel"/>
    <w:tmpl w:val="599C2AC6"/>
    <w:numStyleLink w:val="Stylseznamu-nadpisyslovan"/>
  </w:abstractNum>
  <w:abstractNum w:abstractNumId="12" w15:restartNumberingAfterBreak="0">
    <w:nsid w:val="5B8C6215"/>
    <w:multiLevelType w:val="multilevel"/>
    <w:tmpl w:val="3BE66384"/>
    <w:styleLink w:val="Stylseznamu-odrky"/>
    <w:lvl w:ilvl="0">
      <w:start w:val="1"/>
      <w:numFmt w:val="bullet"/>
      <w:pStyle w:val="Odrka1"/>
      <w:lvlText w:val="■"/>
      <w:lvlJc w:val="left"/>
      <w:pPr>
        <w:ind w:left="227" w:hanging="227"/>
      </w:pPr>
      <w:rPr>
        <w:rFonts w:ascii="Arial" w:hAnsi="Arial" w:hint="default"/>
      </w:rPr>
    </w:lvl>
    <w:lvl w:ilvl="1">
      <w:start w:val="1"/>
      <w:numFmt w:val="bullet"/>
      <w:pStyle w:val="Odrka2"/>
      <w:lvlText w:val="▪"/>
      <w:lvlJc w:val="left"/>
      <w:pPr>
        <w:tabs>
          <w:tab w:val="num" w:pos="1418"/>
        </w:tabs>
        <w:ind w:left="907" w:hanging="198"/>
      </w:pPr>
      <w:rPr>
        <w:rFonts w:ascii="Arial" w:hAnsi="Arial" w:hint="default"/>
      </w:rPr>
    </w:lvl>
    <w:lvl w:ilvl="2">
      <w:start w:val="1"/>
      <w:numFmt w:val="bullet"/>
      <w:pStyle w:val="Odrka3"/>
      <w:lvlText w:val="■"/>
      <w:lvlJc w:val="left"/>
      <w:pPr>
        <w:tabs>
          <w:tab w:val="num" w:pos="2126"/>
        </w:tabs>
        <w:ind w:left="1644" w:hanging="226"/>
      </w:pPr>
      <w:rPr>
        <w:rFonts w:ascii="Arial" w:hAnsi="Arial" w:hint="default"/>
        <w:color w:val="A7A9B3" w:themeColor="background2"/>
      </w:rPr>
    </w:lvl>
    <w:lvl w:ilvl="3">
      <w:start w:val="1"/>
      <w:numFmt w:val="bullet"/>
      <w:pStyle w:val="Odrka4"/>
      <w:lvlText w:val="▪"/>
      <w:lvlJc w:val="left"/>
      <w:pPr>
        <w:tabs>
          <w:tab w:val="num" w:pos="2835"/>
        </w:tabs>
        <w:ind w:left="2325" w:hanging="199"/>
      </w:pPr>
      <w:rPr>
        <w:rFonts w:ascii="Arial" w:hAnsi="Arial" w:hint="default"/>
        <w:color w:val="A7A9B3" w:themeColor="background2"/>
      </w:rPr>
    </w:lvl>
    <w:lvl w:ilvl="4">
      <w:start w:val="1"/>
      <w:numFmt w:val="bullet"/>
      <w:pStyle w:val="Odrka5"/>
      <w:lvlText w:val="–"/>
      <w:lvlJc w:val="left"/>
      <w:pPr>
        <w:tabs>
          <w:tab w:val="num" w:pos="3544"/>
        </w:tabs>
        <w:ind w:left="3062" w:hanging="227"/>
      </w:pPr>
      <w:rPr>
        <w:rFonts w:ascii="Arial" w:hAnsi="Arial" w:hint="default"/>
        <w:color w:val="auto"/>
      </w:rPr>
    </w:lvl>
    <w:lvl w:ilvl="5">
      <w:start w:val="1"/>
      <w:numFmt w:val="bullet"/>
      <w:pStyle w:val="Odrka6"/>
      <w:lvlText w:val="·"/>
      <w:lvlJc w:val="left"/>
      <w:pPr>
        <w:ind w:left="3714" w:hanging="170"/>
      </w:pPr>
      <w:rPr>
        <w:rFonts w:ascii="Arial" w:hAnsi="Arial" w:hint="default"/>
        <w:color w:val="auto"/>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3" w15:restartNumberingAfterBreak="0">
    <w:nsid w:val="69B93953"/>
    <w:multiLevelType w:val="multilevel"/>
    <w:tmpl w:val="599C2AC6"/>
    <w:numStyleLink w:val="Stylseznamu-nadpisyslovan"/>
  </w:abstractNum>
  <w:abstractNum w:abstractNumId="14" w15:restartNumberingAfterBreak="0">
    <w:nsid w:val="74052CCF"/>
    <w:multiLevelType w:val="multilevel"/>
    <w:tmpl w:val="3BE66384"/>
    <w:numStyleLink w:val="Stylseznamu-odrky"/>
  </w:abstractNum>
  <w:abstractNum w:abstractNumId="15" w15:restartNumberingAfterBreak="0">
    <w:nsid w:val="7B356AC3"/>
    <w:multiLevelType w:val="multilevel"/>
    <w:tmpl w:val="B87A9D68"/>
    <w:numStyleLink w:val="Stylseznamu-odstavceslovan"/>
  </w:abstractNum>
  <w:abstractNum w:abstractNumId="16" w15:restartNumberingAfterBreak="0">
    <w:nsid w:val="7CA64431"/>
    <w:multiLevelType w:val="multilevel"/>
    <w:tmpl w:val="3BE66384"/>
    <w:numStyleLink w:val="Stylseznamu-odrky"/>
  </w:abstractNum>
  <w:abstractNum w:abstractNumId="17" w15:restartNumberingAfterBreak="0">
    <w:nsid w:val="7F397BA4"/>
    <w:multiLevelType w:val="multilevel"/>
    <w:tmpl w:val="599C2AC6"/>
    <w:numStyleLink w:val="Stylseznamu-nadpisyslovan"/>
  </w:abstractNum>
  <w:abstractNum w:abstractNumId="18" w15:restartNumberingAfterBreak="0">
    <w:nsid w:val="7F5003B6"/>
    <w:multiLevelType w:val="hybridMultilevel"/>
    <w:tmpl w:val="38BC061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959535713">
    <w:abstractNumId w:val="18"/>
  </w:num>
  <w:num w:numId="2" w16cid:durableId="304243697">
    <w:abstractNumId w:val="10"/>
  </w:num>
  <w:num w:numId="3" w16cid:durableId="20265888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74304396">
    <w:abstractNumId w:val="7"/>
  </w:num>
  <w:num w:numId="5" w16cid:durableId="1339186929">
    <w:abstractNumId w:val="17"/>
  </w:num>
  <w:num w:numId="6" w16cid:durableId="1737124859">
    <w:abstractNumId w:val="11"/>
  </w:num>
  <w:num w:numId="7" w16cid:durableId="200482209">
    <w:abstractNumId w:val="8"/>
  </w:num>
  <w:num w:numId="8" w16cid:durableId="2111312322">
    <w:abstractNumId w:val="2"/>
  </w:num>
  <w:num w:numId="9" w16cid:durableId="28489703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06001881">
    <w:abstractNumId w:val="3"/>
  </w:num>
  <w:num w:numId="11" w16cid:durableId="627398554">
    <w:abstractNumId w:val="15"/>
  </w:num>
  <w:num w:numId="12" w16cid:durableId="1445079522">
    <w:abstractNumId w:val="12"/>
  </w:num>
  <w:num w:numId="13" w16cid:durableId="879823075">
    <w:abstractNumId w:val="1"/>
  </w:num>
  <w:num w:numId="14" w16cid:durableId="796529861">
    <w:abstractNumId w:val="16"/>
  </w:num>
  <w:num w:numId="15" w16cid:durableId="165413013">
    <w:abstractNumId w:val="14"/>
  </w:num>
  <w:num w:numId="16" w16cid:durableId="608591211">
    <w:abstractNumId w:val="0"/>
  </w:num>
  <w:num w:numId="17" w16cid:durableId="1669139136">
    <w:abstractNumId w:val="4"/>
  </w:num>
  <w:num w:numId="18" w16cid:durableId="2135248819">
    <w:abstractNumId w:val="5"/>
  </w:num>
  <w:num w:numId="19" w16cid:durableId="831679160">
    <w:abstractNumId w:val="9"/>
  </w:num>
  <w:num w:numId="20" w16cid:durableId="374815673">
    <w:abstractNumId w:val="13"/>
  </w:num>
  <w:num w:numId="21" w16cid:durableId="8003304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LockQFSet/>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3AD3"/>
    <w:rsid w:val="000106FE"/>
    <w:rsid w:val="000120B4"/>
    <w:rsid w:val="0002560E"/>
    <w:rsid w:val="00032CCE"/>
    <w:rsid w:val="00035F16"/>
    <w:rsid w:val="00043335"/>
    <w:rsid w:val="00054392"/>
    <w:rsid w:val="0005510C"/>
    <w:rsid w:val="00062565"/>
    <w:rsid w:val="00070445"/>
    <w:rsid w:val="00071F0F"/>
    <w:rsid w:val="000755CE"/>
    <w:rsid w:val="0008359B"/>
    <w:rsid w:val="00083A55"/>
    <w:rsid w:val="00085436"/>
    <w:rsid w:val="000876AE"/>
    <w:rsid w:val="00087970"/>
    <w:rsid w:val="0009615C"/>
    <w:rsid w:val="000968A9"/>
    <w:rsid w:val="000A4BB1"/>
    <w:rsid w:val="000B4F0B"/>
    <w:rsid w:val="000B5394"/>
    <w:rsid w:val="000C11F2"/>
    <w:rsid w:val="000C2452"/>
    <w:rsid w:val="000C67FA"/>
    <w:rsid w:val="000C68F4"/>
    <w:rsid w:val="000D2954"/>
    <w:rsid w:val="000D5C58"/>
    <w:rsid w:val="000E00C3"/>
    <w:rsid w:val="000E3099"/>
    <w:rsid w:val="000F141D"/>
    <w:rsid w:val="000F5A54"/>
    <w:rsid w:val="00102994"/>
    <w:rsid w:val="0010606B"/>
    <w:rsid w:val="001076A2"/>
    <w:rsid w:val="0011194F"/>
    <w:rsid w:val="00122363"/>
    <w:rsid w:val="00125948"/>
    <w:rsid w:val="001279FE"/>
    <w:rsid w:val="0013468F"/>
    <w:rsid w:val="00134D21"/>
    <w:rsid w:val="00134F2B"/>
    <w:rsid w:val="00135EBB"/>
    <w:rsid w:val="001363A5"/>
    <w:rsid w:val="00137B85"/>
    <w:rsid w:val="00140402"/>
    <w:rsid w:val="00141449"/>
    <w:rsid w:val="00141B7A"/>
    <w:rsid w:val="001430FC"/>
    <w:rsid w:val="00146A2A"/>
    <w:rsid w:val="0015074B"/>
    <w:rsid w:val="001510FA"/>
    <w:rsid w:val="001519FD"/>
    <w:rsid w:val="00160FEB"/>
    <w:rsid w:val="00164790"/>
    <w:rsid w:val="001712FE"/>
    <w:rsid w:val="00171B3E"/>
    <w:rsid w:val="00175680"/>
    <w:rsid w:val="001860D9"/>
    <w:rsid w:val="00186C9E"/>
    <w:rsid w:val="001909FA"/>
    <w:rsid w:val="001A75E8"/>
    <w:rsid w:val="001D3284"/>
    <w:rsid w:val="001D52C5"/>
    <w:rsid w:val="001D719A"/>
    <w:rsid w:val="001E0520"/>
    <w:rsid w:val="001E1B82"/>
    <w:rsid w:val="001E417F"/>
    <w:rsid w:val="001E513B"/>
    <w:rsid w:val="001E691A"/>
    <w:rsid w:val="001F493F"/>
    <w:rsid w:val="001F7684"/>
    <w:rsid w:val="002000F6"/>
    <w:rsid w:val="00200551"/>
    <w:rsid w:val="002013B0"/>
    <w:rsid w:val="0020716F"/>
    <w:rsid w:val="00216463"/>
    <w:rsid w:val="0022052B"/>
    <w:rsid w:val="00222610"/>
    <w:rsid w:val="002234D1"/>
    <w:rsid w:val="00234525"/>
    <w:rsid w:val="002363CA"/>
    <w:rsid w:val="00241E6A"/>
    <w:rsid w:val="0024676C"/>
    <w:rsid w:val="0025518A"/>
    <w:rsid w:val="00260DCA"/>
    <w:rsid w:val="00275B42"/>
    <w:rsid w:val="00280346"/>
    <w:rsid w:val="00280D21"/>
    <w:rsid w:val="0028101B"/>
    <w:rsid w:val="002826B4"/>
    <w:rsid w:val="00293F29"/>
    <w:rsid w:val="00297C33"/>
    <w:rsid w:val="002C3794"/>
    <w:rsid w:val="002C4C20"/>
    <w:rsid w:val="002D11B9"/>
    <w:rsid w:val="002D504C"/>
    <w:rsid w:val="002D796B"/>
    <w:rsid w:val="002F639E"/>
    <w:rsid w:val="002F7004"/>
    <w:rsid w:val="0030061B"/>
    <w:rsid w:val="00303A0E"/>
    <w:rsid w:val="00305738"/>
    <w:rsid w:val="00307360"/>
    <w:rsid w:val="003206E7"/>
    <w:rsid w:val="003208E6"/>
    <w:rsid w:val="0032285E"/>
    <w:rsid w:val="00331D1A"/>
    <w:rsid w:val="003328BD"/>
    <w:rsid w:val="00332D40"/>
    <w:rsid w:val="003351B8"/>
    <w:rsid w:val="00346F1D"/>
    <w:rsid w:val="003540FA"/>
    <w:rsid w:val="00356332"/>
    <w:rsid w:val="00363815"/>
    <w:rsid w:val="003654CD"/>
    <w:rsid w:val="00370110"/>
    <w:rsid w:val="00372598"/>
    <w:rsid w:val="00384070"/>
    <w:rsid w:val="00391B1C"/>
    <w:rsid w:val="00392F53"/>
    <w:rsid w:val="00393EC0"/>
    <w:rsid w:val="003A2A49"/>
    <w:rsid w:val="003A3966"/>
    <w:rsid w:val="003A7E6A"/>
    <w:rsid w:val="003C027F"/>
    <w:rsid w:val="003C3F6A"/>
    <w:rsid w:val="003D639F"/>
    <w:rsid w:val="003E0572"/>
    <w:rsid w:val="003E3910"/>
    <w:rsid w:val="003E6369"/>
    <w:rsid w:val="003F36C7"/>
    <w:rsid w:val="003F54C8"/>
    <w:rsid w:val="003F69B1"/>
    <w:rsid w:val="004027D2"/>
    <w:rsid w:val="0040303E"/>
    <w:rsid w:val="00407B47"/>
    <w:rsid w:val="004136C9"/>
    <w:rsid w:val="00420F82"/>
    <w:rsid w:val="00421717"/>
    <w:rsid w:val="00426C60"/>
    <w:rsid w:val="00427375"/>
    <w:rsid w:val="00430567"/>
    <w:rsid w:val="00430BB6"/>
    <w:rsid w:val="0043243E"/>
    <w:rsid w:val="00433E54"/>
    <w:rsid w:val="00436EC2"/>
    <w:rsid w:val="00450156"/>
    <w:rsid w:val="004533F8"/>
    <w:rsid w:val="00454DC7"/>
    <w:rsid w:val="004573FA"/>
    <w:rsid w:val="004607B2"/>
    <w:rsid w:val="00463047"/>
    <w:rsid w:val="0046727D"/>
    <w:rsid w:val="004723B2"/>
    <w:rsid w:val="0047364E"/>
    <w:rsid w:val="00493ED9"/>
    <w:rsid w:val="004977D7"/>
    <w:rsid w:val="004A01A7"/>
    <w:rsid w:val="004A09C5"/>
    <w:rsid w:val="004A38DD"/>
    <w:rsid w:val="004B31ED"/>
    <w:rsid w:val="004B4A94"/>
    <w:rsid w:val="004C7DCA"/>
    <w:rsid w:val="004E0C3E"/>
    <w:rsid w:val="004E27BE"/>
    <w:rsid w:val="004E7E0E"/>
    <w:rsid w:val="004F5CFF"/>
    <w:rsid w:val="004F7EB1"/>
    <w:rsid w:val="00500A63"/>
    <w:rsid w:val="00504C1B"/>
    <w:rsid w:val="00521746"/>
    <w:rsid w:val="00534403"/>
    <w:rsid w:val="00535FFB"/>
    <w:rsid w:val="00542A56"/>
    <w:rsid w:val="00542CA8"/>
    <w:rsid w:val="00550B36"/>
    <w:rsid w:val="00553ACE"/>
    <w:rsid w:val="005548CD"/>
    <w:rsid w:val="00554FC7"/>
    <w:rsid w:val="0055531A"/>
    <w:rsid w:val="00560EC8"/>
    <w:rsid w:val="0056331C"/>
    <w:rsid w:val="00563A5F"/>
    <w:rsid w:val="00563FE8"/>
    <w:rsid w:val="0056491C"/>
    <w:rsid w:val="00564F2B"/>
    <w:rsid w:val="005801BB"/>
    <w:rsid w:val="005865A4"/>
    <w:rsid w:val="00586756"/>
    <w:rsid w:val="0058729F"/>
    <w:rsid w:val="00593FA2"/>
    <w:rsid w:val="005970F5"/>
    <w:rsid w:val="005A012C"/>
    <w:rsid w:val="005A4EC9"/>
    <w:rsid w:val="005A60C3"/>
    <w:rsid w:val="005C14EB"/>
    <w:rsid w:val="005C29C9"/>
    <w:rsid w:val="005C781E"/>
    <w:rsid w:val="00601C8A"/>
    <w:rsid w:val="00601DFE"/>
    <w:rsid w:val="006051FE"/>
    <w:rsid w:val="00606CF5"/>
    <w:rsid w:val="00607675"/>
    <w:rsid w:val="006104A9"/>
    <w:rsid w:val="006120D2"/>
    <w:rsid w:val="006254F9"/>
    <w:rsid w:val="00626A46"/>
    <w:rsid w:val="00626A74"/>
    <w:rsid w:val="0062750B"/>
    <w:rsid w:val="00634320"/>
    <w:rsid w:val="00637E8B"/>
    <w:rsid w:val="00640E73"/>
    <w:rsid w:val="0064237D"/>
    <w:rsid w:val="00647757"/>
    <w:rsid w:val="00650D3D"/>
    <w:rsid w:val="0067042F"/>
    <w:rsid w:val="006950C1"/>
    <w:rsid w:val="0069631F"/>
    <w:rsid w:val="006A4940"/>
    <w:rsid w:val="006A57CC"/>
    <w:rsid w:val="006C0860"/>
    <w:rsid w:val="006C0B80"/>
    <w:rsid w:val="006C2152"/>
    <w:rsid w:val="006E7273"/>
    <w:rsid w:val="006F4755"/>
    <w:rsid w:val="006F51DB"/>
    <w:rsid w:val="00702BED"/>
    <w:rsid w:val="007049E6"/>
    <w:rsid w:val="00713213"/>
    <w:rsid w:val="007141CA"/>
    <w:rsid w:val="0071455E"/>
    <w:rsid w:val="00716F0E"/>
    <w:rsid w:val="00720EFD"/>
    <w:rsid w:val="00724E67"/>
    <w:rsid w:val="0073040F"/>
    <w:rsid w:val="007334B7"/>
    <w:rsid w:val="007371E0"/>
    <w:rsid w:val="00753FD4"/>
    <w:rsid w:val="00765263"/>
    <w:rsid w:val="00771587"/>
    <w:rsid w:val="00773B0B"/>
    <w:rsid w:val="00787190"/>
    <w:rsid w:val="007D1B14"/>
    <w:rsid w:val="007D6A0E"/>
    <w:rsid w:val="007D6F07"/>
    <w:rsid w:val="007E2D2F"/>
    <w:rsid w:val="007E3E90"/>
    <w:rsid w:val="007F4B17"/>
    <w:rsid w:val="007F5653"/>
    <w:rsid w:val="00801CDD"/>
    <w:rsid w:val="00811964"/>
    <w:rsid w:val="00834A49"/>
    <w:rsid w:val="00837E45"/>
    <w:rsid w:val="0084277E"/>
    <w:rsid w:val="0084627A"/>
    <w:rsid w:val="00851074"/>
    <w:rsid w:val="008541DA"/>
    <w:rsid w:val="00870D3E"/>
    <w:rsid w:val="00877CF1"/>
    <w:rsid w:val="00884306"/>
    <w:rsid w:val="008A1C03"/>
    <w:rsid w:val="008A4895"/>
    <w:rsid w:val="008B0E87"/>
    <w:rsid w:val="008C4A49"/>
    <w:rsid w:val="008D405D"/>
    <w:rsid w:val="008D5575"/>
    <w:rsid w:val="008F125B"/>
    <w:rsid w:val="008F533C"/>
    <w:rsid w:val="009149E6"/>
    <w:rsid w:val="009169EE"/>
    <w:rsid w:val="00916E60"/>
    <w:rsid w:val="00917C90"/>
    <w:rsid w:val="00945FB9"/>
    <w:rsid w:val="009475A7"/>
    <w:rsid w:val="00951930"/>
    <w:rsid w:val="00960486"/>
    <w:rsid w:val="009610E2"/>
    <w:rsid w:val="0096469E"/>
    <w:rsid w:val="0097303D"/>
    <w:rsid w:val="009763F6"/>
    <w:rsid w:val="00983393"/>
    <w:rsid w:val="00984352"/>
    <w:rsid w:val="00985819"/>
    <w:rsid w:val="009A389D"/>
    <w:rsid w:val="009B032C"/>
    <w:rsid w:val="009B0804"/>
    <w:rsid w:val="009C081A"/>
    <w:rsid w:val="009C0BC3"/>
    <w:rsid w:val="009C31A6"/>
    <w:rsid w:val="009C78B7"/>
    <w:rsid w:val="009D72AA"/>
    <w:rsid w:val="009E18B2"/>
    <w:rsid w:val="009E4B81"/>
    <w:rsid w:val="009F3E9D"/>
    <w:rsid w:val="00A15A28"/>
    <w:rsid w:val="00A22708"/>
    <w:rsid w:val="00A274A1"/>
    <w:rsid w:val="00A3283F"/>
    <w:rsid w:val="00A34978"/>
    <w:rsid w:val="00A42822"/>
    <w:rsid w:val="00A47859"/>
    <w:rsid w:val="00A55A71"/>
    <w:rsid w:val="00A7786D"/>
    <w:rsid w:val="00A851CE"/>
    <w:rsid w:val="00A91166"/>
    <w:rsid w:val="00A91452"/>
    <w:rsid w:val="00A95D0B"/>
    <w:rsid w:val="00AA0C58"/>
    <w:rsid w:val="00AA1D72"/>
    <w:rsid w:val="00AB4BE7"/>
    <w:rsid w:val="00AB5479"/>
    <w:rsid w:val="00AB7649"/>
    <w:rsid w:val="00AC0BF4"/>
    <w:rsid w:val="00AC1F2E"/>
    <w:rsid w:val="00AC58DC"/>
    <w:rsid w:val="00AD225D"/>
    <w:rsid w:val="00AD40DD"/>
    <w:rsid w:val="00AD66D9"/>
    <w:rsid w:val="00AD7AD2"/>
    <w:rsid w:val="00AD7D97"/>
    <w:rsid w:val="00AE1317"/>
    <w:rsid w:val="00AE6440"/>
    <w:rsid w:val="00AF06B0"/>
    <w:rsid w:val="00AF3319"/>
    <w:rsid w:val="00AF39AC"/>
    <w:rsid w:val="00AF6E9E"/>
    <w:rsid w:val="00B0330A"/>
    <w:rsid w:val="00B05C95"/>
    <w:rsid w:val="00B07208"/>
    <w:rsid w:val="00B2195A"/>
    <w:rsid w:val="00B31BB1"/>
    <w:rsid w:val="00B40D87"/>
    <w:rsid w:val="00B422EB"/>
    <w:rsid w:val="00B43D9B"/>
    <w:rsid w:val="00B47092"/>
    <w:rsid w:val="00B51C8F"/>
    <w:rsid w:val="00B602D0"/>
    <w:rsid w:val="00B62344"/>
    <w:rsid w:val="00B62FCA"/>
    <w:rsid w:val="00B70022"/>
    <w:rsid w:val="00B7165F"/>
    <w:rsid w:val="00B733E5"/>
    <w:rsid w:val="00B759AD"/>
    <w:rsid w:val="00B8724F"/>
    <w:rsid w:val="00B90BD8"/>
    <w:rsid w:val="00B910FF"/>
    <w:rsid w:val="00B96F18"/>
    <w:rsid w:val="00BA64C3"/>
    <w:rsid w:val="00BA6934"/>
    <w:rsid w:val="00BB2466"/>
    <w:rsid w:val="00BB2B9A"/>
    <w:rsid w:val="00BB6195"/>
    <w:rsid w:val="00BB6635"/>
    <w:rsid w:val="00BC23FF"/>
    <w:rsid w:val="00BC5C99"/>
    <w:rsid w:val="00BD27B2"/>
    <w:rsid w:val="00BE2E0B"/>
    <w:rsid w:val="00BE3BE4"/>
    <w:rsid w:val="00BE5550"/>
    <w:rsid w:val="00BF48BB"/>
    <w:rsid w:val="00BF58C9"/>
    <w:rsid w:val="00C03219"/>
    <w:rsid w:val="00C03731"/>
    <w:rsid w:val="00C044C1"/>
    <w:rsid w:val="00C0580F"/>
    <w:rsid w:val="00C063DD"/>
    <w:rsid w:val="00C07034"/>
    <w:rsid w:val="00C12B28"/>
    <w:rsid w:val="00C15C5E"/>
    <w:rsid w:val="00C206E5"/>
    <w:rsid w:val="00C21594"/>
    <w:rsid w:val="00C240F6"/>
    <w:rsid w:val="00C27B17"/>
    <w:rsid w:val="00C311A5"/>
    <w:rsid w:val="00C36D22"/>
    <w:rsid w:val="00C4391D"/>
    <w:rsid w:val="00C47D31"/>
    <w:rsid w:val="00C5077B"/>
    <w:rsid w:val="00C559EC"/>
    <w:rsid w:val="00C5725B"/>
    <w:rsid w:val="00C61C26"/>
    <w:rsid w:val="00C62424"/>
    <w:rsid w:val="00C678BE"/>
    <w:rsid w:val="00C744B6"/>
    <w:rsid w:val="00C744B7"/>
    <w:rsid w:val="00C74A09"/>
    <w:rsid w:val="00C74A35"/>
    <w:rsid w:val="00CA3ABB"/>
    <w:rsid w:val="00CB1B52"/>
    <w:rsid w:val="00CB1E4F"/>
    <w:rsid w:val="00CB5768"/>
    <w:rsid w:val="00CB6B2A"/>
    <w:rsid w:val="00CC0409"/>
    <w:rsid w:val="00CC309B"/>
    <w:rsid w:val="00CC35A2"/>
    <w:rsid w:val="00CC7927"/>
    <w:rsid w:val="00CD050A"/>
    <w:rsid w:val="00CD0856"/>
    <w:rsid w:val="00CD784B"/>
    <w:rsid w:val="00CE0BC6"/>
    <w:rsid w:val="00CF6697"/>
    <w:rsid w:val="00D066AA"/>
    <w:rsid w:val="00D12AC4"/>
    <w:rsid w:val="00D15008"/>
    <w:rsid w:val="00D15B3B"/>
    <w:rsid w:val="00D20AC3"/>
    <w:rsid w:val="00D447AE"/>
    <w:rsid w:val="00D50FAD"/>
    <w:rsid w:val="00D57951"/>
    <w:rsid w:val="00D63056"/>
    <w:rsid w:val="00D70040"/>
    <w:rsid w:val="00D7143F"/>
    <w:rsid w:val="00DA10DB"/>
    <w:rsid w:val="00DA25FE"/>
    <w:rsid w:val="00DD3D93"/>
    <w:rsid w:val="00DD4E3E"/>
    <w:rsid w:val="00DD6689"/>
    <w:rsid w:val="00DF3F66"/>
    <w:rsid w:val="00E030D9"/>
    <w:rsid w:val="00E12747"/>
    <w:rsid w:val="00E14659"/>
    <w:rsid w:val="00E24FEA"/>
    <w:rsid w:val="00E34849"/>
    <w:rsid w:val="00E414DB"/>
    <w:rsid w:val="00E456D4"/>
    <w:rsid w:val="00E47767"/>
    <w:rsid w:val="00E62893"/>
    <w:rsid w:val="00E67257"/>
    <w:rsid w:val="00E704CC"/>
    <w:rsid w:val="00E721D1"/>
    <w:rsid w:val="00E72CDB"/>
    <w:rsid w:val="00E83AD3"/>
    <w:rsid w:val="00E8736C"/>
    <w:rsid w:val="00E9443E"/>
    <w:rsid w:val="00E9571D"/>
    <w:rsid w:val="00E97FB6"/>
    <w:rsid w:val="00EB5DA8"/>
    <w:rsid w:val="00EC2292"/>
    <w:rsid w:val="00EF1981"/>
    <w:rsid w:val="00EF4611"/>
    <w:rsid w:val="00F0418D"/>
    <w:rsid w:val="00F049CC"/>
    <w:rsid w:val="00F04EC6"/>
    <w:rsid w:val="00F152C4"/>
    <w:rsid w:val="00F21784"/>
    <w:rsid w:val="00F21B6A"/>
    <w:rsid w:val="00F235A6"/>
    <w:rsid w:val="00F25BD5"/>
    <w:rsid w:val="00F26AB3"/>
    <w:rsid w:val="00F2736D"/>
    <w:rsid w:val="00F30E1E"/>
    <w:rsid w:val="00F32286"/>
    <w:rsid w:val="00F34410"/>
    <w:rsid w:val="00F4165D"/>
    <w:rsid w:val="00F423F6"/>
    <w:rsid w:val="00F53B1A"/>
    <w:rsid w:val="00F562EF"/>
    <w:rsid w:val="00F62F51"/>
    <w:rsid w:val="00F668A6"/>
    <w:rsid w:val="00F70F49"/>
    <w:rsid w:val="00F837DE"/>
    <w:rsid w:val="00FA0FB3"/>
    <w:rsid w:val="00FA634C"/>
    <w:rsid w:val="00FA79CC"/>
    <w:rsid w:val="00FA7B77"/>
    <w:rsid w:val="00FB11FD"/>
    <w:rsid w:val="00FB3865"/>
    <w:rsid w:val="00FB4F1B"/>
    <w:rsid w:val="00FB57B9"/>
    <w:rsid w:val="00FC186E"/>
    <w:rsid w:val="00FD140D"/>
    <w:rsid w:val="00FD5BC4"/>
    <w:rsid w:val="00FD5BEC"/>
    <w:rsid w:val="00FD5E47"/>
    <w:rsid w:val="00FD7332"/>
    <w:rsid w:val="00FE7E2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E7542F"/>
  <w15:chartTrackingRefBased/>
  <w15:docId w15:val="{AC0CD5EB-CB02-48B9-A961-B5FE49372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lang w:val="cs-CZ" w:eastAsia="en-US" w:bidi="ar-SA"/>
        <w14:ligatures w14:val="standardContextual"/>
      </w:rPr>
    </w:rPrDefault>
    <w:pPrDefault>
      <w:pPr>
        <w:spacing w:after="16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564F2B"/>
  </w:style>
  <w:style w:type="paragraph" w:styleId="Nadpis1">
    <w:name w:val="heading 1"/>
    <w:basedOn w:val="Normln"/>
    <w:next w:val="Normln"/>
    <w:link w:val="Nadpis1Char"/>
    <w:uiPriority w:val="1"/>
    <w:qFormat/>
    <w:rsid w:val="00200551"/>
    <w:pPr>
      <w:keepNext/>
      <w:keepLines/>
      <w:suppressAutoHyphens/>
      <w:spacing w:before="280"/>
      <w:jc w:val="left"/>
      <w:outlineLvl w:val="0"/>
    </w:pPr>
    <w:rPr>
      <w:rFonts w:asciiTheme="majorHAnsi" w:eastAsiaTheme="majorEastAsia" w:hAnsiTheme="majorHAnsi" w:cstheme="majorBidi"/>
      <w:b/>
      <w:bCs/>
      <w:color w:val="D70C0F"/>
      <w:sz w:val="40"/>
      <w:szCs w:val="40"/>
    </w:rPr>
  </w:style>
  <w:style w:type="paragraph" w:styleId="Nadpis2">
    <w:name w:val="heading 2"/>
    <w:basedOn w:val="Normln"/>
    <w:next w:val="Normln"/>
    <w:link w:val="Nadpis2Char"/>
    <w:uiPriority w:val="1"/>
    <w:unhideWhenUsed/>
    <w:qFormat/>
    <w:rsid w:val="00C744B6"/>
    <w:pPr>
      <w:keepNext/>
      <w:keepLines/>
      <w:suppressAutoHyphens/>
      <w:spacing w:before="280"/>
      <w:jc w:val="left"/>
      <w:outlineLvl w:val="1"/>
    </w:pPr>
    <w:rPr>
      <w:rFonts w:asciiTheme="majorHAnsi" w:eastAsiaTheme="majorEastAsia" w:hAnsiTheme="majorHAnsi" w:cstheme="majorBidi"/>
      <w:b/>
      <w:bCs/>
      <w:color w:val="545860" w:themeColor="text2"/>
      <w:sz w:val="32"/>
      <w:szCs w:val="32"/>
    </w:rPr>
  </w:style>
  <w:style w:type="paragraph" w:styleId="Nadpis3">
    <w:name w:val="heading 3"/>
    <w:basedOn w:val="Normln"/>
    <w:next w:val="Normln"/>
    <w:link w:val="Nadpis3Char"/>
    <w:uiPriority w:val="1"/>
    <w:unhideWhenUsed/>
    <w:qFormat/>
    <w:rsid w:val="00C744B6"/>
    <w:pPr>
      <w:keepNext/>
      <w:keepLines/>
      <w:suppressAutoHyphens/>
      <w:spacing w:before="280"/>
      <w:jc w:val="left"/>
      <w:outlineLvl w:val="2"/>
    </w:pPr>
    <w:rPr>
      <w:rFonts w:eastAsiaTheme="majorEastAsia" w:cstheme="majorBidi"/>
      <w:b/>
      <w:bCs/>
      <w:color w:val="545860" w:themeColor="text2"/>
      <w:sz w:val="28"/>
      <w:szCs w:val="28"/>
    </w:rPr>
  </w:style>
  <w:style w:type="paragraph" w:styleId="Nadpis4">
    <w:name w:val="heading 4"/>
    <w:basedOn w:val="Normln"/>
    <w:next w:val="Normln"/>
    <w:link w:val="Nadpis4Char"/>
    <w:uiPriority w:val="1"/>
    <w:unhideWhenUsed/>
    <w:qFormat/>
    <w:rsid w:val="00C744B6"/>
    <w:pPr>
      <w:keepNext/>
      <w:keepLines/>
      <w:suppressAutoHyphens/>
      <w:spacing w:before="280"/>
      <w:jc w:val="left"/>
      <w:outlineLvl w:val="3"/>
    </w:pPr>
    <w:rPr>
      <w:rFonts w:eastAsiaTheme="majorEastAsia" w:cstheme="majorBidi"/>
      <w:b/>
      <w:bCs/>
      <w:color w:val="545860" w:themeColor="text2"/>
      <w:sz w:val="24"/>
      <w:szCs w:val="24"/>
    </w:rPr>
  </w:style>
  <w:style w:type="paragraph" w:styleId="Nadpis5">
    <w:name w:val="heading 5"/>
    <w:basedOn w:val="Normln"/>
    <w:next w:val="Normln"/>
    <w:link w:val="Nadpis5Char"/>
    <w:uiPriority w:val="1"/>
    <w:unhideWhenUsed/>
    <w:qFormat/>
    <w:rsid w:val="00C744B6"/>
    <w:pPr>
      <w:keepNext/>
      <w:keepLines/>
      <w:suppressAutoHyphens/>
      <w:spacing w:before="280"/>
      <w:jc w:val="left"/>
      <w:outlineLvl w:val="4"/>
    </w:pPr>
    <w:rPr>
      <w:rFonts w:eastAsiaTheme="majorEastAsia" w:cstheme="majorBidi"/>
      <w:b/>
      <w:bCs/>
      <w:color w:val="545860" w:themeColor="text2"/>
      <w:sz w:val="22"/>
      <w:szCs w:val="22"/>
    </w:rPr>
  </w:style>
  <w:style w:type="paragraph" w:styleId="Nadpis6">
    <w:name w:val="heading 6"/>
    <w:basedOn w:val="Normln"/>
    <w:next w:val="Normln"/>
    <w:link w:val="Nadpis6Char"/>
    <w:uiPriority w:val="1"/>
    <w:unhideWhenUsed/>
    <w:qFormat/>
    <w:rsid w:val="00773B0B"/>
    <w:pPr>
      <w:keepNext/>
      <w:keepLines/>
      <w:suppressAutoHyphens/>
      <w:spacing w:before="280" w:after="0"/>
      <w:jc w:val="left"/>
      <w:outlineLvl w:val="5"/>
    </w:pPr>
    <w:rPr>
      <w:rFonts w:eastAsiaTheme="majorEastAsia" w:cstheme="majorBidi"/>
      <w:b/>
      <w:bCs/>
      <w:color w:val="545860" w:themeColor="text2"/>
    </w:rPr>
  </w:style>
  <w:style w:type="paragraph" w:styleId="Nadpis7">
    <w:name w:val="heading 7"/>
    <w:basedOn w:val="Normln"/>
    <w:next w:val="Normln"/>
    <w:link w:val="Nadpis7Char"/>
    <w:uiPriority w:val="9"/>
    <w:semiHidden/>
    <w:qFormat/>
    <w:rsid w:val="00AF6E9E"/>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AF6E9E"/>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AF6E9E"/>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1"/>
    <w:rsid w:val="00200551"/>
    <w:rPr>
      <w:rFonts w:asciiTheme="majorHAnsi" w:eastAsiaTheme="majorEastAsia" w:hAnsiTheme="majorHAnsi" w:cstheme="majorBidi"/>
      <w:b/>
      <w:bCs/>
      <w:color w:val="D70C0F"/>
      <w:sz w:val="40"/>
      <w:szCs w:val="40"/>
    </w:rPr>
  </w:style>
  <w:style w:type="character" w:customStyle="1" w:styleId="Nadpis2Char">
    <w:name w:val="Nadpis 2 Char"/>
    <w:basedOn w:val="Standardnpsmoodstavce"/>
    <w:link w:val="Nadpis2"/>
    <w:uiPriority w:val="1"/>
    <w:rsid w:val="00C744B6"/>
    <w:rPr>
      <w:rFonts w:asciiTheme="majorHAnsi" w:eastAsiaTheme="majorEastAsia" w:hAnsiTheme="majorHAnsi" w:cstheme="majorBidi"/>
      <w:b/>
      <w:bCs/>
      <w:color w:val="545860" w:themeColor="text2"/>
      <w:sz w:val="32"/>
      <w:szCs w:val="32"/>
    </w:rPr>
  </w:style>
  <w:style w:type="character" w:customStyle="1" w:styleId="Nadpis3Char">
    <w:name w:val="Nadpis 3 Char"/>
    <w:basedOn w:val="Standardnpsmoodstavce"/>
    <w:link w:val="Nadpis3"/>
    <w:uiPriority w:val="1"/>
    <w:rsid w:val="00C744B6"/>
    <w:rPr>
      <w:rFonts w:eastAsiaTheme="majorEastAsia" w:cstheme="majorBidi"/>
      <w:b/>
      <w:bCs/>
      <w:color w:val="545860" w:themeColor="text2"/>
      <w:sz w:val="28"/>
      <w:szCs w:val="28"/>
    </w:rPr>
  </w:style>
  <w:style w:type="character" w:customStyle="1" w:styleId="Nadpis4Char">
    <w:name w:val="Nadpis 4 Char"/>
    <w:basedOn w:val="Standardnpsmoodstavce"/>
    <w:link w:val="Nadpis4"/>
    <w:uiPriority w:val="1"/>
    <w:rsid w:val="00C744B6"/>
    <w:rPr>
      <w:rFonts w:eastAsiaTheme="majorEastAsia" w:cstheme="majorBidi"/>
      <w:b/>
      <w:bCs/>
      <w:color w:val="545860" w:themeColor="text2"/>
      <w:sz w:val="24"/>
      <w:szCs w:val="24"/>
    </w:rPr>
  </w:style>
  <w:style w:type="character" w:customStyle="1" w:styleId="Nadpis5Char">
    <w:name w:val="Nadpis 5 Char"/>
    <w:basedOn w:val="Standardnpsmoodstavce"/>
    <w:link w:val="Nadpis5"/>
    <w:uiPriority w:val="1"/>
    <w:rsid w:val="00C744B6"/>
    <w:rPr>
      <w:rFonts w:eastAsiaTheme="majorEastAsia" w:cstheme="majorBidi"/>
      <w:b/>
      <w:bCs/>
      <w:color w:val="545860" w:themeColor="text2"/>
      <w:sz w:val="22"/>
      <w:szCs w:val="22"/>
    </w:rPr>
  </w:style>
  <w:style w:type="character" w:customStyle="1" w:styleId="Nadpis6Char">
    <w:name w:val="Nadpis 6 Char"/>
    <w:basedOn w:val="Standardnpsmoodstavce"/>
    <w:link w:val="Nadpis6"/>
    <w:uiPriority w:val="1"/>
    <w:rsid w:val="00773B0B"/>
    <w:rPr>
      <w:rFonts w:eastAsiaTheme="majorEastAsia" w:cstheme="majorBidi"/>
      <w:b/>
      <w:bCs/>
      <w:color w:val="545860" w:themeColor="text2"/>
    </w:rPr>
  </w:style>
  <w:style w:type="character" w:customStyle="1" w:styleId="Nadpis7Char">
    <w:name w:val="Nadpis 7 Char"/>
    <w:basedOn w:val="Standardnpsmoodstavce"/>
    <w:link w:val="Nadpis7"/>
    <w:uiPriority w:val="9"/>
    <w:semiHidden/>
    <w:rsid w:val="00521746"/>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AF6E9E"/>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AF6E9E"/>
    <w:rPr>
      <w:rFonts w:eastAsiaTheme="majorEastAsia" w:cstheme="majorBidi"/>
      <w:color w:val="272727" w:themeColor="text1" w:themeTint="D8"/>
    </w:rPr>
  </w:style>
  <w:style w:type="paragraph" w:styleId="Nzev">
    <w:name w:val="Title"/>
    <w:basedOn w:val="Normln"/>
    <w:next w:val="Normln"/>
    <w:link w:val="NzevChar"/>
    <w:uiPriority w:val="38"/>
    <w:semiHidden/>
    <w:rsid w:val="00917C90"/>
    <w:pPr>
      <w:keepLines/>
      <w:suppressAutoHyphens/>
      <w:spacing w:after="320"/>
      <w:jc w:val="left"/>
    </w:pPr>
    <w:rPr>
      <w:rFonts w:asciiTheme="majorHAnsi" w:eastAsiaTheme="majorEastAsia" w:hAnsiTheme="majorHAnsi" w:cstheme="majorBidi"/>
      <w:b/>
      <w:color w:val="545860" w:themeColor="text2"/>
      <w:spacing w:val="-10"/>
      <w:kern w:val="28"/>
      <w:sz w:val="56"/>
      <w:szCs w:val="56"/>
    </w:rPr>
  </w:style>
  <w:style w:type="character" w:customStyle="1" w:styleId="NzevChar">
    <w:name w:val="Název Char"/>
    <w:basedOn w:val="Standardnpsmoodstavce"/>
    <w:link w:val="Nzev"/>
    <w:uiPriority w:val="38"/>
    <w:semiHidden/>
    <w:rsid w:val="00DD3D93"/>
    <w:rPr>
      <w:rFonts w:asciiTheme="majorHAnsi" w:eastAsiaTheme="majorEastAsia" w:hAnsiTheme="majorHAnsi" w:cstheme="majorBidi"/>
      <w:b/>
      <w:color w:val="545860" w:themeColor="text2"/>
      <w:spacing w:val="-10"/>
      <w:kern w:val="28"/>
      <w:sz w:val="56"/>
      <w:szCs w:val="56"/>
    </w:rPr>
  </w:style>
  <w:style w:type="paragraph" w:styleId="Podnadpis">
    <w:name w:val="Subtitle"/>
    <w:basedOn w:val="Normln"/>
    <w:next w:val="Normln"/>
    <w:link w:val="PodnadpisChar"/>
    <w:uiPriority w:val="38"/>
    <w:semiHidden/>
    <w:rsid w:val="00917C90"/>
    <w:pPr>
      <w:keepLines/>
      <w:numPr>
        <w:ilvl w:val="1"/>
      </w:numPr>
      <w:suppressAutoHyphens/>
      <w:jc w:val="left"/>
    </w:pPr>
    <w:rPr>
      <w:rFonts w:eastAsiaTheme="majorEastAsia" w:cstheme="majorBidi"/>
      <w:color w:val="545860" w:themeColor="text2"/>
      <w:sz w:val="28"/>
      <w:szCs w:val="28"/>
    </w:rPr>
  </w:style>
  <w:style w:type="character" w:customStyle="1" w:styleId="PodnadpisChar">
    <w:name w:val="Podnadpis Char"/>
    <w:basedOn w:val="Standardnpsmoodstavce"/>
    <w:link w:val="Podnadpis"/>
    <w:uiPriority w:val="38"/>
    <w:semiHidden/>
    <w:rsid w:val="00DD3D93"/>
    <w:rPr>
      <w:rFonts w:eastAsiaTheme="majorEastAsia" w:cstheme="majorBidi"/>
      <w:color w:val="545860" w:themeColor="text2"/>
      <w:sz w:val="28"/>
      <w:szCs w:val="28"/>
    </w:rPr>
  </w:style>
  <w:style w:type="paragraph" w:styleId="Citt">
    <w:name w:val="Quote"/>
    <w:basedOn w:val="Normln"/>
    <w:link w:val="CittChar"/>
    <w:uiPriority w:val="12"/>
    <w:qFormat/>
    <w:rsid w:val="00626A46"/>
    <w:pPr>
      <w:spacing w:before="320" w:after="320"/>
      <w:ind w:left="851" w:right="849"/>
    </w:pPr>
    <w:rPr>
      <w:i/>
      <w:iCs/>
    </w:rPr>
  </w:style>
  <w:style w:type="character" w:customStyle="1" w:styleId="CittChar">
    <w:name w:val="Citát Char"/>
    <w:basedOn w:val="Standardnpsmoodstavce"/>
    <w:link w:val="Citt"/>
    <w:uiPriority w:val="12"/>
    <w:rsid w:val="00521746"/>
    <w:rPr>
      <w:i/>
      <w:iCs/>
    </w:rPr>
  </w:style>
  <w:style w:type="paragraph" w:styleId="Odstavecseseznamem">
    <w:name w:val="List Paragraph"/>
    <w:basedOn w:val="Normln"/>
    <w:uiPriority w:val="38"/>
    <w:semiHidden/>
    <w:rsid w:val="00AF6E9E"/>
    <w:pPr>
      <w:ind w:left="720"/>
      <w:contextualSpacing/>
    </w:pPr>
  </w:style>
  <w:style w:type="character" w:styleId="Zdraznnintenzivn">
    <w:name w:val="Intense Emphasis"/>
    <w:basedOn w:val="Standardnpsmoodstavce"/>
    <w:uiPriority w:val="21"/>
    <w:semiHidden/>
    <w:qFormat/>
    <w:rsid w:val="00917C90"/>
    <w:rPr>
      <w:b/>
      <w:i/>
      <w:iCs/>
      <w:color w:val="00459B" w:themeColor="accent1"/>
    </w:rPr>
  </w:style>
  <w:style w:type="paragraph" w:styleId="Vrazncitt">
    <w:name w:val="Intense Quote"/>
    <w:basedOn w:val="Bezmezer"/>
    <w:link w:val="VrazncittChar"/>
    <w:uiPriority w:val="30"/>
    <w:semiHidden/>
    <w:qFormat/>
    <w:rsid w:val="00917C90"/>
    <w:pPr>
      <w:pBdr>
        <w:top w:val="single" w:sz="4" w:space="10" w:color="00459B" w:themeColor="accent1"/>
        <w:bottom w:val="single" w:sz="4" w:space="10" w:color="00459B" w:themeColor="accent1"/>
      </w:pBdr>
      <w:spacing w:before="320" w:after="320"/>
      <w:ind w:left="851" w:right="851"/>
    </w:pPr>
    <w:rPr>
      <w:i/>
      <w:iCs/>
      <w:color w:val="00459B" w:themeColor="accent1"/>
    </w:rPr>
  </w:style>
  <w:style w:type="character" w:customStyle="1" w:styleId="VrazncittChar">
    <w:name w:val="Výrazný citát Char"/>
    <w:basedOn w:val="Standardnpsmoodstavce"/>
    <w:link w:val="Vrazncitt"/>
    <w:uiPriority w:val="30"/>
    <w:semiHidden/>
    <w:rsid w:val="00586756"/>
    <w:rPr>
      <w:i/>
      <w:iCs/>
      <w:color w:val="00459B" w:themeColor="accent1"/>
    </w:rPr>
  </w:style>
  <w:style w:type="character" w:styleId="Odkazintenzivn">
    <w:name w:val="Intense Reference"/>
    <w:basedOn w:val="Standardnpsmoodstavce"/>
    <w:uiPriority w:val="10"/>
    <w:qFormat/>
    <w:rsid w:val="004573FA"/>
    <w:rPr>
      <w:b/>
      <w:bCs/>
      <w:caps/>
      <w:spacing w:val="5"/>
    </w:rPr>
  </w:style>
  <w:style w:type="paragraph" w:styleId="Zhlav">
    <w:name w:val="header"/>
    <w:basedOn w:val="Normln"/>
    <w:link w:val="ZhlavChar"/>
    <w:uiPriority w:val="99"/>
    <w:unhideWhenUsed/>
    <w:rsid w:val="003540FA"/>
    <w:pPr>
      <w:tabs>
        <w:tab w:val="center" w:pos="4536"/>
        <w:tab w:val="right" w:pos="9072"/>
      </w:tabs>
      <w:suppressAutoHyphens/>
      <w:spacing w:after="40" w:line="240" w:lineRule="auto"/>
      <w:jc w:val="right"/>
    </w:pPr>
    <w:rPr>
      <w:color w:val="545860" w:themeColor="accent6"/>
    </w:rPr>
  </w:style>
  <w:style w:type="character" w:customStyle="1" w:styleId="ZhlavChar">
    <w:name w:val="Záhlaví Char"/>
    <w:basedOn w:val="Standardnpsmoodstavce"/>
    <w:link w:val="Zhlav"/>
    <w:uiPriority w:val="99"/>
    <w:rsid w:val="003540FA"/>
    <w:rPr>
      <w:color w:val="545860" w:themeColor="accent6"/>
    </w:rPr>
  </w:style>
  <w:style w:type="paragraph" w:styleId="Zpat">
    <w:name w:val="footer"/>
    <w:basedOn w:val="Normln"/>
    <w:link w:val="ZpatChar"/>
    <w:uiPriority w:val="99"/>
    <w:unhideWhenUsed/>
    <w:rsid w:val="00AF06B0"/>
    <w:pPr>
      <w:tabs>
        <w:tab w:val="center" w:pos="4536"/>
        <w:tab w:val="right" w:pos="9072"/>
      </w:tabs>
      <w:spacing w:before="240" w:after="0" w:line="240" w:lineRule="auto"/>
      <w:contextualSpacing/>
    </w:pPr>
    <w:rPr>
      <w:color w:val="888B95"/>
      <w:sz w:val="16"/>
    </w:rPr>
  </w:style>
  <w:style w:type="character" w:customStyle="1" w:styleId="ZpatChar">
    <w:name w:val="Zápatí Char"/>
    <w:basedOn w:val="Standardnpsmoodstavce"/>
    <w:link w:val="Zpat"/>
    <w:uiPriority w:val="99"/>
    <w:rsid w:val="00AF06B0"/>
    <w:rPr>
      <w:color w:val="888B95"/>
      <w:sz w:val="16"/>
    </w:rPr>
  </w:style>
  <w:style w:type="table" w:styleId="Mkatabulky">
    <w:name w:val="Table Grid"/>
    <w:basedOn w:val="Normlntabulka"/>
    <w:uiPriority w:val="39"/>
    <w:rsid w:val="00FA7B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dndaje">
    <w:name w:val="Úvodní údaje"/>
    <w:basedOn w:val="Normln"/>
    <w:uiPriority w:val="29"/>
    <w:qFormat/>
    <w:rsid w:val="00B62344"/>
    <w:pPr>
      <w:spacing w:after="0"/>
      <w:jc w:val="left"/>
    </w:pPr>
    <w:rPr>
      <w:color w:val="545860" w:themeColor="accent6"/>
    </w:rPr>
  </w:style>
  <w:style w:type="table" w:customStyle="1" w:styleId="TabulkaJVS5-navodndaje">
    <w:name w:val="Tabulka JVS 5 - na úvodní údaje"/>
    <w:basedOn w:val="Normlntabulka"/>
    <w:uiPriority w:val="99"/>
    <w:rsid w:val="00407B47"/>
    <w:pPr>
      <w:spacing w:after="0"/>
      <w:jc w:val="left"/>
    </w:pPr>
    <w:rPr>
      <w:color w:val="545860" w:themeColor="text2"/>
    </w:rPr>
    <w:tblPr>
      <w:tblCellMar>
        <w:left w:w="0" w:type="dxa"/>
        <w:right w:w="0" w:type="dxa"/>
      </w:tblCellMar>
    </w:tblPr>
  </w:style>
  <w:style w:type="character" w:styleId="Odkaznavysvtlivky">
    <w:name w:val="endnote reference"/>
    <w:basedOn w:val="Standardnpsmoodstavce"/>
    <w:uiPriority w:val="99"/>
    <w:semiHidden/>
    <w:unhideWhenUsed/>
    <w:rsid w:val="002363CA"/>
    <w:rPr>
      <w:vertAlign w:val="superscript"/>
    </w:rPr>
  </w:style>
  <w:style w:type="paragraph" w:customStyle="1" w:styleId="Ministr-funkce">
    <w:name w:val="Ministr - funkce"/>
    <w:basedOn w:val="Normln"/>
    <w:next w:val="Normln"/>
    <w:uiPriority w:val="20"/>
    <w:qFormat/>
    <w:rsid w:val="008F533C"/>
    <w:pPr>
      <w:spacing w:after="600"/>
      <w:contextualSpacing/>
      <w:jc w:val="left"/>
    </w:pPr>
    <w:rPr>
      <w:color w:val="545860" w:themeColor="accent6"/>
      <w:sz w:val="24"/>
      <w:szCs w:val="24"/>
    </w:rPr>
  </w:style>
  <w:style w:type="paragraph" w:customStyle="1" w:styleId="Ministr-jmno">
    <w:name w:val="Ministr - jméno"/>
    <w:basedOn w:val="Normln"/>
    <w:next w:val="Ministr-funkce"/>
    <w:uiPriority w:val="19"/>
    <w:qFormat/>
    <w:rsid w:val="008F533C"/>
    <w:pPr>
      <w:spacing w:before="600" w:after="0"/>
      <w:contextualSpacing/>
      <w:jc w:val="left"/>
    </w:pPr>
    <w:rPr>
      <w:b/>
      <w:bCs/>
      <w:color w:val="545860" w:themeColor="accent6"/>
      <w:sz w:val="28"/>
      <w:szCs w:val="28"/>
    </w:rPr>
  </w:style>
  <w:style w:type="character" w:styleId="Siln">
    <w:name w:val="Strong"/>
    <w:basedOn w:val="Standardnpsmoodstavce"/>
    <w:uiPriority w:val="22"/>
    <w:qFormat/>
    <w:rsid w:val="004573FA"/>
    <w:rPr>
      <w:b/>
      <w:bCs/>
    </w:rPr>
  </w:style>
  <w:style w:type="character" w:styleId="Odkazjemn">
    <w:name w:val="Subtle Reference"/>
    <w:basedOn w:val="Standardnpsmoodstavce"/>
    <w:uiPriority w:val="9"/>
    <w:qFormat/>
    <w:rsid w:val="004573FA"/>
    <w:rPr>
      <w:caps/>
    </w:rPr>
  </w:style>
  <w:style w:type="character" w:styleId="Hypertextovodkaz">
    <w:name w:val="Hyperlink"/>
    <w:basedOn w:val="Standardnpsmoodstavce"/>
    <w:uiPriority w:val="99"/>
    <w:unhideWhenUsed/>
    <w:rsid w:val="004573FA"/>
    <w:rPr>
      <w:color w:val="00459B" w:themeColor="hyperlink"/>
      <w:u w:val="single"/>
    </w:rPr>
  </w:style>
  <w:style w:type="character" w:styleId="Nevyeenzmnka">
    <w:name w:val="Unresolved Mention"/>
    <w:basedOn w:val="Standardnpsmoodstavce"/>
    <w:uiPriority w:val="99"/>
    <w:semiHidden/>
    <w:unhideWhenUsed/>
    <w:rsid w:val="004573FA"/>
    <w:rPr>
      <w:color w:val="605E5C"/>
      <w:shd w:val="clear" w:color="auto" w:fill="E1DFDD"/>
    </w:rPr>
  </w:style>
  <w:style w:type="character" w:styleId="Nzevknihy">
    <w:name w:val="Book Title"/>
    <w:basedOn w:val="Standardnpsmoodstavce"/>
    <w:uiPriority w:val="11"/>
    <w:qFormat/>
    <w:rsid w:val="004573FA"/>
    <w:rPr>
      <w:b/>
      <w:bCs/>
      <w:i/>
      <w:iCs/>
    </w:rPr>
  </w:style>
  <w:style w:type="paragraph" w:styleId="Textpoznpodarou">
    <w:name w:val="footnote text"/>
    <w:basedOn w:val="Normln"/>
    <w:link w:val="TextpoznpodarouChar"/>
    <w:uiPriority w:val="99"/>
    <w:semiHidden/>
    <w:unhideWhenUsed/>
    <w:rsid w:val="000106FE"/>
    <w:pPr>
      <w:spacing w:after="40" w:line="240" w:lineRule="auto"/>
      <w:jc w:val="left"/>
    </w:pPr>
    <w:rPr>
      <w:sz w:val="16"/>
    </w:rPr>
  </w:style>
  <w:style w:type="character" w:customStyle="1" w:styleId="TextpoznpodarouChar">
    <w:name w:val="Text pozn. pod čarou Char"/>
    <w:basedOn w:val="Standardnpsmoodstavce"/>
    <w:link w:val="Textpoznpodarou"/>
    <w:uiPriority w:val="99"/>
    <w:semiHidden/>
    <w:rsid w:val="000106FE"/>
    <w:rPr>
      <w:sz w:val="16"/>
    </w:rPr>
  </w:style>
  <w:style w:type="character" w:styleId="Znakapoznpodarou">
    <w:name w:val="footnote reference"/>
    <w:basedOn w:val="Standardnpsmoodstavce"/>
    <w:uiPriority w:val="99"/>
    <w:semiHidden/>
    <w:unhideWhenUsed/>
    <w:rsid w:val="00D066AA"/>
    <w:rPr>
      <w:vertAlign w:val="superscript"/>
    </w:rPr>
  </w:style>
  <w:style w:type="character" w:styleId="Zdraznn">
    <w:name w:val="Emphasis"/>
    <w:basedOn w:val="Standardnpsmoodstavce"/>
    <w:uiPriority w:val="5"/>
    <w:qFormat/>
    <w:rsid w:val="00164790"/>
    <w:rPr>
      <w:i w:val="0"/>
      <w:iCs/>
      <w:u w:val="single"/>
    </w:rPr>
  </w:style>
  <w:style w:type="character" w:styleId="Zdraznnjemn">
    <w:name w:val="Subtle Emphasis"/>
    <w:basedOn w:val="Standardnpsmoodstavce"/>
    <w:uiPriority w:val="5"/>
    <w:qFormat/>
    <w:rsid w:val="00164790"/>
    <w:rPr>
      <w:i/>
      <w:iCs/>
    </w:rPr>
  </w:style>
  <w:style w:type="table" w:customStyle="1" w:styleId="TabulkaJVS1-ed">
    <w:name w:val="Tabulka JVS 1 - šedá"/>
    <w:basedOn w:val="Normlntabulka"/>
    <w:uiPriority w:val="99"/>
    <w:rsid w:val="0084277E"/>
    <w:pPr>
      <w:spacing w:after="0"/>
      <w:jc w:val="left"/>
    </w:pPr>
    <w:tblPr>
      <w:tblBorders>
        <w:top w:val="single" w:sz="4" w:space="0" w:color="393B41"/>
        <w:left w:val="single" w:sz="4" w:space="0" w:color="393B41"/>
        <w:bottom w:val="single" w:sz="4" w:space="0" w:color="393B41"/>
        <w:right w:val="single" w:sz="4" w:space="0" w:color="393B41"/>
        <w:insideH w:val="single" w:sz="4" w:space="0" w:color="393B41"/>
        <w:insideV w:val="single" w:sz="4" w:space="0" w:color="393B41"/>
      </w:tblBorders>
      <w:tblCellMar>
        <w:top w:w="57" w:type="dxa"/>
        <w:bottom w:w="57" w:type="dxa"/>
      </w:tblCellMar>
    </w:tblPr>
    <w:tblStylePr w:type="firstRow">
      <w:rPr>
        <w:b w:val="0"/>
        <w:i w:val="0"/>
        <w:color w:val="FFFFFF" w:themeColor="background1"/>
      </w:rPr>
      <w:tblPr/>
      <w:tcPr>
        <w:tcBorders>
          <w:top w:val="single" w:sz="4" w:space="0" w:color="393B41"/>
          <w:left w:val="single" w:sz="4" w:space="0" w:color="393B41"/>
          <w:bottom w:val="single" w:sz="4" w:space="0" w:color="393B41"/>
          <w:right w:val="single" w:sz="4" w:space="0" w:color="393B41"/>
          <w:insideH w:val="single" w:sz="4" w:space="0" w:color="393B41"/>
          <w:insideV w:val="single" w:sz="4" w:space="0" w:color="393B41"/>
          <w:tl2br w:val="nil"/>
          <w:tr2bl w:val="nil"/>
        </w:tcBorders>
        <w:shd w:val="clear" w:color="auto" w:fill="393B41"/>
      </w:tcPr>
    </w:tblStylePr>
    <w:tblStylePr w:type="lastRow">
      <w:tblPr/>
      <w:tcPr>
        <w:tcBorders>
          <w:top w:val="single" w:sz="12" w:space="0" w:color="393B41"/>
          <w:left w:val="single" w:sz="4" w:space="0" w:color="393B41"/>
          <w:bottom w:val="single" w:sz="4" w:space="0" w:color="393B41"/>
          <w:right w:val="single" w:sz="4" w:space="0" w:color="393B41"/>
          <w:insideH w:val="single" w:sz="4" w:space="0" w:color="393B41"/>
          <w:insideV w:val="single" w:sz="4" w:space="0" w:color="393B41"/>
          <w:tl2br w:val="nil"/>
          <w:tr2bl w:val="nil"/>
        </w:tcBorders>
      </w:tcPr>
    </w:tblStylePr>
  </w:style>
  <w:style w:type="table" w:customStyle="1" w:styleId="TabulkaJVS2-modr">
    <w:name w:val="Tabulka JVS 2 - modrá"/>
    <w:basedOn w:val="Normlntabulka"/>
    <w:uiPriority w:val="99"/>
    <w:rsid w:val="0084277E"/>
    <w:pPr>
      <w:spacing w:after="0"/>
      <w:jc w:val="left"/>
    </w:pPr>
    <w:tblPr>
      <w:tblBorders>
        <w:top w:val="single" w:sz="4" w:space="0" w:color="00459B" w:themeColor="accent1"/>
        <w:left w:val="single" w:sz="4" w:space="0" w:color="00459B" w:themeColor="accent1"/>
        <w:bottom w:val="single" w:sz="4" w:space="0" w:color="00459B" w:themeColor="accent1"/>
        <w:right w:val="single" w:sz="4" w:space="0" w:color="00459B" w:themeColor="accent1"/>
        <w:insideH w:val="single" w:sz="4" w:space="0" w:color="00459B" w:themeColor="accent1"/>
        <w:insideV w:val="single" w:sz="4" w:space="0" w:color="00459B" w:themeColor="accent1"/>
      </w:tblBorders>
      <w:tblCellMar>
        <w:top w:w="57" w:type="dxa"/>
        <w:bottom w:w="57" w:type="dxa"/>
      </w:tblCellMar>
    </w:tblPr>
    <w:tblStylePr w:type="firstRow">
      <w:tblPr/>
      <w:tcPr>
        <w:tcBorders>
          <w:top w:val="single" w:sz="4" w:space="0" w:color="00459B" w:themeColor="accent1"/>
          <w:left w:val="single" w:sz="4" w:space="0" w:color="00459B" w:themeColor="accent1"/>
          <w:bottom w:val="single" w:sz="4" w:space="0" w:color="00459B" w:themeColor="accent1"/>
          <w:right w:val="single" w:sz="4" w:space="0" w:color="00459B" w:themeColor="accent1"/>
          <w:insideH w:val="single" w:sz="4" w:space="0" w:color="00459B" w:themeColor="accent1"/>
          <w:insideV w:val="single" w:sz="4" w:space="0" w:color="00459B" w:themeColor="accent1"/>
          <w:tl2br w:val="nil"/>
          <w:tr2bl w:val="nil"/>
        </w:tcBorders>
        <w:shd w:val="clear" w:color="auto" w:fill="00459B" w:themeFill="accent1"/>
      </w:tcPr>
    </w:tblStylePr>
    <w:tblStylePr w:type="lastRow">
      <w:tblPr/>
      <w:tcPr>
        <w:tcBorders>
          <w:top w:val="single" w:sz="12" w:space="0" w:color="00459B" w:themeColor="accent1"/>
          <w:left w:val="single" w:sz="4" w:space="0" w:color="00459B" w:themeColor="accent1"/>
          <w:bottom w:val="single" w:sz="4" w:space="0" w:color="00459B" w:themeColor="accent1"/>
          <w:right w:val="single" w:sz="4" w:space="0" w:color="00459B" w:themeColor="accent1"/>
          <w:insideH w:val="nil"/>
          <w:insideV w:val="single" w:sz="4" w:space="0" w:color="00459B" w:themeColor="accent1"/>
          <w:tl2br w:val="nil"/>
          <w:tr2bl w:val="nil"/>
        </w:tcBorders>
      </w:tcPr>
    </w:tblStylePr>
  </w:style>
  <w:style w:type="table" w:customStyle="1" w:styleId="TabulkaJVS3-bl">
    <w:name w:val="Tabulka JVS 3 - bílá"/>
    <w:basedOn w:val="Normlntabulka"/>
    <w:uiPriority w:val="99"/>
    <w:rsid w:val="0084277E"/>
    <w:pPr>
      <w:spacing w:after="0"/>
      <w:jc w:val="left"/>
    </w:pPr>
    <w:tblPr>
      <w:tblBorders>
        <w:top w:val="single" w:sz="4" w:space="0" w:color="A7A9B3" w:themeColor="background2"/>
        <w:left w:val="single" w:sz="4" w:space="0" w:color="A7A9B3" w:themeColor="background2"/>
        <w:bottom w:val="single" w:sz="4" w:space="0" w:color="A7A9B3" w:themeColor="background2"/>
        <w:right w:val="single" w:sz="4" w:space="0" w:color="A7A9B3" w:themeColor="background2"/>
        <w:insideH w:val="single" w:sz="4" w:space="0" w:color="A7A9B3" w:themeColor="background2"/>
        <w:insideV w:val="single" w:sz="4" w:space="0" w:color="A7A9B3" w:themeColor="background2"/>
      </w:tblBorders>
      <w:tblCellMar>
        <w:top w:w="57" w:type="dxa"/>
        <w:bottom w:w="57" w:type="dxa"/>
      </w:tblCellMar>
    </w:tblPr>
    <w:tblStylePr w:type="lastRow">
      <w:tblPr/>
      <w:tcPr>
        <w:tcBorders>
          <w:top w:val="single" w:sz="12" w:space="0" w:color="A7A9B3" w:themeColor="background2"/>
          <w:left w:val="single" w:sz="4" w:space="0" w:color="A7A9B3" w:themeColor="background2"/>
          <w:bottom w:val="single" w:sz="4" w:space="0" w:color="A7A9B3" w:themeColor="background2"/>
          <w:right w:val="single" w:sz="4" w:space="0" w:color="A7A9B3" w:themeColor="background2"/>
          <w:insideH w:val="nil"/>
          <w:insideV w:val="single" w:sz="4" w:space="0" w:color="A7A9B3" w:themeColor="background2"/>
          <w:tl2br w:val="nil"/>
          <w:tr2bl w:val="nil"/>
        </w:tcBorders>
      </w:tcPr>
    </w:tblStylePr>
  </w:style>
  <w:style w:type="table" w:customStyle="1" w:styleId="TabulkaJVS4-bezohranien">
    <w:name w:val="Tabulka JVS 4 - bez ohraničení"/>
    <w:basedOn w:val="Normlntabulka"/>
    <w:uiPriority w:val="99"/>
    <w:rsid w:val="005C29C9"/>
    <w:pPr>
      <w:jc w:val="left"/>
    </w:pPr>
    <w:tblPr>
      <w:tblCellMar>
        <w:left w:w="0" w:type="dxa"/>
        <w:right w:w="0" w:type="dxa"/>
      </w:tblCellMar>
    </w:tblPr>
  </w:style>
  <w:style w:type="table" w:styleId="Svtltabulkasmkou1zvraznn1">
    <w:name w:val="Grid Table 1 Light Accent 1"/>
    <w:basedOn w:val="Normlntabulka"/>
    <w:uiPriority w:val="46"/>
    <w:rsid w:val="00F562EF"/>
    <w:pPr>
      <w:spacing w:after="0" w:line="240" w:lineRule="auto"/>
    </w:pPr>
    <w:tblPr>
      <w:tblStyleRowBandSize w:val="1"/>
      <w:tblStyleColBandSize w:val="1"/>
      <w:tblBorders>
        <w:top w:val="single" w:sz="4" w:space="0" w:color="71AFFF" w:themeColor="accent1" w:themeTint="66"/>
        <w:left w:val="single" w:sz="4" w:space="0" w:color="71AFFF" w:themeColor="accent1" w:themeTint="66"/>
        <w:bottom w:val="single" w:sz="4" w:space="0" w:color="71AFFF" w:themeColor="accent1" w:themeTint="66"/>
        <w:right w:val="single" w:sz="4" w:space="0" w:color="71AFFF" w:themeColor="accent1" w:themeTint="66"/>
        <w:insideH w:val="single" w:sz="4" w:space="0" w:color="71AFFF" w:themeColor="accent1" w:themeTint="66"/>
        <w:insideV w:val="single" w:sz="4" w:space="0" w:color="71AFFF" w:themeColor="accent1" w:themeTint="66"/>
      </w:tblBorders>
    </w:tblPr>
    <w:tblStylePr w:type="firstRow">
      <w:rPr>
        <w:b/>
        <w:bCs/>
      </w:rPr>
      <w:tblPr/>
      <w:tcPr>
        <w:tcBorders>
          <w:bottom w:val="single" w:sz="12" w:space="0" w:color="2A88FF" w:themeColor="accent1" w:themeTint="99"/>
        </w:tcBorders>
      </w:tcPr>
    </w:tblStylePr>
    <w:tblStylePr w:type="lastRow">
      <w:rPr>
        <w:b/>
        <w:bCs/>
      </w:rPr>
      <w:tblPr/>
      <w:tcPr>
        <w:tcBorders>
          <w:top w:val="double" w:sz="2" w:space="0" w:color="2A88FF" w:themeColor="accent1" w:themeTint="99"/>
        </w:tcBorders>
      </w:tcPr>
    </w:tblStylePr>
    <w:tblStylePr w:type="firstCol">
      <w:rPr>
        <w:b/>
        <w:bCs/>
      </w:rPr>
    </w:tblStylePr>
    <w:tblStylePr w:type="lastCol">
      <w:rPr>
        <w:b/>
        <w:bCs/>
      </w:rPr>
    </w:tblStylePr>
  </w:style>
  <w:style w:type="paragraph" w:customStyle="1" w:styleId="Nadpis1slovan">
    <w:name w:val="Nadpis 1 číslovaný"/>
    <w:basedOn w:val="Seznamslovan5"/>
    <w:next w:val="Normln"/>
    <w:uiPriority w:val="3"/>
    <w:qFormat/>
    <w:rsid w:val="00542CA8"/>
    <w:pPr>
      <w:keepNext/>
      <w:keepLines/>
      <w:numPr>
        <w:ilvl w:val="0"/>
        <w:numId w:val="20"/>
      </w:numPr>
      <w:suppressAutoHyphens/>
      <w:spacing w:before="640"/>
      <w:jc w:val="left"/>
    </w:pPr>
    <w:rPr>
      <w:b/>
      <w:color w:val="545860" w:themeColor="text2"/>
      <w:sz w:val="40"/>
    </w:rPr>
  </w:style>
  <w:style w:type="paragraph" w:customStyle="1" w:styleId="Nadpis2slovan">
    <w:name w:val="Nadpis 2 číslovaný"/>
    <w:basedOn w:val="Normln"/>
    <w:next w:val="Normln"/>
    <w:uiPriority w:val="3"/>
    <w:qFormat/>
    <w:rsid w:val="00542CA8"/>
    <w:pPr>
      <w:numPr>
        <w:ilvl w:val="1"/>
        <w:numId w:val="20"/>
      </w:numPr>
      <w:suppressAutoHyphens/>
      <w:spacing w:before="320"/>
      <w:jc w:val="left"/>
    </w:pPr>
    <w:rPr>
      <w:b/>
      <w:color w:val="545860" w:themeColor="text2"/>
      <w:sz w:val="32"/>
    </w:rPr>
  </w:style>
  <w:style w:type="paragraph" w:customStyle="1" w:styleId="Nadpis3slovan">
    <w:name w:val="Nadpis 3 číslovaný"/>
    <w:basedOn w:val="Normln"/>
    <w:next w:val="Normln"/>
    <w:uiPriority w:val="3"/>
    <w:qFormat/>
    <w:rsid w:val="00542CA8"/>
    <w:pPr>
      <w:keepNext/>
      <w:keepLines/>
      <w:numPr>
        <w:ilvl w:val="2"/>
        <w:numId w:val="20"/>
      </w:numPr>
      <w:suppressAutoHyphens/>
      <w:spacing w:before="320"/>
      <w:jc w:val="left"/>
    </w:pPr>
    <w:rPr>
      <w:b/>
      <w:color w:val="545860" w:themeColor="text2"/>
      <w:sz w:val="28"/>
    </w:rPr>
  </w:style>
  <w:style w:type="paragraph" w:customStyle="1" w:styleId="Nadpis4slovan">
    <w:name w:val="Nadpis 4 číslovaný"/>
    <w:basedOn w:val="Normln"/>
    <w:next w:val="Normln"/>
    <w:uiPriority w:val="3"/>
    <w:qFormat/>
    <w:rsid w:val="00542CA8"/>
    <w:pPr>
      <w:keepNext/>
      <w:keepLines/>
      <w:numPr>
        <w:ilvl w:val="3"/>
        <w:numId w:val="20"/>
      </w:numPr>
      <w:suppressAutoHyphens/>
      <w:spacing w:before="320"/>
      <w:jc w:val="left"/>
    </w:pPr>
    <w:rPr>
      <w:b/>
      <w:color w:val="545860" w:themeColor="text2"/>
      <w:sz w:val="24"/>
    </w:rPr>
  </w:style>
  <w:style w:type="paragraph" w:customStyle="1" w:styleId="Nadpis5slovan">
    <w:name w:val="Nadpis 5 číslovaný"/>
    <w:basedOn w:val="Normln"/>
    <w:next w:val="Normln"/>
    <w:uiPriority w:val="3"/>
    <w:qFormat/>
    <w:rsid w:val="00542CA8"/>
    <w:pPr>
      <w:keepNext/>
      <w:keepLines/>
      <w:numPr>
        <w:ilvl w:val="4"/>
        <w:numId w:val="20"/>
      </w:numPr>
      <w:suppressAutoHyphens/>
      <w:spacing w:before="320"/>
      <w:jc w:val="left"/>
    </w:pPr>
    <w:rPr>
      <w:b/>
      <w:color w:val="545860" w:themeColor="text2"/>
      <w:sz w:val="22"/>
    </w:rPr>
  </w:style>
  <w:style w:type="paragraph" w:customStyle="1" w:styleId="Nadpis6slovan">
    <w:name w:val="Nadpis 6 číslovaný"/>
    <w:basedOn w:val="Normln"/>
    <w:next w:val="Normln"/>
    <w:uiPriority w:val="3"/>
    <w:qFormat/>
    <w:rsid w:val="00542CA8"/>
    <w:pPr>
      <w:keepNext/>
      <w:keepLines/>
      <w:numPr>
        <w:ilvl w:val="5"/>
        <w:numId w:val="20"/>
      </w:numPr>
      <w:suppressAutoHyphens/>
      <w:spacing w:before="320"/>
      <w:jc w:val="left"/>
    </w:pPr>
    <w:rPr>
      <w:b/>
      <w:color w:val="545860" w:themeColor="text2"/>
    </w:rPr>
  </w:style>
  <w:style w:type="numbering" w:customStyle="1" w:styleId="Stylseznamu-nadpisyslovan">
    <w:name w:val="Styl seznamu - nadpisy číslované"/>
    <w:uiPriority w:val="99"/>
    <w:rsid w:val="00C61C26"/>
    <w:pPr>
      <w:numPr>
        <w:numId w:val="2"/>
      </w:numPr>
    </w:pPr>
  </w:style>
  <w:style w:type="paragraph" w:styleId="Nadpisobsahu">
    <w:name w:val="TOC Heading"/>
    <w:basedOn w:val="Nadpis1"/>
    <w:next w:val="Normln"/>
    <w:uiPriority w:val="39"/>
    <w:unhideWhenUsed/>
    <w:rsid w:val="00CA3ABB"/>
    <w:pPr>
      <w:outlineLvl w:val="9"/>
    </w:pPr>
  </w:style>
  <w:style w:type="paragraph" w:styleId="Obsah1">
    <w:name w:val="toc 1"/>
    <w:basedOn w:val="Normln"/>
    <w:next w:val="Normln"/>
    <w:uiPriority w:val="39"/>
    <w:unhideWhenUsed/>
    <w:rsid w:val="003C027F"/>
    <w:pPr>
      <w:tabs>
        <w:tab w:val="right" w:leader="dot" w:pos="9061"/>
      </w:tabs>
      <w:spacing w:after="100"/>
    </w:pPr>
    <w:rPr>
      <w:b/>
      <w:noProof/>
    </w:rPr>
  </w:style>
  <w:style w:type="paragraph" w:styleId="Obsah2">
    <w:name w:val="toc 2"/>
    <w:basedOn w:val="Normln"/>
    <w:next w:val="Normln"/>
    <w:uiPriority w:val="39"/>
    <w:unhideWhenUsed/>
    <w:rsid w:val="00A55A71"/>
    <w:pPr>
      <w:tabs>
        <w:tab w:val="right" w:leader="dot" w:pos="9061"/>
      </w:tabs>
      <w:spacing w:after="100"/>
      <w:ind w:left="284"/>
    </w:pPr>
  </w:style>
  <w:style w:type="paragraph" w:styleId="Obsah3">
    <w:name w:val="toc 3"/>
    <w:basedOn w:val="Normln"/>
    <w:next w:val="Normln"/>
    <w:uiPriority w:val="39"/>
    <w:unhideWhenUsed/>
    <w:rsid w:val="00CD0856"/>
    <w:pPr>
      <w:tabs>
        <w:tab w:val="right" w:leader="dot" w:pos="9061"/>
      </w:tabs>
      <w:spacing w:after="100"/>
      <w:ind w:left="567"/>
    </w:pPr>
  </w:style>
  <w:style w:type="paragraph" w:styleId="Obsah4">
    <w:name w:val="toc 4"/>
    <w:basedOn w:val="Normln"/>
    <w:next w:val="Normln"/>
    <w:uiPriority w:val="39"/>
    <w:unhideWhenUsed/>
    <w:rsid w:val="00CD0856"/>
    <w:pPr>
      <w:tabs>
        <w:tab w:val="right" w:leader="dot" w:pos="9061"/>
      </w:tabs>
      <w:spacing w:after="100"/>
      <w:ind w:left="851"/>
    </w:pPr>
  </w:style>
  <w:style w:type="paragraph" w:customStyle="1" w:styleId="Seznamslovan1">
    <w:name w:val="Seznam číslovaný 1"/>
    <w:basedOn w:val="Normln"/>
    <w:uiPriority w:val="1"/>
    <w:qFormat/>
    <w:rsid w:val="00E721D1"/>
    <w:pPr>
      <w:numPr>
        <w:numId w:val="21"/>
      </w:numPr>
    </w:pPr>
  </w:style>
  <w:style w:type="paragraph" w:customStyle="1" w:styleId="Seznamslovan2">
    <w:name w:val="Seznam číslovaný 2"/>
    <w:basedOn w:val="Normln"/>
    <w:uiPriority w:val="1"/>
    <w:qFormat/>
    <w:rsid w:val="00E721D1"/>
    <w:pPr>
      <w:numPr>
        <w:ilvl w:val="1"/>
        <w:numId w:val="21"/>
      </w:numPr>
    </w:pPr>
  </w:style>
  <w:style w:type="paragraph" w:customStyle="1" w:styleId="Seznamslovan3">
    <w:name w:val="Seznam číslovaný 3"/>
    <w:basedOn w:val="Normln"/>
    <w:uiPriority w:val="1"/>
    <w:qFormat/>
    <w:rsid w:val="00E721D1"/>
    <w:pPr>
      <w:numPr>
        <w:ilvl w:val="2"/>
        <w:numId w:val="21"/>
      </w:numPr>
    </w:pPr>
  </w:style>
  <w:style w:type="paragraph" w:customStyle="1" w:styleId="Seznamslovan4">
    <w:name w:val="Seznam číslovaný 4"/>
    <w:basedOn w:val="Normln"/>
    <w:uiPriority w:val="1"/>
    <w:qFormat/>
    <w:rsid w:val="00E721D1"/>
    <w:pPr>
      <w:numPr>
        <w:ilvl w:val="3"/>
        <w:numId w:val="21"/>
      </w:numPr>
    </w:pPr>
  </w:style>
  <w:style w:type="paragraph" w:customStyle="1" w:styleId="Seznamslovan5">
    <w:name w:val="Seznam číslovaný 5"/>
    <w:basedOn w:val="Normln"/>
    <w:uiPriority w:val="1"/>
    <w:qFormat/>
    <w:rsid w:val="00E721D1"/>
    <w:pPr>
      <w:numPr>
        <w:ilvl w:val="4"/>
        <w:numId w:val="21"/>
      </w:numPr>
    </w:pPr>
  </w:style>
  <w:style w:type="paragraph" w:customStyle="1" w:styleId="Seznamslovan6">
    <w:name w:val="Seznam číslovaný 6"/>
    <w:basedOn w:val="Normln"/>
    <w:uiPriority w:val="1"/>
    <w:qFormat/>
    <w:rsid w:val="00E721D1"/>
    <w:pPr>
      <w:numPr>
        <w:ilvl w:val="5"/>
        <w:numId w:val="21"/>
      </w:numPr>
    </w:pPr>
  </w:style>
  <w:style w:type="numbering" w:customStyle="1" w:styleId="Stylseznamu-odstavceslovan">
    <w:name w:val="Styl seznamu - odstavce číslované"/>
    <w:uiPriority w:val="99"/>
    <w:rsid w:val="00E721D1"/>
    <w:pPr>
      <w:numPr>
        <w:numId w:val="8"/>
      </w:numPr>
    </w:pPr>
  </w:style>
  <w:style w:type="paragraph" w:customStyle="1" w:styleId="Perex">
    <w:name w:val="Perex"/>
    <w:basedOn w:val="Normln"/>
    <w:next w:val="Normln"/>
    <w:uiPriority w:val="21"/>
    <w:qFormat/>
    <w:rsid w:val="006A57CC"/>
    <w:pPr>
      <w:spacing w:after="360"/>
      <w:jc w:val="left"/>
    </w:pPr>
    <w:rPr>
      <w:b/>
      <w:color w:val="545860" w:themeColor="accent6"/>
    </w:rPr>
  </w:style>
  <w:style w:type="paragraph" w:customStyle="1" w:styleId="Odrka1">
    <w:name w:val="Odrážka 1"/>
    <w:basedOn w:val="Normln"/>
    <w:uiPriority w:val="2"/>
    <w:qFormat/>
    <w:rsid w:val="002D796B"/>
    <w:pPr>
      <w:numPr>
        <w:numId w:val="19"/>
      </w:numPr>
    </w:pPr>
  </w:style>
  <w:style w:type="paragraph" w:customStyle="1" w:styleId="Odrka2">
    <w:name w:val="Odrážka 2"/>
    <w:basedOn w:val="Normln"/>
    <w:uiPriority w:val="2"/>
    <w:qFormat/>
    <w:rsid w:val="002D796B"/>
    <w:pPr>
      <w:numPr>
        <w:ilvl w:val="1"/>
        <w:numId w:val="19"/>
      </w:numPr>
      <w:tabs>
        <w:tab w:val="clear" w:pos="1418"/>
      </w:tabs>
    </w:pPr>
  </w:style>
  <w:style w:type="paragraph" w:customStyle="1" w:styleId="Odrka3">
    <w:name w:val="Odrážka 3"/>
    <w:basedOn w:val="Normln"/>
    <w:uiPriority w:val="2"/>
    <w:qFormat/>
    <w:rsid w:val="002D796B"/>
    <w:pPr>
      <w:numPr>
        <w:ilvl w:val="2"/>
        <w:numId w:val="19"/>
      </w:numPr>
      <w:tabs>
        <w:tab w:val="clear" w:pos="2126"/>
      </w:tabs>
      <w:ind w:left="1645" w:hanging="227"/>
    </w:pPr>
  </w:style>
  <w:style w:type="paragraph" w:customStyle="1" w:styleId="Odrka4">
    <w:name w:val="Odrážka 4"/>
    <w:basedOn w:val="Normln"/>
    <w:uiPriority w:val="2"/>
    <w:qFormat/>
    <w:rsid w:val="002D796B"/>
    <w:pPr>
      <w:numPr>
        <w:ilvl w:val="3"/>
        <w:numId w:val="19"/>
      </w:numPr>
      <w:tabs>
        <w:tab w:val="clear" w:pos="2835"/>
      </w:tabs>
      <w:ind w:left="2324" w:hanging="198"/>
    </w:pPr>
  </w:style>
  <w:style w:type="paragraph" w:customStyle="1" w:styleId="Odrka5">
    <w:name w:val="Odrážka 5"/>
    <w:basedOn w:val="Normln"/>
    <w:uiPriority w:val="2"/>
    <w:qFormat/>
    <w:rsid w:val="002D796B"/>
    <w:pPr>
      <w:numPr>
        <w:ilvl w:val="4"/>
        <w:numId w:val="19"/>
      </w:numPr>
      <w:tabs>
        <w:tab w:val="clear" w:pos="3544"/>
      </w:tabs>
    </w:pPr>
  </w:style>
  <w:style w:type="paragraph" w:customStyle="1" w:styleId="Odrka6">
    <w:name w:val="Odrážka 6"/>
    <w:basedOn w:val="Normln"/>
    <w:uiPriority w:val="2"/>
    <w:qFormat/>
    <w:rsid w:val="002D796B"/>
    <w:pPr>
      <w:numPr>
        <w:ilvl w:val="5"/>
        <w:numId w:val="19"/>
      </w:numPr>
    </w:pPr>
  </w:style>
  <w:style w:type="numbering" w:customStyle="1" w:styleId="Stylseznamu-odrky">
    <w:name w:val="Styl seznamu - odrážky"/>
    <w:uiPriority w:val="99"/>
    <w:rsid w:val="008D5575"/>
    <w:pPr>
      <w:numPr>
        <w:numId w:val="12"/>
      </w:numPr>
    </w:pPr>
  </w:style>
  <w:style w:type="paragraph" w:customStyle="1" w:styleId="Popisekfotografie">
    <w:name w:val="Popisek fotografie"/>
    <w:basedOn w:val="Normln"/>
    <w:next w:val="Normln"/>
    <w:uiPriority w:val="25"/>
    <w:qFormat/>
    <w:rsid w:val="004E7E0E"/>
    <w:pPr>
      <w:spacing w:before="160" w:after="240"/>
    </w:pPr>
    <w:rPr>
      <w:sz w:val="16"/>
    </w:rPr>
  </w:style>
  <w:style w:type="paragraph" w:styleId="Titulek">
    <w:name w:val="caption"/>
    <w:basedOn w:val="Normln"/>
    <w:next w:val="Normln"/>
    <w:uiPriority w:val="35"/>
    <w:unhideWhenUsed/>
    <w:rsid w:val="00032CCE"/>
    <w:pPr>
      <w:spacing w:before="160" w:after="240"/>
    </w:pPr>
    <w:rPr>
      <w:iCs/>
      <w:sz w:val="16"/>
      <w:szCs w:val="18"/>
    </w:rPr>
  </w:style>
  <w:style w:type="paragraph" w:styleId="Obsah5">
    <w:name w:val="toc 5"/>
    <w:basedOn w:val="Normln"/>
    <w:next w:val="Normln"/>
    <w:uiPriority w:val="39"/>
    <w:unhideWhenUsed/>
    <w:rsid w:val="001E513B"/>
    <w:pPr>
      <w:tabs>
        <w:tab w:val="right" w:leader="dot" w:pos="9061"/>
      </w:tabs>
      <w:spacing w:before="240" w:after="120"/>
      <w:ind w:left="284" w:hanging="284"/>
    </w:pPr>
    <w:rPr>
      <w:b/>
    </w:rPr>
  </w:style>
  <w:style w:type="paragraph" w:styleId="Obsah6">
    <w:name w:val="toc 6"/>
    <w:basedOn w:val="Normln"/>
    <w:next w:val="Normln"/>
    <w:uiPriority w:val="39"/>
    <w:unhideWhenUsed/>
    <w:rsid w:val="003C027F"/>
    <w:pPr>
      <w:tabs>
        <w:tab w:val="right" w:leader="dot" w:pos="9061"/>
      </w:tabs>
      <w:spacing w:after="100"/>
      <w:ind w:left="738" w:hanging="454"/>
    </w:pPr>
    <w:rPr>
      <w:noProof/>
    </w:rPr>
  </w:style>
  <w:style w:type="paragraph" w:styleId="Obsah7">
    <w:name w:val="toc 7"/>
    <w:basedOn w:val="Normln"/>
    <w:next w:val="Normln"/>
    <w:uiPriority w:val="39"/>
    <w:unhideWhenUsed/>
    <w:rsid w:val="003C027F"/>
    <w:pPr>
      <w:tabs>
        <w:tab w:val="right" w:leader="dot" w:pos="9061"/>
      </w:tabs>
      <w:spacing w:after="100"/>
      <w:ind w:left="908" w:hanging="624"/>
    </w:pPr>
    <w:rPr>
      <w:noProof/>
    </w:rPr>
  </w:style>
  <w:style w:type="paragraph" w:styleId="Obsah8">
    <w:name w:val="toc 8"/>
    <w:basedOn w:val="Normln"/>
    <w:next w:val="Normln"/>
    <w:uiPriority w:val="39"/>
    <w:unhideWhenUsed/>
    <w:rsid w:val="003C027F"/>
    <w:pPr>
      <w:tabs>
        <w:tab w:val="right" w:leader="dot" w:pos="9061"/>
      </w:tabs>
      <w:spacing w:after="100"/>
      <w:ind w:left="1106" w:hanging="822"/>
    </w:pPr>
    <w:rPr>
      <w:noProof/>
    </w:rPr>
  </w:style>
  <w:style w:type="paragraph" w:styleId="Textvysvtlivek">
    <w:name w:val="endnote text"/>
    <w:basedOn w:val="Normln"/>
    <w:link w:val="TextvysvtlivekChar"/>
    <w:uiPriority w:val="99"/>
    <w:semiHidden/>
    <w:unhideWhenUsed/>
    <w:rsid w:val="000106FE"/>
    <w:pPr>
      <w:spacing w:after="40" w:line="240" w:lineRule="auto"/>
    </w:pPr>
    <w:rPr>
      <w:sz w:val="16"/>
    </w:rPr>
  </w:style>
  <w:style w:type="character" w:customStyle="1" w:styleId="TextvysvtlivekChar">
    <w:name w:val="Text vysvětlivek Char"/>
    <w:basedOn w:val="Standardnpsmoodstavce"/>
    <w:link w:val="Textvysvtlivek"/>
    <w:uiPriority w:val="99"/>
    <w:semiHidden/>
    <w:rsid w:val="000106FE"/>
    <w:rPr>
      <w:sz w:val="16"/>
    </w:rPr>
  </w:style>
  <w:style w:type="character" w:styleId="Zstupntext">
    <w:name w:val="Placeholder Text"/>
    <w:basedOn w:val="Standardnpsmoodstavce"/>
    <w:uiPriority w:val="99"/>
    <w:semiHidden/>
    <w:rsid w:val="00F152C4"/>
    <w:rPr>
      <w:color w:val="666666"/>
    </w:rPr>
  </w:style>
  <w:style w:type="table" w:styleId="Svtlmkatabulky">
    <w:name w:val="Grid Table Light"/>
    <w:basedOn w:val="Normlntabulka"/>
    <w:uiPriority w:val="40"/>
    <w:rsid w:val="000C67F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ezmezer">
    <w:name w:val="No Spacing"/>
    <w:uiPriority w:val="1"/>
    <w:semiHidden/>
    <w:qFormat/>
    <w:rsid w:val="00586756"/>
    <w:pPr>
      <w:spacing w:after="0" w:line="240" w:lineRule="auto"/>
    </w:pPr>
  </w:style>
  <w:style w:type="paragraph" w:customStyle="1" w:styleId="Poznmky">
    <w:name w:val="Poznámky"/>
    <w:basedOn w:val="Normln"/>
    <w:qFormat/>
    <w:rsid w:val="00200551"/>
    <w:pPr>
      <w:pBdr>
        <w:top w:val="single" w:sz="4" w:space="4" w:color="auto"/>
      </w:pBdr>
      <w:spacing w:after="0"/>
      <w:jc w:val="left"/>
    </w:pPr>
    <w:rPr>
      <w:i/>
      <w:sz w:val="18"/>
    </w:rPr>
  </w:style>
  <w:style w:type="paragraph" w:customStyle="1" w:styleId="Poznmky0">
    <w:name w:val="Poznámky_"/>
    <w:next w:val="Normln"/>
    <w:qFormat/>
    <w:rsid w:val="00D57951"/>
    <w:pPr>
      <w:pBdr>
        <w:top w:val="single" w:sz="4" w:space="9" w:color="auto"/>
      </w:pBdr>
      <w:spacing w:before="280" w:after="0"/>
    </w:pPr>
    <w:rPr>
      <w:rFonts w:ascii="Arial" w:eastAsia="Calibri" w:hAnsi="Arial" w:cs="ArialMT"/>
      <w:i/>
      <w:kern w:val="0"/>
      <w:sz w:val="18"/>
      <w:szCs w:val="18"/>
      <w:lang w:val="en-GB"/>
      <w14:ligatures w14:val="none"/>
    </w:rPr>
  </w:style>
  <w:style w:type="paragraph" w:styleId="Zkladntext">
    <w:name w:val="Body Text"/>
    <w:basedOn w:val="Normln"/>
    <w:link w:val="ZkladntextChar"/>
    <w:uiPriority w:val="99"/>
    <w:semiHidden/>
    <w:unhideWhenUsed/>
    <w:rsid w:val="00D57951"/>
    <w:pPr>
      <w:spacing w:after="120"/>
    </w:pPr>
    <w:rPr>
      <w:rFonts w:ascii="Arial" w:eastAsia="Calibri" w:hAnsi="Arial" w:cs="Times New Roman"/>
      <w:kern w:val="0"/>
      <w:szCs w:val="22"/>
      <w14:ligatures w14:val="none"/>
    </w:rPr>
  </w:style>
  <w:style w:type="character" w:customStyle="1" w:styleId="ZkladntextChar">
    <w:name w:val="Základní text Char"/>
    <w:basedOn w:val="Standardnpsmoodstavce"/>
    <w:link w:val="Zkladntext"/>
    <w:uiPriority w:val="99"/>
    <w:semiHidden/>
    <w:rsid w:val="00D57951"/>
    <w:rPr>
      <w:rFonts w:ascii="Arial" w:eastAsia="Calibri" w:hAnsi="Arial" w:cs="Times New Roman"/>
      <w:kern w:val="0"/>
      <w:szCs w:val="22"/>
      <w14:ligatures w14:val="none"/>
    </w:rPr>
  </w:style>
  <w:style w:type="character" w:styleId="Sledovanodkaz">
    <w:name w:val="FollowedHyperlink"/>
    <w:basedOn w:val="Standardnpsmoodstavce"/>
    <w:uiPriority w:val="99"/>
    <w:semiHidden/>
    <w:unhideWhenUsed/>
    <w:rsid w:val="0013468F"/>
    <w:rPr>
      <w:color w:val="00459B"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jaroslav.kahoun@csu.gov.cz"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etr.musil@csu.gov.cz"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su.gov.cz/government-finance-statistics"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csu.gov.cz"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iv Office">
  <a:themeElements>
    <a:clrScheme name="JVS šedé nadpisy">
      <a:dk1>
        <a:sysClr val="windowText" lastClr="000000"/>
      </a:dk1>
      <a:lt1>
        <a:sysClr val="window" lastClr="FFFFFF"/>
      </a:lt1>
      <a:dk2>
        <a:srgbClr val="545860"/>
      </a:dk2>
      <a:lt2>
        <a:srgbClr val="A7A9B3"/>
      </a:lt2>
      <a:accent1>
        <a:srgbClr val="00459B"/>
      </a:accent1>
      <a:accent2>
        <a:srgbClr val="D70C0F"/>
      </a:accent2>
      <a:accent3>
        <a:srgbClr val="F7C1B9"/>
      </a:accent3>
      <a:accent4>
        <a:srgbClr val="690527"/>
      </a:accent4>
      <a:accent5>
        <a:srgbClr val="9DC8E9"/>
      </a:accent5>
      <a:accent6>
        <a:srgbClr val="545860"/>
      </a:accent6>
      <a:hlink>
        <a:srgbClr val="00459B"/>
      </a:hlink>
      <a:folHlink>
        <a:srgbClr val="00459B"/>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1BE00E32D9964647925B05BE21A1B4C5" ma:contentTypeVersion="7" ma:contentTypeDescription="Vytvoří nový dokument" ma:contentTypeScope="" ma:versionID="95af9ca08a4a9d1bc57791a941890564">
  <xsd:schema xmlns:xsd="http://www.w3.org/2001/XMLSchema" xmlns:xs="http://www.w3.org/2001/XMLSchema" xmlns:p="http://schemas.microsoft.com/office/2006/metadata/properties" xmlns:ns2="6f5a4aca-455c-4012-a902-4d97d6c174df" targetNamespace="http://schemas.microsoft.com/office/2006/metadata/properties" ma:root="true" ma:fieldsID="929800427860fcf7e20516a4b343b8ce" ns2:_="">
    <xsd:import namespace="6f5a4aca-455c-4012-a902-4d97d6c174d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5a4aca-455c-4012-a902-4d97d6c174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5F2BFF-B860-4BCB-BD6E-29CA14312DD5}">
  <ds:schemaRefs>
    <ds:schemaRef ds:uri="http://schemas.microsoft.com/sharepoint/v3/contenttype/forms"/>
  </ds:schemaRefs>
</ds:datastoreItem>
</file>

<file path=customXml/itemProps2.xml><?xml version="1.0" encoding="utf-8"?>
<ds:datastoreItem xmlns:ds="http://schemas.openxmlformats.org/officeDocument/2006/customXml" ds:itemID="{1C70789B-7DE5-43F3-AC77-5FBD9F0692FA}">
  <ds:schemaRefs>
    <ds:schemaRef ds:uri="http://schemas.microsoft.com/office/2006/metadata/properties"/>
    <ds:schemaRef ds:uri="http://schemas.microsoft.com/office/infopath/2007/PartnerControls"/>
    <ds:schemaRef ds:uri="8675fb2b-b414-4bad-b4c4-d9349268b5a1"/>
    <ds:schemaRef ds:uri="406a38fe-c53c-4047-b0f8-c641386931ae"/>
  </ds:schemaRefs>
</ds:datastoreItem>
</file>

<file path=customXml/itemProps3.xml><?xml version="1.0" encoding="utf-8"?>
<ds:datastoreItem xmlns:ds="http://schemas.openxmlformats.org/officeDocument/2006/customXml" ds:itemID="{DD98F138-E07A-4DD1-8E36-CE3B76599150}"/>
</file>

<file path=customXml/itemProps4.xml><?xml version="1.0" encoding="utf-8"?>
<ds:datastoreItem xmlns:ds="http://schemas.openxmlformats.org/officeDocument/2006/customXml" ds:itemID="{261CB690-FF5C-4B21-B984-0828F6D350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146</TotalTime>
  <Pages>3</Pages>
  <Words>845</Words>
  <Characters>4986</Characters>
  <Application>Microsoft Office Word</Application>
  <DocSecurity>0</DocSecurity>
  <Lines>41</Lines>
  <Paragraphs>11</Paragraphs>
  <ScaleCrop>false</ScaleCrop>
  <HeadingPairs>
    <vt:vector size="2" baseType="variant">
      <vt:variant>
        <vt:lpstr>Název</vt:lpstr>
      </vt:variant>
      <vt:variant>
        <vt:i4>1</vt:i4>
      </vt:variant>
    </vt:vector>
  </HeadingPairs>
  <TitlesOfParts>
    <vt:vector size="1" baseType="lpstr">
      <vt:lpstr>Rychlá informace EN</vt:lpstr>
    </vt:vector>
  </TitlesOfParts>
  <Company/>
  <LinksUpToDate>false</LinksUpToDate>
  <CharactersWithSpaces>5820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Rychlá informace EN</dc:title>
  <dc:subject/>
  <dc:creator>Musil Petr</dc:creator>
  <cp:keywords/>
  <dc:description/>
  <cp:lastModifiedBy>Musil Petr</cp:lastModifiedBy>
  <cp:revision>58</cp:revision>
  <dcterms:created xsi:type="dcterms:W3CDTF">2026-09-24T06:12:00Z</dcterms:created>
  <dcterms:modified xsi:type="dcterms:W3CDTF">2026-09-30T07:10:00Z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0x0101001BE00E32D9964647925B05BE21A1B4C5</vt:lpwstr>
  </property>
  <property fmtid="{D5CDD505-2E9C-101B-9397-08002B2CF9AE}" pid="3" name="MediaServiceImageTags">
    <vt:lpwstr/>
  </property>
  <property fmtid="{D5CDD505-2E9C-101B-9397-08002B2CF9AE}" pid="4" name="Order">
    <vt:r8>190000</vt:r8>
  </property>
  <property fmtid="{D5CDD505-2E9C-101B-9397-08002B2CF9AE}" pid="5" name="xd_Signature">
    <vt:bool>false</vt:bool>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