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c="http://schemas.openxmlformats.org/drawingml/2006/chart" mc:Ignorable="w14 w15 w16se w16cid w16 w16cex w16sdtdh w16sdtfl w16du wp14">
  <w:body>
    <w:p w:rsidRPr="00580269" w:rsidR="00580269" w:rsidP="00580269" w:rsidRDefault="00580269" w14:paraId="305E384B" w14:textId="147ADE8C">
      <w:pPr>
        <w:jc w:val="left"/>
        <w:rPr>
          <w:rFonts w:asciiTheme="majorHAnsi" w:hAnsiTheme="majorHAnsi" w:eastAsiaTheme="majorEastAsia" w:cstheme="majorBidi"/>
          <w:b/>
          <w:bCs/>
          <w:color w:val="D70C0F"/>
          <w:sz w:val="40"/>
          <w:szCs w:val="40"/>
        </w:rPr>
      </w:pPr>
      <w:r w:rsidRPr="00580269">
        <w:rPr>
          <w:rFonts w:asciiTheme="majorHAnsi" w:hAnsiTheme="majorHAnsi" w:eastAsiaTheme="majorEastAsia" w:cstheme="majorBidi"/>
          <w:b/>
          <w:bCs/>
          <w:color w:val="D70C0F"/>
          <w:sz w:val="40"/>
          <w:szCs w:val="40"/>
        </w:rPr>
        <w:t>HDP vzrostl mezičtvrtletně o 0,</w:t>
      </w:r>
      <w:r w:rsidR="0022586D">
        <w:rPr>
          <w:rFonts w:asciiTheme="majorHAnsi" w:hAnsiTheme="majorHAnsi" w:eastAsiaTheme="majorEastAsia" w:cstheme="majorBidi"/>
          <w:b/>
          <w:bCs/>
          <w:color w:val="D70C0F"/>
          <w:sz w:val="40"/>
          <w:szCs w:val="40"/>
        </w:rPr>
        <w:t>4</w:t>
      </w:r>
      <w:r w:rsidRPr="00580269">
        <w:rPr>
          <w:rFonts w:asciiTheme="majorHAnsi" w:hAnsiTheme="majorHAnsi" w:eastAsiaTheme="majorEastAsia" w:cstheme="majorBidi"/>
          <w:b/>
          <w:bCs/>
          <w:color w:val="D70C0F"/>
          <w:sz w:val="40"/>
          <w:szCs w:val="40"/>
        </w:rPr>
        <w:t xml:space="preserve"> %</w:t>
      </w:r>
    </w:p>
    <w:p w:rsidR="00F21B6A" w:rsidP="00200551" w:rsidRDefault="00090277" w14:paraId="43FC1D60" w14:textId="4A396D55">
      <w:pPr>
        <w:jc w:val="left"/>
      </w:pPr>
      <w:sdt>
        <w:sdtPr>
          <w:id w:val="902409853"/>
          <w:placeholder>
            <w:docPart w:val="98A9CA17C7144F2AB9468813E160297E"/>
          </w:placeholder>
          <w:date w:fullDate="2026-08-28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530E7A">
            <w:t>28. 08. 2026</w:t>
          </w:r>
        </w:sdtContent>
      </w:sdt>
    </w:p>
    <w:p w:rsidRPr="00530E7A" w:rsidR="00530E7A" w:rsidP="00530E7A" w:rsidRDefault="00530E7A" w14:paraId="5292B94E" w14:textId="280BD8AC">
      <w:pPr>
        <w:pStyle w:val="Heading2"/>
      </w:pPr>
      <w:r w:rsidRPr="00530E7A">
        <w:t xml:space="preserve">Tvorba a užití HDP – </w:t>
      </w:r>
      <w:r w:rsidR="008A4314">
        <w:t>2</w:t>
      </w:r>
      <w:r w:rsidRPr="00530E7A">
        <w:t>. čtvrtletí 2026</w:t>
      </w:r>
    </w:p>
    <w:p w:rsidRPr="00530E7A" w:rsidR="00530E7A" w:rsidP="00530E7A" w:rsidRDefault="00530E7A" w14:paraId="45A970D0" w14:textId="62A461CB">
      <w:pPr>
        <w:jc w:val="left"/>
        <w:rPr>
          <w:b/>
          <w:color w:val="545860" w:themeColor="accent6"/>
        </w:rPr>
      </w:pPr>
      <w:r w:rsidRPr="00530E7A">
        <w:rPr>
          <w:b/>
          <w:color w:val="545860" w:themeColor="accent6"/>
        </w:rPr>
        <w:t>Podle zpřesněného odhadu vzrostl hrubý domácí produkt v</w:t>
      </w:r>
      <w:r w:rsidR="008A4314">
        <w:rPr>
          <w:b/>
          <w:color w:val="545860" w:themeColor="accent6"/>
        </w:rPr>
        <w:t>e</w:t>
      </w:r>
      <w:r w:rsidRPr="00530E7A">
        <w:rPr>
          <w:b/>
          <w:color w:val="545860" w:themeColor="accent6"/>
        </w:rPr>
        <w:t xml:space="preserve"> </w:t>
      </w:r>
      <w:r w:rsidR="008A4314">
        <w:rPr>
          <w:b/>
          <w:color w:val="545860" w:themeColor="accent6"/>
        </w:rPr>
        <w:t>2</w:t>
      </w:r>
      <w:r w:rsidRPr="00530E7A">
        <w:rPr>
          <w:b/>
          <w:color w:val="545860" w:themeColor="accent6"/>
        </w:rPr>
        <w:t>. čtvrtletí mezičtvrtletně o 0,</w:t>
      </w:r>
      <w:r w:rsidR="007761B6">
        <w:rPr>
          <w:b/>
          <w:color w:val="545860" w:themeColor="accent6"/>
        </w:rPr>
        <w:t>4</w:t>
      </w:r>
      <w:r w:rsidRPr="00530E7A">
        <w:rPr>
          <w:b/>
          <w:color w:val="545860" w:themeColor="accent6"/>
        </w:rPr>
        <w:t> % a</w:t>
      </w:r>
      <w:r w:rsidR="006B52B6">
        <w:rPr>
          <w:b/>
          <w:color w:val="545860" w:themeColor="accent6"/>
        </w:rPr>
        <w:t> </w:t>
      </w:r>
      <w:r w:rsidRPr="00530E7A">
        <w:rPr>
          <w:b/>
          <w:color w:val="545860" w:themeColor="accent6"/>
        </w:rPr>
        <w:t xml:space="preserve">meziročně o </w:t>
      </w:r>
      <w:r w:rsidR="007761B6">
        <w:rPr>
          <w:b/>
          <w:color w:val="545860" w:themeColor="accent6"/>
        </w:rPr>
        <w:t>1</w:t>
      </w:r>
      <w:r w:rsidRPr="00530E7A">
        <w:rPr>
          <w:b/>
          <w:color w:val="545860" w:themeColor="accent6"/>
        </w:rPr>
        <w:t>,</w:t>
      </w:r>
      <w:r w:rsidR="007761B6">
        <w:rPr>
          <w:b/>
          <w:color w:val="545860" w:themeColor="accent6"/>
        </w:rPr>
        <w:t>9</w:t>
      </w:r>
      <w:r w:rsidRPr="00530E7A">
        <w:rPr>
          <w:b/>
          <w:color w:val="545860" w:themeColor="accent6"/>
        </w:rPr>
        <w:t xml:space="preserve"> %. Meziroční růst HDP byl podpořen zejména vyššími výdaji na konečnou spotřebu domácností a tvorbou hrubého fixního kapitálu</w:t>
      </w:r>
      <w:r w:rsidRPr="00530E7A">
        <w:rPr>
          <w:b/>
          <w:bCs/>
          <w:color w:val="545860" w:themeColor="accent6"/>
        </w:rPr>
        <w:t>. Negativní vliv měla změna stavu zásob</w:t>
      </w:r>
      <w:r w:rsidR="007761B6">
        <w:rPr>
          <w:b/>
          <w:bCs/>
          <w:color w:val="545860" w:themeColor="accent6"/>
        </w:rPr>
        <w:t>.</w:t>
      </w:r>
    </w:p>
    <w:p w:rsidRPr="00530E7A" w:rsidR="00530E7A" w:rsidP="00530E7A" w:rsidRDefault="00530E7A" w14:paraId="7FA37796" w14:textId="5748CED9">
      <w:pPr>
        <w:jc w:val="left"/>
      </w:pPr>
      <w:r w:rsidRPr="00530E7A">
        <w:t>Zpřesněný odhad potvrdil pokračující růst české ekonomiky. Hrubý domácí produkt (HDP) očištěný o</w:t>
      </w:r>
      <w:r w:rsidR="006B52B6">
        <w:t> </w:t>
      </w:r>
      <w:r w:rsidRPr="00530E7A">
        <w:t>cenové vlivy a sezónnost</w:t>
      </w:r>
      <w:r w:rsidRPr="00530E7A">
        <w:rPr>
          <w:vertAlign w:val="superscript"/>
        </w:rPr>
        <w:footnoteReference w:id="1"/>
      </w:r>
      <w:r w:rsidRPr="00530E7A">
        <w:rPr>
          <w:i/>
        </w:rPr>
        <w:t xml:space="preserve"> </w:t>
      </w:r>
      <w:r w:rsidRPr="00530E7A">
        <w:t>vzrostl ve srovnání s předchozím čtvrtletím o 0,</w:t>
      </w:r>
      <w:r w:rsidR="007761B6">
        <w:t>4</w:t>
      </w:r>
      <w:r w:rsidRPr="00530E7A">
        <w:t xml:space="preserve"> % a</w:t>
      </w:r>
      <w:r w:rsidR="009B68C2">
        <w:t xml:space="preserve"> </w:t>
      </w:r>
      <w:r w:rsidRPr="00530E7A">
        <w:t>meziročně</w:t>
      </w:r>
      <w:r w:rsidR="009B68C2">
        <w:t xml:space="preserve"> </w:t>
      </w:r>
      <w:r w:rsidRPr="00530E7A">
        <w:t>vzrostl o </w:t>
      </w:r>
      <w:r w:rsidR="007761B6">
        <w:t>1</w:t>
      </w:r>
      <w:r w:rsidRPr="00530E7A">
        <w:t>,</w:t>
      </w:r>
      <w:r w:rsidR="007761B6">
        <w:t>9</w:t>
      </w:r>
      <w:r w:rsidRPr="00530E7A">
        <w:t> %.</w:t>
      </w:r>
    </w:p>
    <w:p w:rsidRPr="00530E7A" w:rsidR="00530E7A" w:rsidP="00530E7A" w:rsidRDefault="00530E7A" w14:paraId="3D2FA656" w14:textId="2FFB05FC">
      <w:pPr>
        <w:jc w:val="left"/>
      </w:pPr>
      <w:r w:rsidRPr="00530E7A">
        <w:rPr>
          <w:b/>
          <w:bCs/>
        </w:rPr>
        <w:t>Hrubá přidaná hodnota</w:t>
      </w:r>
      <w:r w:rsidRPr="00530E7A">
        <w:t xml:space="preserve"> (HPH) v</w:t>
      </w:r>
      <w:r w:rsidR="008A4314">
        <w:t>e</w:t>
      </w:r>
      <w:r w:rsidRPr="00530E7A">
        <w:t xml:space="preserve"> </w:t>
      </w:r>
      <w:r w:rsidR="008A4314">
        <w:t>2</w:t>
      </w:r>
      <w:r w:rsidRPr="00530E7A">
        <w:t xml:space="preserve">. čtvrtletí vzrostla </w:t>
      </w:r>
      <w:proofErr w:type="spellStart"/>
      <w:r w:rsidRPr="00530E7A">
        <w:t>mezičtvrtletně</w:t>
      </w:r>
      <w:proofErr w:type="spellEnd"/>
      <w:r w:rsidRPr="00530E7A">
        <w:t xml:space="preserve"> o 0,</w:t>
      </w:r>
      <w:r w:rsidR="002C6D17">
        <w:t>4</w:t>
      </w:r>
      <w:r w:rsidRPr="00530E7A">
        <w:t xml:space="preserve"> %. </w:t>
      </w:r>
      <w:proofErr w:type="spellStart"/>
      <w:r w:rsidRPr="00530E7A">
        <w:t>Mezičtvrtletní</w:t>
      </w:r>
      <w:proofErr w:type="spellEnd"/>
      <w:r w:rsidRPr="00530E7A">
        <w:t xml:space="preserve"> </w:t>
      </w:r>
      <w:r w:rsidR="00EE6D77">
        <w:t>růst</w:t>
      </w:r>
      <w:r w:rsidRPr="00530E7A">
        <w:t xml:space="preserve"> podpořil hlavně </w:t>
      </w:r>
      <w:r w:rsidR="002C6D17">
        <w:t xml:space="preserve">průmysl (+0,9 %), </w:t>
      </w:r>
      <w:r w:rsidRPr="00530E7A">
        <w:t>skupina odvětví obchodu, dopravy, ubytování a</w:t>
      </w:r>
      <w:r w:rsidR="009B68C2">
        <w:t xml:space="preserve"> </w:t>
      </w:r>
      <w:r w:rsidRPr="00530E7A">
        <w:t>pohostinství (+0,4</w:t>
      </w:r>
      <w:r w:rsidR="005E1724">
        <w:t> </w:t>
      </w:r>
      <w:r w:rsidRPr="00530E7A">
        <w:t>%)</w:t>
      </w:r>
      <w:r w:rsidR="00EE6D77">
        <w:t>,</w:t>
      </w:r>
      <w:r w:rsidRPr="00530E7A">
        <w:t xml:space="preserve"> peněžnictví a pojišťovnictví (+</w:t>
      </w:r>
      <w:r w:rsidR="002C6D17">
        <w:t>2</w:t>
      </w:r>
      <w:r w:rsidRPr="00530E7A">
        <w:t>,</w:t>
      </w:r>
      <w:r w:rsidR="002C6D17">
        <w:t>7</w:t>
      </w:r>
      <w:r w:rsidRPr="00530E7A">
        <w:t xml:space="preserve"> %)</w:t>
      </w:r>
      <w:r w:rsidR="00EE6D77">
        <w:t xml:space="preserve"> a činnosti v oblasti nemovitostí (+0,6 %)</w:t>
      </w:r>
      <w:r w:rsidR="002C6D17">
        <w:t>.</w:t>
      </w:r>
      <w:r w:rsidRPr="00530E7A">
        <w:t xml:space="preserve"> Dařilo se také stavebnictví (+0,</w:t>
      </w:r>
      <w:r w:rsidR="00250A6B">
        <w:t>3</w:t>
      </w:r>
      <w:r w:rsidRPr="00530E7A">
        <w:t xml:space="preserve"> %)</w:t>
      </w:r>
      <w:r w:rsidR="002C6D17">
        <w:t>.</w:t>
      </w:r>
    </w:p>
    <w:p w:rsidRPr="00530E7A" w:rsidR="00530E7A" w:rsidP="00530E7A" w:rsidRDefault="00530E7A" w14:paraId="680D083B" w14:textId="34BE3418">
      <w:pPr>
        <w:jc w:val="left"/>
      </w:pPr>
      <w:r w:rsidRPr="00530E7A">
        <w:t xml:space="preserve">Meziroční růst HPH o </w:t>
      </w:r>
      <w:r w:rsidR="002C6D17">
        <w:t>1</w:t>
      </w:r>
      <w:r w:rsidRPr="00530E7A">
        <w:t>,</w:t>
      </w:r>
      <w:r w:rsidR="002C6D17">
        <w:t>8</w:t>
      </w:r>
      <w:r w:rsidRPr="00530E7A">
        <w:t xml:space="preserve"> % pozitivně ovlivnil zejména průmysl +0,</w:t>
      </w:r>
      <w:r w:rsidR="002C6D17">
        <w:t>4</w:t>
      </w:r>
      <w:r w:rsidRPr="00530E7A">
        <w:t xml:space="preserve"> p. b. (+1,</w:t>
      </w:r>
      <w:r w:rsidR="002C6D17">
        <w:t>8</w:t>
      </w:r>
      <w:r w:rsidRPr="00530E7A">
        <w:t xml:space="preserve"> %), skupina odvětví obchodu, dopravy, ubytování a pohostinství +0,</w:t>
      </w:r>
      <w:r w:rsidR="002C6D17">
        <w:t>4</w:t>
      </w:r>
      <w:r w:rsidRPr="00530E7A">
        <w:t xml:space="preserve"> p. b. (+2,</w:t>
      </w:r>
      <w:r w:rsidR="002C6D17">
        <w:t>4</w:t>
      </w:r>
      <w:r w:rsidRPr="00530E7A">
        <w:t xml:space="preserve"> %) a informační a komunikační činnosti +0,</w:t>
      </w:r>
      <w:r w:rsidR="002C6D17">
        <w:t>3</w:t>
      </w:r>
      <w:r w:rsidRPr="00530E7A">
        <w:t xml:space="preserve"> p. b. (+</w:t>
      </w:r>
      <w:r w:rsidR="002C6D17">
        <w:t>4</w:t>
      </w:r>
      <w:r w:rsidRPr="00530E7A">
        <w:t>,</w:t>
      </w:r>
      <w:r w:rsidR="002C6D17">
        <w:t>1</w:t>
      </w:r>
      <w:r w:rsidRPr="00530E7A">
        <w:t xml:space="preserve"> %).</w:t>
      </w:r>
    </w:p>
    <w:p w:rsidR="007761B6" w:rsidP="00D4329C" w:rsidRDefault="00D4329C" w14:paraId="31CF302E" w14:textId="7AD11120">
      <w:pPr>
        <w:jc w:val="left"/>
      </w:pPr>
      <w:r w:rsidRPr="00530E7A">
        <w:rPr>
          <w:i/>
          <w:iCs/>
        </w:rPr>
        <w:t>„</w:t>
      </w:r>
      <w:r w:rsidRPr="00D4329C" w:rsidR="007761B6">
        <w:rPr>
          <w:i/>
          <w:iCs/>
        </w:rPr>
        <w:t xml:space="preserve">Na straně poptávky byly hlavními faktory </w:t>
      </w:r>
      <w:proofErr w:type="spellStart"/>
      <w:r w:rsidRPr="00D4329C" w:rsidR="007761B6">
        <w:rPr>
          <w:i/>
          <w:iCs/>
        </w:rPr>
        <w:t>mezičtvrtletního</w:t>
      </w:r>
      <w:proofErr w:type="spellEnd"/>
      <w:r w:rsidRPr="00D4329C" w:rsidR="007761B6">
        <w:rPr>
          <w:i/>
          <w:iCs/>
        </w:rPr>
        <w:t xml:space="preserve"> růstu hrubého domácího produktu ve druhém</w:t>
      </w:r>
      <w:r w:rsidRPr="00D4329C" w:rsidR="009B68C2">
        <w:rPr>
          <w:i/>
          <w:iCs/>
        </w:rPr>
        <w:t xml:space="preserve"> </w:t>
      </w:r>
      <w:r w:rsidRPr="00D4329C" w:rsidR="007761B6">
        <w:rPr>
          <w:i/>
          <w:iCs/>
        </w:rPr>
        <w:t>čtvrtletí výdaje na</w:t>
      </w:r>
      <w:r w:rsidRPr="00D4329C" w:rsidR="009B68C2">
        <w:rPr>
          <w:i/>
          <w:iCs/>
        </w:rPr>
        <w:t xml:space="preserve"> </w:t>
      </w:r>
      <w:r w:rsidRPr="00D4329C" w:rsidR="007761B6">
        <w:rPr>
          <w:i/>
          <w:iCs/>
        </w:rPr>
        <w:t>konečnou spotřebu domácností, tvorba hrubého fixního kapitálu a</w:t>
      </w:r>
      <w:r w:rsidRPr="00D4329C" w:rsidR="006B52B6">
        <w:rPr>
          <w:i/>
          <w:iCs/>
        </w:rPr>
        <w:t> </w:t>
      </w:r>
      <w:r w:rsidRPr="00D4329C" w:rsidR="007761B6">
        <w:rPr>
          <w:i/>
          <w:iCs/>
        </w:rPr>
        <w:t>zahraniční poptávka. Negativní vliv měla změna stavu zásob</w:t>
      </w:r>
      <w:r w:rsidRPr="00530E7A">
        <w:rPr>
          <w:i/>
          <w:iCs/>
        </w:rPr>
        <w:t>,“</w:t>
      </w:r>
      <w:r w:rsidRPr="00530E7A">
        <w:t xml:space="preserve"> komentuje údaje Vladimír Kermiet, ředitel odboru národních účtů ČSÚ.</w:t>
      </w:r>
    </w:p>
    <w:p w:rsidRPr="00530E7A" w:rsidR="00530E7A" w:rsidP="00530E7A" w:rsidRDefault="00530E7A" w14:paraId="78780984" w14:textId="58FE4446">
      <w:pPr>
        <w:jc w:val="left"/>
      </w:pPr>
      <w:r w:rsidRPr="00530E7A">
        <w:t>Meziroční růst HDP (+</w:t>
      </w:r>
      <w:r w:rsidR="00250A6B">
        <w:t>1</w:t>
      </w:r>
      <w:r w:rsidRPr="00530E7A">
        <w:t>,</w:t>
      </w:r>
      <w:r w:rsidR="00250A6B">
        <w:t>9</w:t>
      </w:r>
      <w:r w:rsidRPr="00530E7A">
        <w:t xml:space="preserve"> %) pozitivně ovlivnily výdaje na konečnou spotřebu domácností </w:t>
      </w:r>
      <w:r w:rsidRPr="00530E7A">
        <w:br/>
      </w:r>
      <w:r w:rsidRPr="00530E7A">
        <w:t>+1,1 p. b.</w:t>
      </w:r>
      <w:r w:rsidRPr="00530E7A">
        <w:rPr>
          <w:vertAlign w:val="superscript"/>
        </w:rPr>
        <w:footnoteReference w:id="2"/>
      </w:r>
      <w:r w:rsidRPr="00530E7A">
        <w:t>, výdaje na konečnou spotřebu</w:t>
      </w:r>
      <w:r w:rsidRPr="00530E7A">
        <w:rPr>
          <w:b/>
        </w:rPr>
        <w:t xml:space="preserve"> </w:t>
      </w:r>
      <w:r w:rsidRPr="00530E7A">
        <w:t>vládních institucí +0,</w:t>
      </w:r>
      <w:r w:rsidR="00250A6B">
        <w:t>2</w:t>
      </w:r>
      <w:r w:rsidRPr="00530E7A">
        <w:t xml:space="preserve"> p. b.</w:t>
      </w:r>
      <w:r w:rsidR="00250A6B">
        <w:t>,</w:t>
      </w:r>
      <w:r w:rsidRPr="00530E7A">
        <w:t xml:space="preserve"> tvorba hrubého fixního kapitálu +1,</w:t>
      </w:r>
      <w:r w:rsidR="00250A6B">
        <w:t>7</w:t>
      </w:r>
      <w:r w:rsidRPr="00530E7A">
        <w:t xml:space="preserve"> p. b. </w:t>
      </w:r>
      <w:r w:rsidRPr="00530E7A" w:rsidR="00250A6B">
        <w:t xml:space="preserve">a saldo zahraničního obchodu </w:t>
      </w:r>
      <w:r w:rsidR="00250A6B">
        <w:t>+</w:t>
      </w:r>
      <w:r w:rsidRPr="00530E7A" w:rsidR="00250A6B">
        <w:t>0</w:t>
      </w:r>
      <w:r w:rsidR="00250A6B">
        <w:t>,2</w:t>
      </w:r>
      <w:r w:rsidRPr="00530E7A" w:rsidR="00250A6B">
        <w:t xml:space="preserve"> p. b.</w:t>
      </w:r>
      <w:r w:rsidR="00250A6B">
        <w:t xml:space="preserve"> </w:t>
      </w:r>
      <w:r w:rsidRPr="00530E7A">
        <w:t>Negativní vliv měla změna stavu zásob -</w:t>
      </w:r>
      <w:r w:rsidR="00250A6B">
        <w:t>1</w:t>
      </w:r>
      <w:r w:rsidRPr="00530E7A">
        <w:t>,</w:t>
      </w:r>
      <w:r w:rsidR="00250A6B">
        <w:t>3</w:t>
      </w:r>
      <w:r w:rsidRPr="00530E7A">
        <w:t xml:space="preserve"> p. b.</w:t>
      </w:r>
    </w:p>
    <w:p w:rsidRPr="00530E7A" w:rsidR="00530E7A" w:rsidP="00530E7A" w:rsidRDefault="00530E7A" w14:paraId="3011F34E" w14:textId="2523E531">
      <w:pPr>
        <w:jc w:val="left"/>
      </w:pPr>
      <w:r w:rsidRPr="00530E7A">
        <w:rPr>
          <w:b/>
        </w:rPr>
        <w:t>Výdaje na konečnou spotřebu</w:t>
      </w:r>
      <w:r w:rsidRPr="00530E7A">
        <w:t xml:space="preserve"> vzrostly </w:t>
      </w:r>
      <w:proofErr w:type="spellStart"/>
      <w:r w:rsidRPr="00530E7A">
        <w:t>mezičtvrtletně</w:t>
      </w:r>
      <w:proofErr w:type="spellEnd"/>
      <w:r w:rsidRPr="00530E7A">
        <w:t xml:space="preserve"> o 0,</w:t>
      </w:r>
      <w:r w:rsidR="005459C0">
        <w:t>5</w:t>
      </w:r>
      <w:r w:rsidRPr="00530E7A">
        <w:t xml:space="preserve"> % a meziročně o 2,</w:t>
      </w:r>
      <w:r w:rsidR="005459C0">
        <w:t>2</w:t>
      </w:r>
      <w:r w:rsidRPr="00530E7A">
        <w:t xml:space="preserve"> %, z</w:t>
      </w:r>
      <w:r w:rsidR="009B68C2">
        <w:t xml:space="preserve"> </w:t>
      </w:r>
      <w:r w:rsidRPr="00530E7A">
        <w:t xml:space="preserve">toho výdaje na konečnou spotřebu </w:t>
      </w:r>
      <w:r w:rsidRPr="00530E7A">
        <w:rPr>
          <w:b/>
        </w:rPr>
        <w:t>domácností</w:t>
      </w:r>
      <w:r w:rsidRPr="00530E7A">
        <w:t xml:space="preserve"> se zvýšily </w:t>
      </w:r>
      <w:proofErr w:type="spellStart"/>
      <w:r w:rsidRPr="00530E7A">
        <w:t>mezičtvrtletně</w:t>
      </w:r>
      <w:proofErr w:type="spellEnd"/>
      <w:r w:rsidRPr="00530E7A">
        <w:t xml:space="preserve"> o 0,</w:t>
      </w:r>
      <w:r w:rsidR="005459C0">
        <w:t>5</w:t>
      </w:r>
      <w:r w:rsidRPr="00530E7A">
        <w:t xml:space="preserve"> % a meziročně o </w:t>
      </w:r>
      <w:r w:rsidR="005459C0">
        <w:t>2</w:t>
      </w:r>
      <w:r w:rsidRPr="00530E7A">
        <w:t>,</w:t>
      </w:r>
      <w:r w:rsidR="005459C0">
        <w:t>7</w:t>
      </w:r>
      <w:r w:rsidRPr="00530E7A">
        <w:t xml:space="preserve"> %. Výdaje na konečnou spotřebu</w:t>
      </w:r>
      <w:r w:rsidRPr="00530E7A">
        <w:rPr>
          <w:b/>
        </w:rPr>
        <w:t xml:space="preserve"> vládních institucí</w:t>
      </w:r>
      <w:r w:rsidRPr="00530E7A">
        <w:t xml:space="preserve"> </w:t>
      </w:r>
      <w:r w:rsidR="005459C0">
        <w:t>vzrostly</w:t>
      </w:r>
      <w:r w:rsidRPr="00530E7A">
        <w:t xml:space="preserve"> </w:t>
      </w:r>
      <w:proofErr w:type="spellStart"/>
      <w:r w:rsidRPr="00530E7A">
        <w:t>mezičtvrtletně</w:t>
      </w:r>
      <w:proofErr w:type="spellEnd"/>
      <w:r w:rsidRPr="00530E7A">
        <w:t xml:space="preserve"> o 0,</w:t>
      </w:r>
      <w:r w:rsidR="005459C0">
        <w:t>1</w:t>
      </w:r>
      <w:r w:rsidRPr="00530E7A">
        <w:t> % a meziročně o 1,</w:t>
      </w:r>
      <w:r w:rsidR="005459C0">
        <w:t>0</w:t>
      </w:r>
      <w:r w:rsidRPr="00530E7A">
        <w:t> %.</w:t>
      </w:r>
    </w:p>
    <w:p w:rsidR="005E1724" w:rsidP="00530E7A" w:rsidRDefault="00530E7A" w14:paraId="498283BA" w14:textId="77777777">
      <w:pPr>
        <w:jc w:val="left"/>
      </w:pPr>
      <w:r w:rsidRPr="00530E7A">
        <w:rPr>
          <w:b/>
        </w:rPr>
        <w:t>Tvorba hrubého fixního kapitálu</w:t>
      </w:r>
      <w:r w:rsidRPr="00530E7A">
        <w:t xml:space="preserve"> vzrostla </w:t>
      </w:r>
      <w:proofErr w:type="spellStart"/>
      <w:r w:rsidRPr="00530E7A">
        <w:t>mezičtvrtletně</w:t>
      </w:r>
      <w:proofErr w:type="spellEnd"/>
      <w:r w:rsidRPr="00530E7A">
        <w:t xml:space="preserve"> o </w:t>
      </w:r>
      <w:r w:rsidR="001E7E1A">
        <w:t>1</w:t>
      </w:r>
      <w:r w:rsidRPr="00530E7A">
        <w:t>,</w:t>
      </w:r>
      <w:r w:rsidR="001E7E1A">
        <w:t>5</w:t>
      </w:r>
      <w:r w:rsidRPr="00530E7A">
        <w:t xml:space="preserve"> % a meziročně o 7,</w:t>
      </w:r>
      <w:r w:rsidR="001E7E1A">
        <w:t>1</w:t>
      </w:r>
      <w:r w:rsidRPr="00530E7A">
        <w:t xml:space="preserve"> %. Meziroční růst zaznamenaly především investice do </w:t>
      </w:r>
      <w:r w:rsidR="001E7E1A">
        <w:t xml:space="preserve">obydlí, </w:t>
      </w:r>
      <w:r w:rsidRPr="00530E7A">
        <w:t xml:space="preserve">ostatních budov a staveb a dopravních prostředků. </w:t>
      </w:r>
    </w:p>
    <w:p w:rsidRPr="00530E7A" w:rsidR="00530E7A" w:rsidP="00530E7A" w:rsidRDefault="00530E7A" w14:paraId="3BAFD5F9" w14:textId="643B1431">
      <w:pPr>
        <w:jc w:val="left"/>
      </w:pPr>
      <w:r w:rsidRPr="00530E7A">
        <w:rPr>
          <w:b/>
        </w:rPr>
        <w:t>Změna stavu zásob</w:t>
      </w:r>
      <w:r w:rsidRPr="00530E7A">
        <w:rPr>
          <w:vertAlign w:val="superscript"/>
        </w:rPr>
        <w:footnoteReference w:id="3"/>
      </w:r>
      <w:r w:rsidRPr="00530E7A">
        <w:t xml:space="preserve"> činila </w:t>
      </w:r>
      <w:r w:rsidR="001E7E1A">
        <w:t>+</w:t>
      </w:r>
      <w:r w:rsidRPr="00530E7A">
        <w:t>1</w:t>
      </w:r>
      <w:r w:rsidR="001E7E1A">
        <w:t>7</w:t>
      </w:r>
      <w:r w:rsidRPr="00530E7A">
        <w:t>,</w:t>
      </w:r>
      <w:r w:rsidR="001E7E1A">
        <w:t>6</w:t>
      </w:r>
      <w:r w:rsidRPr="00530E7A">
        <w:t xml:space="preserve"> mld. Kč, což </w:t>
      </w:r>
      <w:r w:rsidR="001E7E1A">
        <w:t xml:space="preserve">ale </w:t>
      </w:r>
      <w:r w:rsidRPr="00530E7A">
        <w:t xml:space="preserve">bylo o </w:t>
      </w:r>
      <w:r w:rsidR="001E7E1A">
        <w:t>17</w:t>
      </w:r>
      <w:r w:rsidRPr="00530E7A">
        <w:t>,</w:t>
      </w:r>
      <w:r w:rsidR="001E7E1A">
        <w:t>9</w:t>
      </w:r>
      <w:r w:rsidRPr="00530E7A">
        <w:t xml:space="preserve"> mld. Kč méně než ve stejném čtvrtletí předchozího roku.</w:t>
      </w:r>
    </w:p>
    <w:p w:rsidRPr="00530E7A" w:rsidR="00530E7A" w:rsidP="00530E7A" w:rsidRDefault="00530E7A" w14:paraId="63B074BE" w14:textId="1CEF2EB1">
      <w:pPr>
        <w:jc w:val="left"/>
      </w:pPr>
      <w:r w:rsidRPr="457B7354" w:rsidR="00530E7A">
        <w:rPr>
          <w:b w:val="1"/>
          <w:bCs w:val="1"/>
        </w:rPr>
        <w:t>Saldo zahraničního obchodu se zbožím a službami</w:t>
      </w:r>
      <w:r w:rsidR="00530E7A">
        <w:rPr/>
        <w:t xml:space="preserve"> dosáhlo v běžných cenách hodnoty </w:t>
      </w:r>
      <w:r w:rsidR="47FC45E7">
        <w:rPr/>
        <w:t>99,0</w:t>
      </w:r>
      <w:r w:rsidR="00530E7A">
        <w:rPr/>
        <w:t xml:space="preserve"> mld. Kč, bylo tak o </w:t>
      </w:r>
      <w:r w:rsidR="47FC45E7">
        <w:rPr/>
        <w:t>20</w:t>
      </w:r>
      <w:r w:rsidR="00530E7A">
        <w:rPr/>
        <w:t>,</w:t>
      </w:r>
      <w:r w:rsidR="47FC45E7">
        <w:rPr/>
        <w:t>5</w:t>
      </w:r>
      <w:r w:rsidR="00530E7A">
        <w:rPr/>
        <w:t xml:space="preserve"> mld. nižší než ve stejném období předchozího roku. Vývoz vzrostl </w:t>
      </w:r>
      <w:r w:rsidR="00530E7A">
        <w:rPr/>
        <w:t>mezičtvrtletně</w:t>
      </w:r>
      <w:r w:rsidR="00530E7A">
        <w:rPr/>
        <w:t xml:space="preserve"> reálně o </w:t>
      </w:r>
      <w:r w:rsidR="47FC45E7">
        <w:rPr/>
        <w:t>0</w:t>
      </w:r>
      <w:r w:rsidR="00530E7A">
        <w:rPr/>
        <w:t>,</w:t>
      </w:r>
      <w:r w:rsidR="47FC45E7">
        <w:rPr/>
        <w:t>9</w:t>
      </w:r>
      <w:r w:rsidR="00530E7A">
        <w:rPr/>
        <w:t xml:space="preserve"> % a meziročně o </w:t>
      </w:r>
      <w:r w:rsidR="47FC45E7">
        <w:rPr/>
        <w:t>3</w:t>
      </w:r>
      <w:r w:rsidR="00530E7A">
        <w:rPr/>
        <w:t>,</w:t>
      </w:r>
      <w:r w:rsidR="47FC45E7">
        <w:rPr/>
        <w:t>3</w:t>
      </w:r>
      <w:r w:rsidR="00530E7A">
        <w:rPr/>
        <w:t xml:space="preserve"> %, </w:t>
      </w:r>
      <w:r w:rsidR="47FC45E7">
        <w:rPr/>
        <w:t>především</w:t>
      </w:r>
      <w:r w:rsidR="55C3D7C2">
        <w:rPr/>
        <w:t xml:space="preserve"> díky</w:t>
      </w:r>
      <w:r w:rsidR="47FC45E7">
        <w:rPr/>
        <w:t xml:space="preserve"> </w:t>
      </w:r>
      <w:r w:rsidR="107A8954">
        <w:rPr/>
        <w:t>vývoz</w:t>
      </w:r>
      <w:r w:rsidR="7669CA59">
        <w:rPr/>
        <w:t>ům</w:t>
      </w:r>
      <w:r w:rsidR="47FC45E7">
        <w:rPr/>
        <w:t xml:space="preserve"> </w:t>
      </w:r>
      <w:r w:rsidRPr="457B7354" w:rsidR="7F6B7304">
        <w:rPr>
          <w:rFonts w:cs="Arial"/>
        </w:rPr>
        <w:t>motorových vozidel</w:t>
      </w:r>
      <w:r w:rsidR="7F6B7304">
        <w:rPr/>
        <w:t xml:space="preserve">, </w:t>
      </w:r>
      <w:r w:rsidR="47FC45E7">
        <w:rPr/>
        <w:t xml:space="preserve">počítačů, elektronických a optických přístrojů </w:t>
      </w:r>
      <w:r w:rsidR="47FC45E7">
        <w:rPr/>
        <w:t>a zařízení</w:t>
      </w:r>
      <w:r w:rsidR="7F6B7304">
        <w:rPr/>
        <w:t xml:space="preserve"> </w:t>
      </w:r>
      <w:r w:rsidR="7F6B7304">
        <w:rPr/>
        <w:t>a elektrických zařízení</w:t>
      </w:r>
      <w:r w:rsidR="47FC45E7">
        <w:rPr/>
        <w:t>.</w:t>
      </w:r>
      <w:r w:rsidR="107A8954">
        <w:rPr/>
        <w:t xml:space="preserve"> </w:t>
      </w:r>
      <w:r w:rsidR="00530E7A">
        <w:rPr/>
        <w:t xml:space="preserve">Dovoz </w:t>
      </w:r>
      <w:r w:rsidR="47FC45E7">
        <w:rPr/>
        <w:t xml:space="preserve">se </w:t>
      </w:r>
      <w:r w:rsidR="00530E7A">
        <w:rPr/>
        <w:t>mezičtvrtletně</w:t>
      </w:r>
      <w:r w:rsidR="00530E7A">
        <w:rPr/>
        <w:t xml:space="preserve"> </w:t>
      </w:r>
      <w:r w:rsidR="47FC45E7">
        <w:rPr/>
        <w:t xml:space="preserve">nezměnil </w:t>
      </w:r>
      <w:r w:rsidR="00530E7A">
        <w:rPr/>
        <w:t>a</w:t>
      </w:r>
      <w:r w:rsidR="305C06AD">
        <w:rPr/>
        <w:t xml:space="preserve"> </w:t>
      </w:r>
      <w:r w:rsidR="00530E7A">
        <w:rPr/>
        <w:t xml:space="preserve">meziročně </w:t>
      </w:r>
      <w:r w:rsidR="47FC45E7">
        <w:rPr/>
        <w:t xml:space="preserve">vzrostl </w:t>
      </w:r>
      <w:r w:rsidR="00530E7A">
        <w:rPr/>
        <w:t xml:space="preserve">o </w:t>
      </w:r>
      <w:r w:rsidR="47FC45E7">
        <w:rPr/>
        <w:t>3</w:t>
      </w:r>
      <w:r w:rsidR="00530E7A">
        <w:rPr/>
        <w:t>,</w:t>
      </w:r>
      <w:r w:rsidR="47FC45E7">
        <w:rPr/>
        <w:t>7</w:t>
      </w:r>
      <w:r w:rsidR="00530E7A">
        <w:rPr/>
        <w:t> </w:t>
      </w:r>
      <w:r w:rsidR="107A8954">
        <w:rPr/>
        <w:t>%.</w:t>
      </w:r>
    </w:p>
    <w:p w:rsidRPr="00530E7A" w:rsidR="00530E7A" w:rsidP="00530E7A" w:rsidRDefault="006173E5" w14:paraId="037B7B36" w14:textId="458622A3">
      <w:pPr>
        <w:jc w:val="left"/>
      </w:pPr>
      <w:r>
        <w:rPr>
          <w:noProof/>
        </w:rPr>
        <w:drawing>
          <wp:inline distT="0" distB="0" distL="0" distR="0" wp14:anchorId="313D2EF4" wp14:editId="133F244E">
            <wp:extent cx="5381623" cy="3291050"/>
            <wp:effectExtent l="0" t="0" r="0" b="5080"/>
            <wp:docPr id="29694064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530E7A">
        <w:rPr>
          <w:noProof/>
        </w:rPr>
        <w:t xml:space="preserve"> </w:t>
      </w:r>
    </w:p>
    <w:p w:rsidRPr="00530E7A" w:rsidR="00530E7A" w:rsidP="00530E7A" w:rsidRDefault="00530E7A" w14:paraId="33328675" w14:textId="0CF2B797">
      <w:pPr>
        <w:jc w:val="left"/>
      </w:pPr>
      <w:r w:rsidRPr="00530E7A">
        <w:t xml:space="preserve">Cenová hladina měřená </w:t>
      </w:r>
      <w:proofErr w:type="spellStart"/>
      <w:r w:rsidRPr="00530E7A">
        <w:t>deflátorem</w:t>
      </w:r>
      <w:proofErr w:type="spellEnd"/>
      <w:r w:rsidRPr="00530E7A">
        <w:t xml:space="preserve"> HDP v</w:t>
      </w:r>
      <w:r w:rsidR="008A4314">
        <w:t>e</w:t>
      </w:r>
      <w:r w:rsidRPr="00530E7A">
        <w:t xml:space="preserve"> </w:t>
      </w:r>
      <w:r w:rsidR="008A4314">
        <w:t>2</w:t>
      </w:r>
      <w:r w:rsidRPr="00530E7A">
        <w:t xml:space="preserve">. čtvrtletí </w:t>
      </w:r>
      <w:r w:rsidR="006B52B6">
        <w:t>vzrostla</w:t>
      </w:r>
      <w:r w:rsidRPr="00530E7A">
        <w:t xml:space="preserve"> </w:t>
      </w:r>
      <w:proofErr w:type="spellStart"/>
      <w:r w:rsidRPr="00530E7A">
        <w:t>mezičtvrtletně</w:t>
      </w:r>
      <w:proofErr w:type="spellEnd"/>
      <w:r w:rsidRPr="00530E7A">
        <w:t xml:space="preserve"> o </w:t>
      </w:r>
      <w:r w:rsidR="006B52B6">
        <w:t>1</w:t>
      </w:r>
      <w:r w:rsidRPr="00530E7A">
        <w:t>,</w:t>
      </w:r>
      <w:r w:rsidR="006B52B6">
        <w:t>0</w:t>
      </w:r>
      <w:r w:rsidRPr="00530E7A">
        <w:t xml:space="preserve"> % a</w:t>
      </w:r>
      <w:r w:rsidR="009B68C2">
        <w:t xml:space="preserve"> </w:t>
      </w:r>
      <w:r w:rsidRPr="00530E7A">
        <w:t>meziročně o</w:t>
      </w:r>
      <w:r w:rsidR="006B52B6">
        <w:t> </w:t>
      </w:r>
      <w:r w:rsidRPr="00530E7A">
        <w:t>2,</w:t>
      </w:r>
      <w:r w:rsidR="006B52B6">
        <w:t>6</w:t>
      </w:r>
      <w:r w:rsidRPr="00530E7A">
        <w:t xml:space="preserve"> %.</w:t>
      </w:r>
    </w:p>
    <w:p w:rsidRPr="00530E7A" w:rsidR="00530E7A" w:rsidP="00530E7A" w:rsidRDefault="00530E7A" w14:paraId="345D070E" w14:textId="64BA4FB1">
      <w:pPr>
        <w:jc w:val="left"/>
      </w:pPr>
      <w:r w:rsidRPr="00530E7A">
        <w:t>Objem mzdových nákladů</w:t>
      </w:r>
      <w:r w:rsidRPr="00530E7A" w:rsidR="00DC532F">
        <w:rPr>
          <w:vertAlign w:val="superscript"/>
        </w:rPr>
        <w:footnoteReference w:id="4"/>
      </w:r>
      <w:r>
        <w:t xml:space="preserve"> </w:t>
      </w:r>
      <w:r w:rsidRPr="00530E7A">
        <w:t>v</w:t>
      </w:r>
      <w:r w:rsidR="008A4314">
        <w:t>e</w:t>
      </w:r>
      <w:r w:rsidRPr="00530E7A">
        <w:t xml:space="preserve"> </w:t>
      </w:r>
      <w:r w:rsidR="008A4314">
        <w:t>2</w:t>
      </w:r>
      <w:r w:rsidRPr="00530E7A">
        <w:t xml:space="preserve">. čtvrtletí vzrostl meziročně o </w:t>
      </w:r>
      <w:r w:rsidR="005C5C34">
        <w:t>7</w:t>
      </w:r>
      <w:r w:rsidRPr="00530E7A">
        <w:t>,</w:t>
      </w:r>
      <w:r w:rsidR="005C5C34">
        <w:t>1</w:t>
      </w:r>
      <w:r w:rsidRPr="00530E7A">
        <w:t xml:space="preserve"> %.</w:t>
      </w:r>
    </w:p>
    <w:p w:rsidRPr="00530E7A" w:rsidR="00530E7A" w:rsidP="00530E7A" w:rsidRDefault="00530E7A" w14:paraId="6FE461AD" w14:textId="0D3A6755">
      <w:pPr>
        <w:jc w:val="left"/>
      </w:pPr>
      <w:r w:rsidRPr="00530E7A">
        <w:rPr>
          <w:b/>
        </w:rPr>
        <w:t>Celková zaměstnanost</w:t>
      </w:r>
      <w:r w:rsidRPr="00530E7A">
        <w:rPr>
          <w:vertAlign w:val="superscript"/>
        </w:rPr>
        <w:footnoteReference w:id="5"/>
      </w:r>
      <w:r w:rsidRPr="00530E7A">
        <w:t xml:space="preserve"> </w:t>
      </w:r>
      <w:r w:rsidRPr="00530E7A" w:rsidR="005C5C34">
        <w:t xml:space="preserve">vzrostla </w:t>
      </w:r>
      <w:r w:rsidRPr="00530E7A">
        <w:t>v porovnání s předchozím čtvrtletím o 0,</w:t>
      </w:r>
      <w:r w:rsidR="005C5C34">
        <w:t>9</w:t>
      </w:r>
      <w:r w:rsidRPr="00530E7A">
        <w:t xml:space="preserve"> % a meziročně o 1,</w:t>
      </w:r>
      <w:r w:rsidR="005C5C34">
        <w:t>5</w:t>
      </w:r>
      <w:r w:rsidRPr="00530E7A">
        <w:t xml:space="preserve"> %. Celkový počet odpracovaných hodin </w:t>
      </w:r>
      <w:r w:rsidR="005C5C34">
        <w:t>vzrostl</w:t>
      </w:r>
      <w:r w:rsidRPr="00530E7A">
        <w:t xml:space="preserve"> </w:t>
      </w:r>
      <w:proofErr w:type="spellStart"/>
      <w:r w:rsidRPr="00530E7A">
        <w:t>mezičtvrtletně</w:t>
      </w:r>
      <w:proofErr w:type="spellEnd"/>
      <w:r w:rsidRPr="00530E7A">
        <w:t xml:space="preserve"> o 0,</w:t>
      </w:r>
      <w:r w:rsidR="005C5C34">
        <w:t>7</w:t>
      </w:r>
      <w:r w:rsidRPr="00530E7A">
        <w:t xml:space="preserve"> % a meziročně o </w:t>
      </w:r>
      <w:r w:rsidR="005C5C34">
        <w:t>2</w:t>
      </w:r>
      <w:r w:rsidRPr="00530E7A">
        <w:t>,</w:t>
      </w:r>
      <w:r w:rsidR="005C5C34">
        <w:t>8</w:t>
      </w:r>
      <w:r w:rsidRPr="00530E7A">
        <w:t xml:space="preserve"> %.</w:t>
      </w:r>
    </w:p>
    <w:p w:rsidR="00AB05B3" w:rsidP="00580269" w:rsidRDefault="00AB05B3" w14:paraId="5264413E" w14:textId="6EC1C380">
      <w:pPr>
        <w:pStyle w:val="Poznmky"/>
        <w:tabs>
          <w:tab w:val="left" w:pos="284"/>
        </w:tabs>
        <w:spacing w:before="600"/>
        <w:ind w:left="4253" w:hanging="4253"/>
      </w:pPr>
      <w:r>
        <w:t>Poznámky:</w:t>
      </w:r>
    </w:p>
    <w:p w:rsidR="00580269" w:rsidP="00580269" w:rsidRDefault="00580269" w14:paraId="569AF6EB" w14:textId="4EE8C1EB">
      <w:pPr>
        <w:pStyle w:val="Poznmky"/>
        <w:tabs>
          <w:tab w:val="left" w:pos="284"/>
        </w:tabs>
        <w:spacing w:before="600"/>
        <w:ind w:left="4253" w:hanging="4253"/>
        <w:rPr>
          <w:i w:val="0"/>
        </w:rPr>
      </w:pPr>
      <w:r>
        <w:t>Zodpovědný vedoucí pracovník</w:t>
      </w:r>
      <w:r w:rsidRPr="00304ECA">
        <w:t>:</w:t>
      </w:r>
      <w:r w:rsidRPr="00304ECA">
        <w:tab/>
      </w:r>
      <w:r>
        <w:t>Ing. Vladimír Kermiet</w:t>
      </w:r>
      <w:r w:rsidRPr="00304ECA">
        <w:t xml:space="preserve">, ředitel </w:t>
      </w:r>
      <w:r>
        <w:t>o</w:t>
      </w:r>
      <w:r w:rsidRPr="00304ECA">
        <w:t xml:space="preserve">dboru národních </w:t>
      </w:r>
      <w:r>
        <w:t>účtů, tel. </w:t>
      </w:r>
      <w:r w:rsidRPr="00304ECA">
        <w:t>274 05</w:t>
      </w:r>
      <w:r>
        <w:t>4 247</w:t>
      </w:r>
      <w:r w:rsidRPr="00304ECA">
        <w:t>,</w:t>
      </w:r>
      <w:r>
        <w:t xml:space="preserve"> e</w:t>
      </w:r>
      <w:r>
        <w:noBreakHyphen/>
      </w:r>
      <w:r>
        <w:t>mail: </w:t>
      </w:r>
      <w:hyperlink w:history="1" r:id="rId12">
        <w:r w:rsidRPr="000707CE">
          <w:rPr>
            <w:rStyle w:val="Hyperlink"/>
          </w:rPr>
          <w:t>vladimir.kermiet@csu.gov.cz</w:t>
        </w:r>
      </w:hyperlink>
    </w:p>
    <w:p w:rsidR="00530E7A" w:rsidP="00530E7A" w:rsidRDefault="00580269" w14:paraId="47B6716C" w14:textId="3D2A2822">
      <w:pPr>
        <w:pStyle w:val="Poznamkytexty"/>
        <w:ind w:left="4253" w:hanging="4253"/>
        <w:jc w:val="left"/>
      </w:pPr>
      <w:r>
        <w:t>Kontaktní osoba:</w:t>
      </w:r>
      <w:r>
        <w:tab/>
      </w:r>
      <w:r>
        <w:t>Ing. Jan Benedikt</w:t>
      </w:r>
      <w:r w:rsidRPr="00315471">
        <w:t xml:space="preserve">, </w:t>
      </w:r>
      <w:r>
        <w:t xml:space="preserve">vedoucí oddělení čtvrtletních odhadů, </w:t>
      </w:r>
      <w:r w:rsidRPr="00315471">
        <w:t>tel.</w:t>
      </w:r>
      <w:r>
        <w:t> </w:t>
      </w:r>
      <w:r w:rsidRPr="00315471">
        <w:t>274 052 750, e</w:t>
      </w:r>
      <w:r w:rsidRPr="00315471">
        <w:noBreakHyphen/>
      </w:r>
      <w:r w:rsidRPr="00315471">
        <w:t>mail:  </w:t>
      </w:r>
      <w:hyperlink w:history="1" r:id="rId13">
        <w:r>
          <w:rPr>
            <w:rStyle w:val="Hyperlink"/>
          </w:rPr>
          <w:t>jan.benedikt@csu.gov.cz</w:t>
        </w:r>
      </w:hyperlink>
    </w:p>
    <w:p w:rsidR="00530E7A" w:rsidP="00530E7A" w:rsidRDefault="00580269" w14:paraId="4867CC71" w14:textId="760C0CA8">
      <w:pPr>
        <w:pStyle w:val="Poznamkytexty"/>
        <w:ind w:left="4253" w:hanging="4253"/>
      </w:pPr>
      <w:r>
        <w:t>Aktuálnost použitých datových zdrojů</w:t>
      </w:r>
      <w:r w:rsidRPr="00B13ABB">
        <w:t>:</w:t>
      </w:r>
      <w:r w:rsidRPr="00B13ABB">
        <w:tab/>
      </w:r>
      <w:r>
        <w:t>2</w:t>
      </w:r>
      <w:r w:rsidR="00904EEC">
        <w:t>4</w:t>
      </w:r>
      <w:r>
        <w:t xml:space="preserve">. </w:t>
      </w:r>
      <w:r w:rsidR="00530E7A">
        <w:t>srpna</w:t>
      </w:r>
      <w:r>
        <w:t xml:space="preserve"> 2026</w:t>
      </w:r>
    </w:p>
    <w:p w:rsidRPr="00530E7A" w:rsidR="00530E7A" w:rsidP="00530E7A" w:rsidRDefault="00530E7A" w14:paraId="7D792C1B" w14:textId="386CFE62">
      <w:pPr>
        <w:pStyle w:val="Poznamkytexty"/>
        <w:ind w:left="4253" w:hanging="4253"/>
        <w:rPr>
          <w:rStyle w:val="Hyperlink"/>
          <w:color w:val="000000"/>
          <w:u w:val="none"/>
        </w:rPr>
      </w:pPr>
      <w:r w:rsidRPr="00FE1D62">
        <w:t>Časové řady:</w:t>
      </w:r>
      <w:r w:rsidRPr="00FE1D62">
        <w:tab/>
      </w:r>
      <w:hyperlink w:history="1" r:id="rId14">
        <w:r>
          <w:rPr>
            <w:rStyle w:val="Hyperlink"/>
          </w:rPr>
          <w:t>https://apl.czso.cz/pll/rocenka/</w:t>
        </w:r>
      </w:hyperlink>
    </w:p>
    <w:p w:rsidRPr="00D9330E" w:rsidR="00580269" w:rsidP="00580269" w:rsidRDefault="00580269" w14:paraId="19D9BFCA" w14:textId="4039D697">
      <w:pPr>
        <w:pStyle w:val="Poznamkytexty"/>
        <w:ind w:left="4253" w:hanging="4253"/>
        <w:rPr>
          <w:color w:val="auto"/>
        </w:rPr>
      </w:pPr>
      <w:r>
        <w:t>Internetové stránky ČSÚ</w:t>
      </w:r>
      <w:r w:rsidRPr="00B13ABB">
        <w:t>:</w:t>
      </w:r>
      <w:r w:rsidRPr="00B13ABB">
        <w:tab/>
      </w:r>
      <w:hyperlink w:history="1" r:id="rId15">
        <w:r>
          <w:rPr>
            <w:rStyle w:val="Hyperlink"/>
          </w:rPr>
          <w:t>https://csu.gov.cz/ctvrtletni-odhady-hdp</w:t>
        </w:r>
      </w:hyperlink>
      <w:r>
        <w:rPr>
          <w:color w:val="auto"/>
        </w:rPr>
        <w:t xml:space="preserve"> </w:t>
      </w:r>
    </w:p>
    <w:p w:rsidR="00070445" w:rsidP="00AB05B3" w:rsidRDefault="00580269" w14:paraId="4711C349" w14:textId="1A75E63C">
      <w:pPr>
        <w:pStyle w:val="Poznamkytexty"/>
        <w:ind w:left="4253" w:hanging="4253"/>
        <w:jc w:val="left"/>
        <w:rPr>
          <w:i w:val="0"/>
        </w:rPr>
      </w:pPr>
      <w:r>
        <w:t>Termín zveřejnění další RI:</w:t>
      </w:r>
      <w:r>
        <w:tab/>
      </w:r>
      <w:r w:rsidR="00F93E59">
        <w:t>30</w:t>
      </w:r>
      <w:r>
        <w:t xml:space="preserve">. </w:t>
      </w:r>
      <w:r w:rsidR="00F93E59">
        <w:t>října</w:t>
      </w:r>
      <w:r>
        <w:t xml:space="preserve"> 2026 </w:t>
      </w:r>
      <w:r>
        <w:br/>
      </w:r>
      <w:r>
        <w:t>(</w:t>
      </w:r>
      <w:r w:rsidRPr="00FE1D62" w:rsidR="00F93E59">
        <w:t xml:space="preserve">Předběžný odhad HDP za </w:t>
      </w:r>
      <w:r w:rsidR="00F93E59">
        <w:t>3</w:t>
      </w:r>
      <w:r w:rsidRPr="00FE1D62" w:rsidR="00F93E59">
        <w:t>. čtvrtletí 20</w:t>
      </w:r>
      <w:r w:rsidR="00F93E59">
        <w:t>26</w:t>
      </w:r>
      <w:r>
        <w:t>)</w:t>
      </w:r>
    </w:p>
    <w:sectPr w:rsidR="00070445" w:rsidSect="00BE2E0B">
      <w:headerReference w:type="default" r:id="rId16"/>
      <w:footerReference w:type="default" r:id="rId17"/>
      <w:pgSz w:w="11906" w:h="16838" w:orient="portrait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0277" w:rsidP="004A01A7" w:rsidRDefault="00090277" w14:paraId="23263061" w14:textId="77777777">
      <w:pPr>
        <w:spacing w:after="0" w:line="240" w:lineRule="auto"/>
      </w:pPr>
      <w:r>
        <w:separator/>
      </w:r>
    </w:p>
  </w:endnote>
  <w:endnote w:type="continuationSeparator" w:id="0">
    <w:p w:rsidR="00090277" w:rsidP="004A01A7" w:rsidRDefault="00090277" w14:paraId="1ECA3BD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7CC" w:rsidP="00F21B6A" w:rsidRDefault="006A57CC" w14:paraId="427ADC06" w14:textId="77777777">
    <w:pPr>
      <w:pStyle w:val="Footer"/>
    </w:pPr>
    <w:r w:rsidRPr="006A57CC">
      <w:t>Český statistický úřad</w:t>
    </w:r>
  </w:p>
  <w:p w:rsidR="00F21B6A" w:rsidP="00F21B6A" w:rsidRDefault="00CB5768" w14:paraId="7E57B382" w14:textId="77777777">
    <w:pPr>
      <w:pStyle w:val="Footer"/>
    </w:pPr>
    <w:r w:rsidRPr="00CB5768">
      <w:t>Oddělení informačních služeb – ústředí</w:t>
    </w:r>
    <w:r w:rsidR="00F21B6A">
      <w:tab/>
    </w:r>
    <w:r w:rsidR="00F21B6A">
      <w:tab/>
    </w:r>
    <w:r w:rsidRPr="008B0E87" w:rsidR="00F21B6A">
      <w:rPr>
        <w:spacing w:val="20"/>
      </w:rPr>
      <w:fldChar w:fldCharType="begin"/>
    </w:r>
    <w:r w:rsidRPr="008B0E87" w:rsidR="00F21B6A">
      <w:rPr>
        <w:spacing w:val="20"/>
      </w:rPr>
      <w:instrText>PAGE</w:instrText>
    </w:r>
    <w:r w:rsidRPr="008B0E87" w:rsidR="00F21B6A">
      <w:rPr>
        <w:spacing w:val="20"/>
      </w:rPr>
      <w:fldChar w:fldCharType="separate"/>
    </w:r>
    <w:r w:rsidR="00F21B6A">
      <w:rPr>
        <w:spacing w:val="20"/>
      </w:rPr>
      <w:t>1</w:t>
    </w:r>
    <w:r w:rsidRPr="008B0E87" w:rsidR="00F21B6A">
      <w:rPr>
        <w:spacing w:val="20"/>
      </w:rPr>
      <w:fldChar w:fldCharType="end"/>
    </w:r>
    <w:r w:rsidRPr="008B0E87" w:rsidR="00F21B6A">
      <w:rPr>
        <w:spacing w:val="20"/>
      </w:rPr>
      <w:t>/</w:t>
    </w:r>
    <w:r w:rsidRPr="008B0E87" w:rsidR="00F21B6A">
      <w:rPr>
        <w:spacing w:val="20"/>
      </w:rPr>
      <w:fldChar w:fldCharType="begin"/>
    </w:r>
    <w:r w:rsidRPr="008B0E87" w:rsidR="00F21B6A">
      <w:rPr>
        <w:spacing w:val="20"/>
      </w:rPr>
      <w:instrText>NUMPAGES</w:instrText>
    </w:r>
    <w:r w:rsidRPr="008B0E87" w:rsidR="00F21B6A">
      <w:rPr>
        <w:spacing w:val="20"/>
      </w:rPr>
      <w:fldChar w:fldCharType="separate"/>
    </w:r>
    <w:r w:rsidR="00F21B6A">
      <w:rPr>
        <w:spacing w:val="20"/>
      </w:rPr>
      <w:t>6</w:t>
    </w:r>
    <w:r w:rsidRPr="008B0E87" w:rsidR="00F21B6A">
      <w:rPr>
        <w:spacing w:val="20"/>
      </w:rPr>
      <w:fldChar w:fldCharType="end"/>
    </w:r>
  </w:p>
  <w:p w:rsidR="00F21B6A" w:rsidP="00F21B6A" w:rsidRDefault="006A57CC" w14:paraId="058E808F" w14:textId="77777777">
    <w:pPr>
      <w:pStyle w:val="Footer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:rsidRPr="00F21B6A" w:rsidR="004A01A7" w:rsidP="00F21B6A" w:rsidRDefault="00CB5768" w14:paraId="46E6AB04" w14:textId="77777777">
    <w:pPr>
      <w:pStyle w:val="Footer"/>
    </w:pPr>
    <w:r w:rsidRPr="00CB5768">
      <w:t>T: +420 274 056 789, E: infoservis@csu.gov.cz</w:t>
    </w:r>
    <w:r w:rsidR="00F21B6A">
      <w:tab/>
    </w:r>
    <w:r w:rsidR="00F21B6A">
      <w:tab/>
    </w:r>
    <w:hyperlink w:history="1" r:id="rId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0277" w:rsidP="004A01A7" w:rsidRDefault="00090277" w14:paraId="4C20D2CC" w14:textId="77777777">
      <w:pPr>
        <w:spacing w:after="0" w:line="240" w:lineRule="auto"/>
      </w:pPr>
      <w:r>
        <w:t>_________________________________________________________________________________</w:t>
      </w:r>
    </w:p>
  </w:footnote>
  <w:footnote w:type="continuationSeparator" w:id="0">
    <w:p w:rsidR="00090277" w:rsidP="004A01A7" w:rsidRDefault="00090277" w14:paraId="190746B5" w14:textId="77777777">
      <w:pPr>
        <w:spacing w:after="0" w:line="240" w:lineRule="auto"/>
      </w:pPr>
      <w:r>
        <w:continuationSeparator/>
      </w:r>
    </w:p>
  </w:footnote>
  <w:footnote w:id="1">
    <w:p w:rsidRPr="00652020" w:rsidR="00530E7A" w:rsidP="00530E7A" w:rsidRDefault="00530E7A" w14:paraId="12FC9CA9" w14:textId="77777777">
      <w:pPr>
        <w:pStyle w:val="FootnoteText"/>
        <w:spacing w:after="60"/>
        <w:jc w:val="both"/>
        <w:rPr>
          <w:rFonts w:ascii="Arial" w:hAnsi="Arial" w:cs="Arial"/>
          <w:i/>
        </w:rPr>
      </w:pPr>
      <w:r w:rsidRPr="00652020">
        <w:rPr>
          <w:rStyle w:val="FootnoteReference"/>
          <w:rFonts w:ascii="Arial" w:hAnsi="Arial" w:cs="Arial"/>
          <w:i/>
        </w:rPr>
        <w:footnoteRef/>
      </w:r>
      <w:r w:rsidRPr="00652020">
        <w:rPr>
          <w:rFonts w:ascii="Arial" w:hAnsi="Arial" w:cs="Arial"/>
          <w:i/>
        </w:rPr>
        <w:t xml:space="preserve"> </w:t>
      </w:r>
      <w:r w:rsidRPr="00652020">
        <w:rPr>
          <w:rFonts w:ascii="Arial" w:hAnsi="Arial" w:cs="Arial"/>
          <w:i/>
          <w:sz w:val="18"/>
          <w:szCs w:val="18"/>
        </w:rPr>
        <w:t>Pokud není uvedeno jinak, jsou všechny uváděné údaje očištěny o změny cen, sezónní vlivy a nestejný počet pracovních dnů</w:t>
      </w:r>
      <w:r>
        <w:rPr>
          <w:rFonts w:ascii="Arial" w:hAnsi="Arial" w:cs="Arial"/>
          <w:i/>
          <w:sz w:val="18"/>
          <w:szCs w:val="18"/>
        </w:rPr>
        <w:t>.</w:t>
      </w:r>
    </w:p>
  </w:footnote>
  <w:footnote w:id="2">
    <w:p w:rsidRPr="00403FFD" w:rsidR="00530E7A" w:rsidP="00530E7A" w:rsidRDefault="00530E7A" w14:paraId="0012B7F8" w14:textId="77777777">
      <w:pPr>
        <w:pStyle w:val="FootnoteText"/>
        <w:spacing w:line="288" w:lineRule="auto"/>
        <w:rPr>
          <w:rFonts w:ascii="Arial" w:hAnsi="Arial" w:cs="Arial"/>
          <w:i/>
          <w:sz w:val="18"/>
          <w:szCs w:val="18"/>
        </w:rPr>
      </w:pPr>
      <w:r w:rsidRPr="00403FFD">
        <w:rPr>
          <w:rStyle w:val="FootnoteReference"/>
          <w:rFonts w:ascii="Arial" w:hAnsi="Arial" w:cs="Arial"/>
          <w:i/>
        </w:rPr>
        <w:footnoteRef/>
      </w:r>
      <w:r w:rsidRPr="00403FFD">
        <w:rPr>
          <w:rFonts w:ascii="Arial" w:hAnsi="Arial" w:cs="Arial"/>
          <w:i/>
        </w:rPr>
        <w:t xml:space="preserve"> </w:t>
      </w:r>
      <w:r w:rsidRPr="00403FFD">
        <w:rPr>
          <w:rFonts w:ascii="Arial" w:hAnsi="Arial" w:cs="Arial"/>
          <w:i/>
          <w:sz w:val="18"/>
          <w:szCs w:val="18"/>
        </w:rPr>
        <w:t xml:space="preserve">Příspěvky k růstu </w:t>
      </w:r>
      <w:r>
        <w:rPr>
          <w:rFonts w:ascii="Arial" w:hAnsi="Arial" w:cs="Arial"/>
          <w:i/>
          <w:sz w:val="18"/>
          <w:szCs w:val="18"/>
        </w:rPr>
        <w:t xml:space="preserve">HDP </w:t>
      </w:r>
      <w:r w:rsidRPr="00403FFD">
        <w:rPr>
          <w:rFonts w:ascii="Arial" w:hAnsi="Arial" w:cs="Arial"/>
          <w:i/>
          <w:sz w:val="18"/>
          <w:szCs w:val="18"/>
        </w:rPr>
        <w:t xml:space="preserve">po vyloučení dovozu </w:t>
      </w:r>
      <w:r>
        <w:rPr>
          <w:rFonts w:ascii="Arial" w:hAnsi="Arial" w:cs="Arial"/>
          <w:i/>
          <w:sz w:val="18"/>
          <w:szCs w:val="18"/>
        </w:rPr>
        <w:t>pro konečné užití, pokud není uvedeno jinak.</w:t>
      </w:r>
    </w:p>
  </w:footnote>
  <w:footnote w:id="3">
    <w:p w:rsidR="00530E7A" w:rsidP="00530E7A" w:rsidRDefault="00530E7A" w14:paraId="69285DE3" w14:textId="77777777">
      <w:pPr>
        <w:pStyle w:val="FootnoteText"/>
      </w:pPr>
      <w:r w:rsidRPr="00DA73C5">
        <w:rPr>
          <w:rStyle w:val="FootnoteReference"/>
          <w:rFonts w:ascii="Arial" w:hAnsi="Arial" w:cs="Arial"/>
          <w:i/>
          <w:sz w:val="18"/>
          <w:szCs w:val="18"/>
        </w:rPr>
        <w:footnoteRef/>
      </w:r>
      <w:r w:rsidRPr="00DA73C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V běžných cenách, neočištěno o sezónní vlivy.</w:t>
      </w:r>
    </w:p>
  </w:footnote>
  <w:footnote w:id="4">
    <w:p w:rsidRPr="00877248" w:rsidR="00DC532F" w:rsidP="00DC532F" w:rsidRDefault="00DC532F" w14:paraId="2D55F448" w14:textId="51B79F12">
      <w:pPr>
        <w:pStyle w:val="FootnoteText"/>
        <w:spacing w:line="288" w:lineRule="auto"/>
        <w:rPr>
          <w:rFonts w:ascii="Arial" w:hAnsi="Arial" w:cs="Arial"/>
          <w:i/>
          <w:sz w:val="22"/>
        </w:rPr>
      </w:pPr>
      <w:r w:rsidRPr="00877248">
        <w:rPr>
          <w:rStyle w:val="FootnoteReference"/>
          <w:rFonts w:ascii="Arial" w:hAnsi="Arial" w:cs="Arial"/>
          <w:i/>
          <w:sz w:val="18"/>
        </w:rPr>
        <w:footnoteRef/>
      </w:r>
      <w:r w:rsidRPr="00877248">
        <w:rPr>
          <w:rFonts w:ascii="Arial" w:hAnsi="Arial" w:cs="Arial"/>
          <w:i/>
          <w:sz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V běžných cenách, neočištěno o sezónní vlivy.</w:t>
      </w:r>
    </w:p>
  </w:footnote>
  <w:footnote w:id="5">
    <w:p w:rsidRPr="00877248" w:rsidR="00530E7A" w:rsidP="00530E7A" w:rsidRDefault="00530E7A" w14:paraId="4CA6C188" w14:textId="77777777">
      <w:pPr>
        <w:pStyle w:val="FootnoteText"/>
        <w:spacing w:line="288" w:lineRule="auto"/>
        <w:rPr>
          <w:rFonts w:ascii="Arial" w:hAnsi="Arial" w:cs="Arial"/>
          <w:i/>
          <w:sz w:val="22"/>
        </w:rPr>
      </w:pPr>
      <w:r w:rsidRPr="00877248">
        <w:rPr>
          <w:rStyle w:val="FootnoteReference"/>
          <w:rFonts w:ascii="Arial" w:hAnsi="Arial" w:cs="Arial"/>
          <w:i/>
          <w:sz w:val="18"/>
        </w:rPr>
        <w:footnoteRef/>
      </w:r>
      <w:r w:rsidRPr="00877248">
        <w:rPr>
          <w:rFonts w:ascii="Arial" w:hAnsi="Arial" w:cs="Arial"/>
          <w:i/>
          <w:sz w:val="18"/>
        </w:rPr>
        <w:t xml:space="preserve"> </w:t>
      </w:r>
      <w:r>
        <w:rPr>
          <w:rFonts w:ascii="Arial" w:hAnsi="Arial" w:cs="Arial"/>
          <w:i/>
          <w:sz w:val="18"/>
        </w:rPr>
        <w:t>Počet osob v</w:t>
      </w:r>
      <w:r w:rsidRPr="00877248">
        <w:rPr>
          <w:rFonts w:ascii="Arial" w:hAnsi="Arial" w:cs="Arial"/>
          <w:i/>
          <w:sz w:val="18"/>
        </w:rPr>
        <w:t> pojetí národních účtů.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:rsidTr="00F21B6A" w14:paraId="08007BFC" w14:textId="77777777">
      <w:trPr>
        <w:jc w:val="right"/>
      </w:trPr>
      <w:tc>
        <w:tcPr>
          <w:tcW w:w="4253" w:type="dxa"/>
        </w:tcPr>
        <w:p w:rsidR="003208E6" w:rsidP="00C063DD" w:rsidRDefault="001510FA" w14:paraId="649A2168" w14:textId="77777777">
          <w:pPr>
            <w:pStyle w:val="Heading3"/>
            <w:spacing w:before="0"/>
            <w:jc w:val="right"/>
          </w:pPr>
          <w:r w:rsidRPr="001510FA">
            <w:t>Rychlá informace</w:t>
          </w:r>
        </w:p>
      </w:tc>
    </w:tr>
  </w:tbl>
  <w:p w:rsidR="004A01A7" w:rsidP="00550B36" w:rsidRDefault="00811964" w14:paraId="15A126ED" w14:textId="1323CB13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19AABCC2">
          <wp:simplePos x="0" y="0"/>
          <wp:positionH relativeFrom="page">
            <wp:posOffset>485775</wp:posOffset>
          </wp:positionH>
          <wp:positionV relativeFrom="page">
            <wp:posOffset>360045</wp:posOffset>
          </wp:positionV>
          <wp:extent cx="1602000" cy="792000"/>
          <wp:effectExtent l="0" t="0" r="0" b="8255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hint="default" w:ascii="Arial" w:hAnsi="Arial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hint="default" w:ascii="Arial" w:hAnsi="Arial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hint="default" w:ascii="Arial" w:hAnsi="Arial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hint="default" w:ascii="Arial" w:hAnsi="Arial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hint="default" w:ascii="Arial" w:hAnsi="Arial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hint="default" w:ascii="Arial" w:hAnsi="Arial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web"/>
  <w:zoom w:percent="184"/>
  <w:trackRevisions w:val="true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69"/>
    <w:rsid w:val="00007634"/>
    <w:rsid w:val="000106FE"/>
    <w:rsid w:val="000120B4"/>
    <w:rsid w:val="0002560E"/>
    <w:rsid w:val="0002624A"/>
    <w:rsid w:val="00032CCE"/>
    <w:rsid w:val="00035F16"/>
    <w:rsid w:val="00041598"/>
    <w:rsid w:val="00043335"/>
    <w:rsid w:val="00054392"/>
    <w:rsid w:val="0005510C"/>
    <w:rsid w:val="00062565"/>
    <w:rsid w:val="00070445"/>
    <w:rsid w:val="00071F0F"/>
    <w:rsid w:val="00083A55"/>
    <w:rsid w:val="00084468"/>
    <w:rsid w:val="00085436"/>
    <w:rsid w:val="00090277"/>
    <w:rsid w:val="00090918"/>
    <w:rsid w:val="000968A9"/>
    <w:rsid w:val="000A1765"/>
    <w:rsid w:val="000A57D7"/>
    <w:rsid w:val="000B3168"/>
    <w:rsid w:val="000B4F0B"/>
    <w:rsid w:val="000C11F2"/>
    <w:rsid w:val="000C2452"/>
    <w:rsid w:val="000C67FA"/>
    <w:rsid w:val="000C68F4"/>
    <w:rsid w:val="000D2954"/>
    <w:rsid w:val="000D5C58"/>
    <w:rsid w:val="000E00C3"/>
    <w:rsid w:val="000E2CEC"/>
    <w:rsid w:val="000E3099"/>
    <w:rsid w:val="000F141D"/>
    <w:rsid w:val="000F2DAF"/>
    <w:rsid w:val="000F5A54"/>
    <w:rsid w:val="00102994"/>
    <w:rsid w:val="0010606B"/>
    <w:rsid w:val="00116AEC"/>
    <w:rsid w:val="00134D21"/>
    <w:rsid w:val="00134F2B"/>
    <w:rsid w:val="00135EBB"/>
    <w:rsid w:val="001363A5"/>
    <w:rsid w:val="00137B85"/>
    <w:rsid w:val="00140402"/>
    <w:rsid w:val="00141449"/>
    <w:rsid w:val="00146A2A"/>
    <w:rsid w:val="00150150"/>
    <w:rsid w:val="0015074B"/>
    <w:rsid w:val="001510FA"/>
    <w:rsid w:val="00160FEB"/>
    <w:rsid w:val="00164790"/>
    <w:rsid w:val="001712FE"/>
    <w:rsid w:val="00171B3E"/>
    <w:rsid w:val="00175680"/>
    <w:rsid w:val="001909FA"/>
    <w:rsid w:val="0019514E"/>
    <w:rsid w:val="001D04FA"/>
    <w:rsid w:val="001D52C5"/>
    <w:rsid w:val="001D719A"/>
    <w:rsid w:val="001E0520"/>
    <w:rsid w:val="001E1B82"/>
    <w:rsid w:val="001E417F"/>
    <w:rsid w:val="001E513B"/>
    <w:rsid w:val="001E5CF9"/>
    <w:rsid w:val="001E691A"/>
    <w:rsid w:val="001E711A"/>
    <w:rsid w:val="001E7E1A"/>
    <w:rsid w:val="001F493F"/>
    <w:rsid w:val="002000F6"/>
    <w:rsid w:val="00200551"/>
    <w:rsid w:val="002013B0"/>
    <w:rsid w:val="0020716F"/>
    <w:rsid w:val="00216463"/>
    <w:rsid w:val="00222610"/>
    <w:rsid w:val="002232E9"/>
    <w:rsid w:val="002234D1"/>
    <w:rsid w:val="0022586D"/>
    <w:rsid w:val="0023306D"/>
    <w:rsid w:val="002363CA"/>
    <w:rsid w:val="0024676C"/>
    <w:rsid w:val="00250A6B"/>
    <w:rsid w:val="00260DCA"/>
    <w:rsid w:val="00271786"/>
    <w:rsid w:val="00275B42"/>
    <w:rsid w:val="00280346"/>
    <w:rsid w:val="00280D21"/>
    <w:rsid w:val="0028101B"/>
    <w:rsid w:val="002826B4"/>
    <w:rsid w:val="0028623A"/>
    <w:rsid w:val="00293F29"/>
    <w:rsid w:val="00297C33"/>
    <w:rsid w:val="002B0FF2"/>
    <w:rsid w:val="002C4C20"/>
    <w:rsid w:val="002C5D33"/>
    <w:rsid w:val="002C6D17"/>
    <w:rsid w:val="002D11B9"/>
    <w:rsid w:val="002D5F22"/>
    <w:rsid w:val="002D796B"/>
    <w:rsid w:val="002F7004"/>
    <w:rsid w:val="0030061B"/>
    <w:rsid w:val="00302F4A"/>
    <w:rsid w:val="00303A0E"/>
    <w:rsid w:val="00307360"/>
    <w:rsid w:val="003206E7"/>
    <w:rsid w:val="003208E6"/>
    <w:rsid w:val="0032285E"/>
    <w:rsid w:val="003351B8"/>
    <w:rsid w:val="00342E5E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966"/>
    <w:rsid w:val="003A4770"/>
    <w:rsid w:val="003A7E6A"/>
    <w:rsid w:val="003B4354"/>
    <w:rsid w:val="003B582A"/>
    <w:rsid w:val="003C027F"/>
    <w:rsid w:val="003C07AC"/>
    <w:rsid w:val="003C3F6A"/>
    <w:rsid w:val="003D2BE1"/>
    <w:rsid w:val="003D639F"/>
    <w:rsid w:val="003E0572"/>
    <w:rsid w:val="003E3910"/>
    <w:rsid w:val="003E6369"/>
    <w:rsid w:val="003E6397"/>
    <w:rsid w:val="003F36C7"/>
    <w:rsid w:val="003F54C8"/>
    <w:rsid w:val="003F69B1"/>
    <w:rsid w:val="004027D2"/>
    <w:rsid w:val="0040303E"/>
    <w:rsid w:val="0040632B"/>
    <w:rsid w:val="00407B47"/>
    <w:rsid w:val="004136C9"/>
    <w:rsid w:val="00420F82"/>
    <w:rsid w:val="00421717"/>
    <w:rsid w:val="00426C60"/>
    <w:rsid w:val="00427375"/>
    <w:rsid w:val="00430BB6"/>
    <w:rsid w:val="0043243E"/>
    <w:rsid w:val="00433356"/>
    <w:rsid w:val="00433E54"/>
    <w:rsid w:val="00436EC2"/>
    <w:rsid w:val="00441377"/>
    <w:rsid w:val="00447A3C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E7E0E"/>
    <w:rsid w:val="00500A63"/>
    <w:rsid w:val="005035FE"/>
    <w:rsid w:val="00521746"/>
    <w:rsid w:val="00530E7A"/>
    <w:rsid w:val="00534403"/>
    <w:rsid w:val="00540564"/>
    <w:rsid w:val="00542A56"/>
    <w:rsid w:val="00542CA8"/>
    <w:rsid w:val="005459C0"/>
    <w:rsid w:val="00550B36"/>
    <w:rsid w:val="00553ACE"/>
    <w:rsid w:val="00554067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0269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5C34"/>
    <w:rsid w:val="005C781E"/>
    <w:rsid w:val="005E1724"/>
    <w:rsid w:val="005F5F1E"/>
    <w:rsid w:val="00601C8A"/>
    <w:rsid w:val="00601DFE"/>
    <w:rsid w:val="006051FE"/>
    <w:rsid w:val="00606CF5"/>
    <w:rsid w:val="00607675"/>
    <w:rsid w:val="006114C3"/>
    <w:rsid w:val="006120D2"/>
    <w:rsid w:val="006173E5"/>
    <w:rsid w:val="00626A46"/>
    <w:rsid w:val="00626A74"/>
    <w:rsid w:val="0062750B"/>
    <w:rsid w:val="00637E8B"/>
    <w:rsid w:val="00640E73"/>
    <w:rsid w:val="0064237D"/>
    <w:rsid w:val="00647757"/>
    <w:rsid w:val="00650D3D"/>
    <w:rsid w:val="0066215A"/>
    <w:rsid w:val="0067042F"/>
    <w:rsid w:val="0068636B"/>
    <w:rsid w:val="006950C1"/>
    <w:rsid w:val="0069631F"/>
    <w:rsid w:val="006A4940"/>
    <w:rsid w:val="006A57CC"/>
    <w:rsid w:val="006B52B6"/>
    <w:rsid w:val="006C04EA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575"/>
    <w:rsid w:val="00716F0E"/>
    <w:rsid w:val="00724E67"/>
    <w:rsid w:val="0073040F"/>
    <w:rsid w:val="007371E0"/>
    <w:rsid w:val="00751EB2"/>
    <w:rsid w:val="00754861"/>
    <w:rsid w:val="00765263"/>
    <w:rsid w:val="0077375C"/>
    <w:rsid w:val="00773B0B"/>
    <w:rsid w:val="007761B6"/>
    <w:rsid w:val="00787190"/>
    <w:rsid w:val="007B10A5"/>
    <w:rsid w:val="007C117D"/>
    <w:rsid w:val="007D6A0E"/>
    <w:rsid w:val="007D6F07"/>
    <w:rsid w:val="00801CDD"/>
    <w:rsid w:val="00811964"/>
    <w:rsid w:val="00811D46"/>
    <w:rsid w:val="00817789"/>
    <w:rsid w:val="0082790E"/>
    <w:rsid w:val="008340C9"/>
    <w:rsid w:val="00834A49"/>
    <w:rsid w:val="00837E45"/>
    <w:rsid w:val="0084277E"/>
    <w:rsid w:val="0084449F"/>
    <w:rsid w:val="00851074"/>
    <w:rsid w:val="008541DA"/>
    <w:rsid w:val="00870D3E"/>
    <w:rsid w:val="00877CF1"/>
    <w:rsid w:val="00881BA3"/>
    <w:rsid w:val="00884306"/>
    <w:rsid w:val="00886C22"/>
    <w:rsid w:val="00887956"/>
    <w:rsid w:val="008965C8"/>
    <w:rsid w:val="0089665D"/>
    <w:rsid w:val="008A4314"/>
    <w:rsid w:val="008A4895"/>
    <w:rsid w:val="008B0C28"/>
    <w:rsid w:val="008B0E87"/>
    <w:rsid w:val="008C4A49"/>
    <w:rsid w:val="008D3D81"/>
    <w:rsid w:val="008D405D"/>
    <w:rsid w:val="008D5575"/>
    <w:rsid w:val="008F125B"/>
    <w:rsid w:val="008F533C"/>
    <w:rsid w:val="00904EE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2CA2"/>
    <w:rsid w:val="00983393"/>
    <w:rsid w:val="00984352"/>
    <w:rsid w:val="00985819"/>
    <w:rsid w:val="00985E6B"/>
    <w:rsid w:val="009A389D"/>
    <w:rsid w:val="009B032C"/>
    <w:rsid w:val="009B0804"/>
    <w:rsid w:val="009B68C2"/>
    <w:rsid w:val="009C081A"/>
    <w:rsid w:val="009C0BC3"/>
    <w:rsid w:val="009C2D0E"/>
    <w:rsid w:val="009C31A6"/>
    <w:rsid w:val="009D72AA"/>
    <w:rsid w:val="009E4B81"/>
    <w:rsid w:val="009F3E9D"/>
    <w:rsid w:val="00A132C3"/>
    <w:rsid w:val="00A15A28"/>
    <w:rsid w:val="00A274A1"/>
    <w:rsid w:val="00A3283F"/>
    <w:rsid w:val="00A47859"/>
    <w:rsid w:val="00A55A71"/>
    <w:rsid w:val="00A6268F"/>
    <w:rsid w:val="00A7786D"/>
    <w:rsid w:val="00A851CE"/>
    <w:rsid w:val="00A90CC7"/>
    <w:rsid w:val="00A91166"/>
    <w:rsid w:val="00A91452"/>
    <w:rsid w:val="00A95D0B"/>
    <w:rsid w:val="00AA0C58"/>
    <w:rsid w:val="00AA1D72"/>
    <w:rsid w:val="00AB05B3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0382"/>
    <w:rsid w:val="00B31BB1"/>
    <w:rsid w:val="00B40D87"/>
    <w:rsid w:val="00B43D9B"/>
    <w:rsid w:val="00B47092"/>
    <w:rsid w:val="00B51C8F"/>
    <w:rsid w:val="00B602D0"/>
    <w:rsid w:val="00B62344"/>
    <w:rsid w:val="00B70022"/>
    <w:rsid w:val="00B7165F"/>
    <w:rsid w:val="00B733E5"/>
    <w:rsid w:val="00B759AD"/>
    <w:rsid w:val="00B815CC"/>
    <w:rsid w:val="00B84083"/>
    <w:rsid w:val="00B8724F"/>
    <w:rsid w:val="00B90BD8"/>
    <w:rsid w:val="00B96F18"/>
    <w:rsid w:val="00BA016B"/>
    <w:rsid w:val="00BA64C3"/>
    <w:rsid w:val="00BA6934"/>
    <w:rsid w:val="00BB2466"/>
    <w:rsid w:val="00BB2B9A"/>
    <w:rsid w:val="00BB6195"/>
    <w:rsid w:val="00BB6635"/>
    <w:rsid w:val="00BC1DD9"/>
    <w:rsid w:val="00BC23FF"/>
    <w:rsid w:val="00BC5C99"/>
    <w:rsid w:val="00BD27B2"/>
    <w:rsid w:val="00BE2E0B"/>
    <w:rsid w:val="00BE3BE4"/>
    <w:rsid w:val="00BE5550"/>
    <w:rsid w:val="00BF58C9"/>
    <w:rsid w:val="00BF78F1"/>
    <w:rsid w:val="00C044C1"/>
    <w:rsid w:val="00C063DD"/>
    <w:rsid w:val="00C12B28"/>
    <w:rsid w:val="00C15C5E"/>
    <w:rsid w:val="00C206E5"/>
    <w:rsid w:val="00C21594"/>
    <w:rsid w:val="00C2312D"/>
    <w:rsid w:val="00C240F6"/>
    <w:rsid w:val="00C27B17"/>
    <w:rsid w:val="00C30639"/>
    <w:rsid w:val="00C311A5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8051E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40AF"/>
    <w:rsid w:val="00D066AA"/>
    <w:rsid w:val="00D12AC4"/>
    <w:rsid w:val="00D14629"/>
    <w:rsid w:val="00D15B3B"/>
    <w:rsid w:val="00D20AC3"/>
    <w:rsid w:val="00D32E9C"/>
    <w:rsid w:val="00D4329C"/>
    <w:rsid w:val="00D50FAD"/>
    <w:rsid w:val="00D575CC"/>
    <w:rsid w:val="00D63056"/>
    <w:rsid w:val="00D70040"/>
    <w:rsid w:val="00D7143F"/>
    <w:rsid w:val="00D94E2D"/>
    <w:rsid w:val="00DA0AF4"/>
    <w:rsid w:val="00DA10DB"/>
    <w:rsid w:val="00DA19A7"/>
    <w:rsid w:val="00DC0514"/>
    <w:rsid w:val="00DC532F"/>
    <w:rsid w:val="00DC7792"/>
    <w:rsid w:val="00DD3D93"/>
    <w:rsid w:val="00DD4E3E"/>
    <w:rsid w:val="00DD6689"/>
    <w:rsid w:val="00DF3F66"/>
    <w:rsid w:val="00DF5414"/>
    <w:rsid w:val="00E12747"/>
    <w:rsid w:val="00E14659"/>
    <w:rsid w:val="00E24FEA"/>
    <w:rsid w:val="00E34849"/>
    <w:rsid w:val="00E414DB"/>
    <w:rsid w:val="00E456D4"/>
    <w:rsid w:val="00E47767"/>
    <w:rsid w:val="00E624C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C2292"/>
    <w:rsid w:val="00ED6FEF"/>
    <w:rsid w:val="00EE6D77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30E1E"/>
    <w:rsid w:val="00F34410"/>
    <w:rsid w:val="00F562EF"/>
    <w:rsid w:val="00F5779C"/>
    <w:rsid w:val="00F668A6"/>
    <w:rsid w:val="00F70719"/>
    <w:rsid w:val="00F70F49"/>
    <w:rsid w:val="00F718BF"/>
    <w:rsid w:val="00F837DE"/>
    <w:rsid w:val="00F93E59"/>
    <w:rsid w:val="00F9617B"/>
    <w:rsid w:val="00FA0FB3"/>
    <w:rsid w:val="00FA62EB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  <w:rsid w:val="107A8954"/>
    <w:rsid w:val="305C06AD"/>
    <w:rsid w:val="457B7354"/>
    <w:rsid w:val="47FC45E7"/>
    <w:rsid w:val="55C3D7C2"/>
    <w:rsid w:val="7669CA59"/>
    <w:rsid w:val="7F6B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507F8"/>
  <w15:chartTrackingRefBased/>
  <w15:docId w15:val="{74DFA3AC-EAA1-4474-8127-72A119866D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E7E1A"/>
  </w:style>
  <w:style w:type="paragraph" w:styleId="Heading1">
    <w:name w:val="heading 1"/>
    <w:basedOn w:val="Normal"/>
    <w:next w:val="Normal"/>
    <w:link w:val="Heading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hAnsiTheme="majorHAnsi" w:eastAsiaTheme="majorEastAsia" w:cstheme="majorBidi"/>
      <w:b/>
      <w:bCs/>
      <w:color w:val="D70C0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hAnsiTheme="majorHAnsi" w:eastAsiaTheme="majorEastAsia" w:cstheme="majorBidi"/>
      <w:b/>
      <w:bCs/>
      <w:color w:val="545860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rsid w:val="00200551"/>
    <w:rPr>
      <w:rFonts w:asciiTheme="majorHAnsi" w:hAnsiTheme="majorHAnsi" w:eastAsiaTheme="majorEastAsia" w:cstheme="majorBidi"/>
      <w:b/>
      <w:bCs/>
      <w:color w:val="D70C0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1"/>
    <w:rsid w:val="00C744B6"/>
    <w:rPr>
      <w:rFonts w:asciiTheme="majorHAnsi" w:hAnsiTheme="majorHAnsi" w:eastAsiaTheme="majorEastAsia" w:cstheme="majorBidi"/>
      <w:b/>
      <w:bCs/>
      <w:color w:val="545860" w:themeColor="text2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hAnsiTheme="majorHAnsi" w:eastAsiaTheme="majorEastAsia" w:cstheme="majorBidi"/>
      <w:b/>
      <w:color w:val="545860" w:themeColor="text2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38"/>
    <w:semiHidden/>
    <w:rsid w:val="00DD3D93"/>
    <w:rPr>
      <w:rFonts w:asciiTheme="majorHAnsi" w:hAnsiTheme="majorHAnsi" w:eastAsiaTheme="majorEastAsia" w:cstheme="majorBidi"/>
      <w:b/>
      <w:color w:val="54586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Quote">
    <w:name w:val="Quote"/>
    <w:basedOn w:val="Normal"/>
    <w:link w:val="Quote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12"/>
    <w:rsid w:val="00521746"/>
    <w:rPr>
      <w:i/>
      <w:iCs/>
    </w:rPr>
  </w:style>
  <w:style w:type="paragraph" w:styleId="ListParagraph">
    <w:name w:val="List Paragraph"/>
    <w:basedOn w:val="Normal"/>
    <w:uiPriority w:val="38"/>
    <w:semiHidden/>
    <w:rsid w:val="00AF6E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917C90"/>
    <w:rPr>
      <w:b/>
      <w:i/>
      <w:iCs/>
      <w:color w:val="00459B" w:themeColor="accent1"/>
    </w:rPr>
  </w:style>
  <w:style w:type="paragraph" w:styleId="IntenseQuote">
    <w:name w:val="Intense Quote"/>
    <w:basedOn w:val="NoSpacing"/>
    <w:link w:val="IntenseQuoteChar"/>
    <w:uiPriority w:val="30"/>
    <w:semiHidden/>
    <w:qFormat/>
    <w:rsid w:val="00917C90"/>
    <w:pPr>
      <w:pBdr>
        <w:top w:val="single" w:color="00459B" w:themeColor="accent1" w:sz="4" w:space="10"/>
        <w:bottom w:val="single" w:color="00459B" w:themeColor="accent1" w:sz="4" w:space="10"/>
      </w:pBdr>
      <w:spacing w:before="320" w:after="320"/>
      <w:ind w:left="851" w:right="851"/>
    </w:pPr>
    <w:rPr>
      <w:i/>
      <w:iCs/>
      <w:color w:val="00459B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586756"/>
    <w:rPr>
      <w:i/>
      <w:iCs/>
      <w:color w:val="00459B" w:themeColor="accent1"/>
    </w:rPr>
  </w:style>
  <w:style w:type="character" w:styleId="IntenseReference">
    <w:name w:val="Intense Reference"/>
    <w:basedOn w:val="DefaultParagraphFont"/>
    <w:uiPriority w:val="10"/>
    <w:qFormat/>
    <w:rsid w:val="004573FA"/>
    <w:rPr>
      <w:b/>
      <w:bCs/>
      <w: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styleId="HeaderChar" w:customStyle="1">
    <w:name w:val="Header Char"/>
    <w:basedOn w:val="DefaultParagraphFont"/>
    <w:link w:val="Header"/>
    <w:uiPriority w:val="99"/>
    <w:rsid w:val="003540FA"/>
    <w:rPr>
      <w:color w:val="545860" w:themeColor="accent6"/>
    </w:rPr>
  </w:style>
  <w:style w:type="paragraph" w:styleId="Footer">
    <w:name w:val="footer"/>
    <w:basedOn w:val="Normal"/>
    <w:link w:val="Footer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styleId="FooterChar" w:customStyle="1">
    <w:name w:val="Footer Char"/>
    <w:basedOn w:val="DefaultParagraphFont"/>
    <w:link w:val="Footer"/>
    <w:uiPriority w:val="99"/>
    <w:rsid w:val="00AF06B0"/>
    <w:rPr>
      <w:color w:val="888B95"/>
      <w:sz w:val="16"/>
    </w:rPr>
  </w:style>
  <w:style w:type="table" w:styleId="TableGrid">
    <w:name w:val="Table Grid"/>
    <w:basedOn w:val="TableNormal"/>
    <w:uiPriority w:val="39"/>
    <w:rsid w:val="00FA7B7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dndaje" w:customStyle="1">
    <w:name w:val="Úvodní údaje"/>
    <w:basedOn w:val="Normal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styleId="TabulkaJVS5-navodndaje" w:customStyle="1">
    <w:name w:val="Tabulka JVS 5 - na úvodní údaje"/>
    <w:basedOn w:val="TableNormal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EndnoteReference">
    <w:name w:val="endnote reference"/>
    <w:basedOn w:val="DefaultParagraphFont"/>
    <w:uiPriority w:val="99"/>
    <w:semiHidden/>
    <w:unhideWhenUsed/>
    <w:rsid w:val="002363CA"/>
    <w:rPr>
      <w:vertAlign w:val="superscript"/>
    </w:rPr>
  </w:style>
  <w:style w:type="paragraph" w:styleId="Ministr-funkce" w:customStyle="1">
    <w:name w:val="Ministr - funkce"/>
    <w:basedOn w:val="Normal"/>
    <w:next w:val="Normal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styleId="Ministr-jmno" w:customStyle="1">
    <w:name w:val="Ministr - jméno"/>
    <w:basedOn w:val="Normal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trong">
    <w:name w:val="Strong"/>
    <w:basedOn w:val="DefaultParagraphFont"/>
    <w:uiPriority w:val="6"/>
    <w:qFormat/>
    <w:rsid w:val="004573FA"/>
    <w:rPr>
      <w:b/>
      <w:bCs/>
    </w:rPr>
  </w:style>
  <w:style w:type="character" w:styleId="SubtleReference">
    <w:name w:val="Subtle Reference"/>
    <w:basedOn w:val="DefaultParagraphFont"/>
    <w:uiPriority w:val="9"/>
    <w:qFormat/>
    <w:rsid w:val="004573FA"/>
    <w:rPr>
      <w:caps/>
    </w:rPr>
  </w:style>
  <w:style w:type="character" w:styleId="Hyperlink">
    <w:name w:val="Hyperlink"/>
    <w:basedOn w:val="DefaultParagraphFont"/>
    <w:uiPriority w:val="99"/>
    <w:unhideWhenUsed/>
    <w:rsid w:val="004573FA"/>
    <w:rPr>
      <w:color w:val="0045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11"/>
    <w:qFormat/>
    <w:rsid w:val="004573FA"/>
    <w:rPr>
      <w:b/>
      <w:bCs/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0106FE"/>
    <w:rPr>
      <w:sz w:val="16"/>
    </w:rPr>
  </w:style>
  <w:style w:type="character" w:styleId="FootnoteReference">
    <w:name w:val="footnote reference"/>
    <w:basedOn w:val="DefaultParagraphFont"/>
    <w:semiHidden/>
    <w:unhideWhenUsed/>
    <w:rsid w:val="00D066AA"/>
    <w:rPr>
      <w:vertAlign w:val="superscript"/>
    </w:rPr>
  </w:style>
  <w:style w:type="character" w:styleId="Emphasis">
    <w:name w:val="Emphasis"/>
    <w:basedOn w:val="DefaultParagraphFont"/>
    <w:uiPriority w:val="5"/>
    <w:qFormat/>
    <w:rsid w:val="00164790"/>
    <w:rPr>
      <w:i w:val="0"/>
      <w:iCs/>
      <w:u w:val="single"/>
    </w:rPr>
  </w:style>
  <w:style w:type="character" w:styleId="SubtleEmphasis">
    <w:name w:val="Subtle Emphasis"/>
    <w:basedOn w:val="DefaultParagraphFont"/>
    <w:uiPriority w:val="5"/>
    <w:qFormat/>
    <w:rsid w:val="00164790"/>
    <w:rPr>
      <w:i/>
      <w:iCs/>
    </w:rPr>
  </w:style>
  <w:style w:type="table" w:styleId="TabulkaJVS1-ed" w:customStyle="1">
    <w:name w:val="Tabulka JVS 1 - šedá"/>
    <w:basedOn w:val="TableNormal"/>
    <w:uiPriority w:val="99"/>
    <w:rsid w:val="0084277E"/>
    <w:pPr>
      <w:spacing w:after="0"/>
      <w:jc w:val="left"/>
    </w:pPr>
    <w:tblPr>
      <w:tblBorders>
        <w:top w:val="single" w:color="393B41" w:sz="4" w:space="0"/>
        <w:left w:val="single" w:color="393B41" w:sz="4" w:space="0"/>
        <w:bottom w:val="single" w:color="393B41" w:sz="4" w:space="0"/>
        <w:right w:val="single" w:color="393B41" w:sz="4" w:space="0"/>
        <w:insideH w:val="single" w:color="393B41" w:sz="4" w:space="0"/>
        <w:insideV w:val="single" w:color="393B41" w:sz="4" w:space="0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color="393B41" w:sz="4" w:space="0"/>
          <w:left w:val="single" w:color="393B41" w:sz="4" w:space="0"/>
          <w:bottom w:val="single" w:color="393B41" w:sz="4" w:space="0"/>
          <w:right w:val="single" w:color="393B41" w:sz="4" w:space="0"/>
          <w:insideH w:val="single" w:color="393B41" w:sz="4" w:space="0"/>
          <w:insideV w:val="single" w:color="393B41" w:sz="4" w:space="0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color="393B41" w:sz="12" w:space="0"/>
          <w:left w:val="single" w:color="393B41" w:sz="4" w:space="0"/>
          <w:bottom w:val="single" w:color="393B41" w:sz="4" w:space="0"/>
          <w:right w:val="single" w:color="393B41" w:sz="4" w:space="0"/>
          <w:insideH w:val="single" w:color="393B41" w:sz="4" w:space="0"/>
          <w:insideV w:val="single" w:color="393B41" w:sz="4" w:space="0"/>
          <w:tl2br w:val="nil"/>
          <w:tr2bl w:val="nil"/>
        </w:tcBorders>
      </w:tcPr>
    </w:tblStylePr>
  </w:style>
  <w:style w:type="table" w:styleId="TabulkaJVS2-modr" w:customStyle="1">
    <w:name w:val="Tabulka JVS 2 - modrá"/>
    <w:basedOn w:val="TableNormal"/>
    <w:uiPriority w:val="99"/>
    <w:rsid w:val="0084277E"/>
    <w:pPr>
      <w:spacing w:after="0"/>
      <w:jc w:val="left"/>
    </w:pPr>
    <w:tblPr>
      <w:tblBorders>
        <w:top w:val="single" w:color="00459B" w:themeColor="accent1" w:sz="4" w:space="0"/>
        <w:left w:val="single" w:color="00459B" w:themeColor="accent1" w:sz="4" w:space="0"/>
        <w:bottom w:val="single" w:color="00459B" w:themeColor="accent1" w:sz="4" w:space="0"/>
        <w:right w:val="single" w:color="00459B" w:themeColor="accent1" w:sz="4" w:space="0"/>
        <w:insideH w:val="single" w:color="00459B" w:themeColor="accent1" w:sz="4" w:space="0"/>
        <w:insideV w:val="single" w:color="00459B" w:themeColor="accent1" w:sz="4" w:space="0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color="00459B" w:themeColor="accent1" w:sz="4" w:space="0"/>
          <w:left w:val="single" w:color="00459B" w:themeColor="accent1" w:sz="4" w:space="0"/>
          <w:bottom w:val="single" w:color="00459B" w:themeColor="accent1" w:sz="4" w:space="0"/>
          <w:right w:val="single" w:color="00459B" w:themeColor="accent1" w:sz="4" w:space="0"/>
          <w:insideH w:val="single" w:color="00459B" w:themeColor="accent1" w:sz="4" w:space="0"/>
          <w:insideV w:val="single" w:color="00459B" w:themeColor="accent1" w:sz="4" w:space="0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color="00459B" w:themeColor="accent1" w:sz="12" w:space="0"/>
          <w:left w:val="single" w:color="00459B" w:themeColor="accent1" w:sz="4" w:space="0"/>
          <w:bottom w:val="single" w:color="00459B" w:themeColor="accent1" w:sz="4" w:space="0"/>
          <w:right w:val="single" w:color="00459B" w:themeColor="accent1" w:sz="4" w:space="0"/>
          <w:insideH w:val="nil"/>
          <w:insideV w:val="single" w:color="00459B" w:themeColor="accent1" w:sz="4" w:space="0"/>
          <w:tl2br w:val="nil"/>
          <w:tr2bl w:val="nil"/>
        </w:tcBorders>
      </w:tcPr>
    </w:tblStylePr>
  </w:style>
  <w:style w:type="table" w:styleId="TabulkaJVS3-bl" w:customStyle="1">
    <w:name w:val="Tabulka JVS 3 - bílá"/>
    <w:basedOn w:val="TableNormal"/>
    <w:uiPriority w:val="99"/>
    <w:rsid w:val="0084277E"/>
    <w:pPr>
      <w:spacing w:after="0"/>
      <w:jc w:val="left"/>
    </w:pPr>
    <w:tblPr>
      <w:tblBorders>
        <w:top w:val="single" w:color="A7A9B3" w:themeColor="background2" w:sz="4" w:space="0"/>
        <w:left w:val="single" w:color="A7A9B3" w:themeColor="background2" w:sz="4" w:space="0"/>
        <w:bottom w:val="single" w:color="A7A9B3" w:themeColor="background2" w:sz="4" w:space="0"/>
        <w:right w:val="single" w:color="A7A9B3" w:themeColor="background2" w:sz="4" w:space="0"/>
        <w:insideH w:val="single" w:color="A7A9B3" w:themeColor="background2" w:sz="4" w:space="0"/>
        <w:insideV w:val="single" w:color="A7A9B3" w:themeColor="background2" w:sz="4" w:space="0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color="A7A9B3" w:themeColor="background2" w:sz="12" w:space="0"/>
          <w:left w:val="single" w:color="A7A9B3" w:themeColor="background2" w:sz="4" w:space="0"/>
          <w:bottom w:val="single" w:color="A7A9B3" w:themeColor="background2" w:sz="4" w:space="0"/>
          <w:right w:val="single" w:color="A7A9B3" w:themeColor="background2" w:sz="4" w:space="0"/>
          <w:insideH w:val="nil"/>
          <w:insideV w:val="single" w:color="A7A9B3" w:themeColor="background2" w:sz="4" w:space="0"/>
          <w:tl2br w:val="nil"/>
          <w:tr2bl w:val="nil"/>
        </w:tcBorders>
      </w:tcPr>
    </w:tblStylePr>
  </w:style>
  <w:style w:type="table" w:styleId="TabulkaJVS4-bezohranien" w:customStyle="1">
    <w:name w:val="Tabulka JVS 4 - bez ohraničení"/>
    <w:basedOn w:val="TableNormal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GridTable1Light-Accent1">
    <w:name w:val="Grid Table 1 Light Accent 1"/>
    <w:basedOn w:val="TableNormal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color="71AFFF" w:themeColor="accent1" w:themeTint="66" w:sz="4" w:space="0"/>
        <w:left w:val="single" w:color="71AFFF" w:themeColor="accent1" w:themeTint="66" w:sz="4" w:space="0"/>
        <w:bottom w:val="single" w:color="71AFFF" w:themeColor="accent1" w:themeTint="66" w:sz="4" w:space="0"/>
        <w:right w:val="single" w:color="71AFFF" w:themeColor="accent1" w:themeTint="66" w:sz="4" w:space="0"/>
        <w:insideH w:val="single" w:color="71AFFF" w:themeColor="accent1" w:themeTint="66" w:sz="4" w:space="0"/>
        <w:insideV w:val="single" w:color="71AFFF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2A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2A88FF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dpis1slovan" w:customStyle="1">
    <w:name w:val="Nadpis 1 číslovaný"/>
    <w:basedOn w:val="Seznamslovan5"/>
    <w:next w:val="Normal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styleId="Nadpis2slovan" w:customStyle="1">
    <w:name w:val="Nadpis 2 číslovaný"/>
    <w:basedOn w:val="Normal"/>
    <w:next w:val="Normal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styleId="Nadpis3slovan" w:customStyle="1">
    <w:name w:val="Nadpis 3 číslovaný"/>
    <w:basedOn w:val="Normal"/>
    <w:next w:val="Normal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styleId="Nadpis4slovan" w:customStyle="1">
    <w:name w:val="Nadpis 4 číslovaný"/>
    <w:basedOn w:val="Normal"/>
    <w:next w:val="Normal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styleId="Nadpis5slovan" w:customStyle="1">
    <w:name w:val="Nadpis 5 číslovaný"/>
    <w:basedOn w:val="Normal"/>
    <w:next w:val="Normal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styleId="Nadpis6slovan" w:customStyle="1">
    <w:name w:val="Nadpis 6 číslovaný"/>
    <w:basedOn w:val="Normal"/>
    <w:next w:val="Normal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styleId="Stylseznamu-nadpisyslovan" w:customStyle="1">
    <w:name w:val="Styl seznamu - nadpisy číslované"/>
    <w:uiPriority w:val="99"/>
    <w:rsid w:val="00C61C26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rsid w:val="00CA3ABB"/>
    <w:pPr>
      <w:outlineLvl w:val="9"/>
    </w:pPr>
  </w:style>
  <w:style w:type="paragraph" w:styleId="TOC1">
    <w:name w:val="toc 1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TOC3">
    <w:name w:val="toc 3"/>
    <w:basedOn w:val="Normal"/>
    <w:next w:val="Normal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TOC4">
    <w:name w:val="toc 4"/>
    <w:basedOn w:val="Normal"/>
    <w:next w:val="Normal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styleId="Seznamslovan1" w:customStyle="1">
    <w:name w:val="Seznam číslovaný 1"/>
    <w:basedOn w:val="Normal"/>
    <w:uiPriority w:val="1"/>
    <w:qFormat/>
    <w:rsid w:val="00E721D1"/>
    <w:pPr>
      <w:numPr>
        <w:numId w:val="21"/>
      </w:numPr>
    </w:pPr>
  </w:style>
  <w:style w:type="paragraph" w:styleId="Seznamslovan2" w:customStyle="1">
    <w:name w:val="Seznam číslovaný 2"/>
    <w:basedOn w:val="Normal"/>
    <w:uiPriority w:val="1"/>
    <w:qFormat/>
    <w:rsid w:val="00E721D1"/>
    <w:pPr>
      <w:numPr>
        <w:ilvl w:val="1"/>
        <w:numId w:val="21"/>
      </w:numPr>
    </w:pPr>
  </w:style>
  <w:style w:type="paragraph" w:styleId="Seznamslovan3" w:customStyle="1">
    <w:name w:val="Seznam číslovaný 3"/>
    <w:basedOn w:val="Normal"/>
    <w:uiPriority w:val="1"/>
    <w:qFormat/>
    <w:rsid w:val="00E721D1"/>
    <w:pPr>
      <w:numPr>
        <w:ilvl w:val="2"/>
        <w:numId w:val="21"/>
      </w:numPr>
    </w:pPr>
  </w:style>
  <w:style w:type="paragraph" w:styleId="Seznamslovan4" w:customStyle="1">
    <w:name w:val="Seznam číslovaný 4"/>
    <w:basedOn w:val="Normal"/>
    <w:uiPriority w:val="1"/>
    <w:qFormat/>
    <w:rsid w:val="00E721D1"/>
    <w:pPr>
      <w:numPr>
        <w:ilvl w:val="3"/>
        <w:numId w:val="21"/>
      </w:numPr>
    </w:pPr>
  </w:style>
  <w:style w:type="paragraph" w:styleId="Seznamslovan5" w:customStyle="1">
    <w:name w:val="Seznam číslovaný 5"/>
    <w:basedOn w:val="Normal"/>
    <w:uiPriority w:val="1"/>
    <w:qFormat/>
    <w:rsid w:val="00E721D1"/>
    <w:pPr>
      <w:numPr>
        <w:ilvl w:val="4"/>
        <w:numId w:val="21"/>
      </w:numPr>
    </w:pPr>
  </w:style>
  <w:style w:type="paragraph" w:styleId="Seznamslovan6" w:customStyle="1">
    <w:name w:val="Seznam číslovaný 6"/>
    <w:basedOn w:val="Normal"/>
    <w:uiPriority w:val="1"/>
    <w:qFormat/>
    <w:rsid w:val="00E721D1"/>
    <w:pPr>
      <w:numPr>
        <w:ilvl w:val="5"/>
        <w:numId w:val="21"/>
      </w:numPr>
    </w:pPr>
  </w:style>
  <w:style w:type="numbering" w:styleId="Stylseznamu-odstavceslovan" w:customStyle="1">
    <w:name w:val="Styl seznamu - odstavce číslované"/>
    <w:uiPriority w:val="99"/>
    <w:rsid w:val="00E721D1"/>
    <w:pPr>
      <w:numPr>
        <w:numId w:val="8"/>
      </w:numPr>
    </w:pPr>
  </w:style>
  <w:style w:type="paragraph" w:styleId="Perex" w:customStyle="1">
    <w:name w:val="Perex"/>
    <w:basedOn w:val="Normal"/>
    <w:next w:val="Normal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styleId="Odrka1" w:customStyle="1">
    <w:name w:val="Odrážka 1"/>
    <w:basedOn w:val="Normal"/>
    <w:uiPriority w:val="2"/>
    <w:qFormat/>
    <w:rsid w:val="002D796B"/>
    <w:pPr>
      <w:numPr>
        <w:numId w:val="19"/>
      </w:numPr>
    </w:pPr>
  </w:style>
  <w:style w:type="paragraph" w:styleId="Odrka2" w:customStyle="1">
    <w:name w:val="Odrážka 2"/>
    <w:basedOn w:val="Normal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styleId="Odrka3" w:customStyle="1">
    <w:name w:val="Odrážka 3"/>
    <w:basedOn w:val="Normal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styleId="Odrka4" w:customStyle="1">
    <w:name w:val="Odrážka 4"/>
    <w:basedOn w:val="Normal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styleId="Odrka5" w:customStyle="1">
    <w:name w:val="Odrážka 5"/>
    <w:basedOn w:val="Normal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styleId="Odrka6" w:customStyle="1">
    <w:name w:val="Odrážka 6"/>
    <w:basedOn w:val="Normal"/>
    <w:uiPriority w:val="2"/>
    <w:qFormat/>
    <w:rsid w:val="002D796B"/>
    <w:pPr>
      <w:numPr>
        <w:ilvl w:val="5"/>
        <w:numId w:val="19"/>
      </w:numPr>
    </w:pPr>
  </w:style>
  <w:style w:type="numbering" w:styleId="Stylseznamu-odrky" w:customStyle="1">
    <w:name w:val="Styl seznamu - odrážky"/>
    <w:uiPriority w:val="99"/>
    <w:rsid w:val="008D5575"/>
    <w:pPr>
      <w:numPr>
        <w:numId w:val="12"/>
      </w:numPr>
    </w:pPr>
  </w:style>
  <w:style w:type="paragraph" w:styleId="Popisekfotografie" w:customStyle="1">
    <w:name w:val="Popisek fotografie"/>
    <w:basedOn w:val="Normal"/>
    <w:next w:val="Normal"/>
    <w:uiPriority w:val="25"/>
    <w:qFormat/>
    <w:rsid w:val="004E7E0E"/>
    <w:pPr>
      <w:spacing w:before="160" w:after="240"/>
    </w:pPr>
    <w:rPr>
      <w:sz w:val="16"/>
    </w:rPr>
  </w:style>
  <w:style w:type="paragraph" w:styleId="Caption">
    <w:name w:val="caption"/>
    <w:basedOn w:val="Normal"/>
    <w:next w:val="Normal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TOC5">
    <w:name w:val="toc 5"/>
    <w:basedOn w:val="Normal"/>
    <w:next w:val="Normal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TOC6">
    <w:name w:val="toc 6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TOC7">
    <w:name w:val="toc 7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TOC8">
    <w:name w:val="toc 8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0106FE"/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F152C4"/>
    <w:rPr>
      <w:color w:val="666666"/>
    </w:rPr>
  </w:style>
  <w:style w:type="table" w:styleId="TableGridLight">
    <w:name w:val="Grid Table Light"/>
    <w:basedOn w:val="TableNormal"/>
    <w:uiPriority w:val="40"/>
    <w:rsid w:val="000C67FA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oSpacing">
    <w:name w:val="No Spacing"/>
    <w:uiPriority w:val="1"/>
    <w:semiHidden/>
    <w:qFormat/>
    <w:rsid w:val="00586756"/>
    <w:pPr>
      <w:spacing w:after="0" w:line="240" w:lineRule="auto"/>
    </w:pPr>
  </w:style>
  <w:style w:type="paragraph" w:styleId="Poznmky" w:customStyle="1">
    <w:name w:val="Poznámky"/>
    <w:basedOn w:val="Normal"/>
    <w:qFormat/>
    <w:rsid w:val="00200551"/>
    <w:pPr>
      <w:pBdr>
        <w:top w:val="single" w:color="auto" w:sz="4" w:space="4"/>
      </w:pBdr>
      <w:spacing w:after="0"/>
      <w:jc w:val="left"/>
    </w:pPr>
    <w:rPr>
      <w:i/>
      <w:sz w:val="18"/>
    </w:rPr>
  </w:style>
  <w:style w:type="paragraph" w:styleId="Poznamkytexty" w:customStyle="1">
    <w:name w:val="Poznamky texty"/>
    <w:basedOn w:val="Poznmky"/>
    <w:qFormat/>
    <w:rsid w:val="00580269"/>
    <w:pPr>
      <w:pBdr>
        <w:top w:val="none" w:color="auto" w:sz="0" w:space="0"/>
      </w:pBdr>
      <w:spacing w:line="240" w:lineRule="exact"/>
      <w:jc w:val="both"/>
    </w:pPr>
    <w:rPr>
      <w:rFonts w:ascii="Arial" w:hAnsi="Arial" w:eastAsia="Calibri" w:cs="ArialMT"/>
      <w:color w:val="000000"/>
      <w:kern w:val="0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jan.benedikt@csu.gov.cz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vladimir.kermiet@csu.gov.cz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chart" Target="charts/chart1.xml" Id="rId11" /><Relationship Type="http://schemas.openxmlformats.org/officeDocument/2006/relationships/numbering" Target="numbering.xml" Id="rId5" /><Relationship Type="http://schemas.openxmlformats.org/officeDocument/2006/relationships/hyperlink" Target="https://csu.gov.cz/ctvrtletni-odhady-hdp?pocet=10&amp;start=0&amp;podskupiny=051&amp;razeni=-datumVydani" TargetMode="Externa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apl.czso.cz/pll/rocenka/rocenka.indexnu_kvart?mylang=CZ&amp;co=Q_HDP_ZAM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ABFS3\BARANNU\nu\QU\HDP\VYS\RI\2026\2Q\T60\Graf_P&#345;&#237;sp&#283;vky_T60_&#382;iv&#283;_26_2Q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35711942257218E-2"/>
          <c:y val="0.12358680923780517"/>
          <c:w val="0.91932872673952459"/>
          <c:h val="0.5692014924969429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data!$D$4</c:f>
              <c:strCache>
                <c:ptCount val="1"/>
                <c:pt idx="0">
                  <c:v>Výdaje na konečnou spotřebu domácností</c:v>
                </c:pt>
              </c:strCache>
            </c:strRef>
          </c:tx>
          <c:spPr>
            <a:solidFill>
              <a:srgbClr val="0071BC"/>
            </a:solidFill>
          </c:spPr>
          <c:invertIfNegative val="0"/>
          <c:cat>
            <c:multiLvlStrRef>
              <c:f>data!$B$97:$C$126</c:f>
              <c:multiLvlStrCache>
                <c:ptCount val="30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  <c:pt idx="12">
                    <c:v>2022</c:v>
                  </c:pt>
                  <c:pt idx="16">
                    <c:v>2023</c:v>
                  </c:pt>
                  <c:pt idx="20">
                    <c:v>2024</c:v>
                  </c:pt>
                  <c:pt idx="24">
                    <c:v>2025</c:v>
                  </c:pt>
                  <c:pt idx="28">
                    <c:v>2026</c:v>
                  </c:pt>
                </c:lvl>
              </c:multiLvlStrCache>
            </c:multiLvlStrRef>
          </c:cat>
          <c:val>
            <c:numRef>
              <c:f>data!$D$97:$D$126</c:f>
              <c:numCache>
                <c:formatCode>#\ ##0.0</c:formatCode>
                <c:ptCount val="30"/>
                <c:pt idx="0">
                  <c:v>1.1127995120003116</c:v>
                </c:pt>
                <c:pt idx="1">
                  <c:v>1.3132127651678349</c:v>
                </c:pt>
                <c:pt idx="2">
                  <c:v>1.3127269547284848</c:v>
                </c:pt>
                <c:pt idx="3">
                  <c:v>1.2095005314346379</c:v>
                </c:pt>
                <c:pt idx="4">
                  <c:v>-0.19334235368980263</c:v>
                </c:pt>
                <c:pt idx="5">
                  <c:v>-3.1919143342185063</c:v>
                </c:pt>
                <c:pt idx="6">
                  <c:v>-1.7972795394143519</c:v>
                </c:pt>
                <c:pt idx="7">
                  <c:v>-4.1534755096085032</c:v>
                </c:pt>
                <c:pt idx="8">
                  <c:v>-2.7125759388400823</c:v>
                </c:pt>
                <c:pt idx="9">
                  <c:v>3.072595898392275</c:v>
                </c:pt>
                <c:pt idx="10">
                  <c:v>1.9591777987970724</c:v>
                </c:pt>
                <c:pt idx="11">
                  <c:v>3.8159662516450523</c:v>
                </c:pt>
                <c:pt idx="12">
                  <c:v>3.3478771082223622</c:v>
                </c:pt>
                <c:pt idx="13">
                  <c:v>0.20608848990511941</c:v>
                </c:pt>
                <c:pt idx="14">
                  <c:v>-1.3308305014925808</c:v>
                </c:pt>
                <c:pt idx="15">
                  <c:v>-2.133398201009387</c:v>
                </c:pt>
                <c:pt idx="16">
                  <c:v>-2.5610837719270854</c:v>
                </c:pt>
                <c:pt idx="17">
                  <c:v>-1.7007322308662438</c:v>
                </c:pt>
                <c:pt idx="18">
                  <c:v>-1.140903226990895</c:v>
                </c:pt>
                <c:pt idx="19">
                  <c:v>0.25791189008006526</c:v>
                </c:pt>
                <c:pt idx="20">
                  <c:v>1.4243717014317181</c:v>
                </c:pt>
                <c:pt idx="21">
                  <c:v>0.57874385970309006</c:v>
                </c:pt>
                <c:pt idx="22">
                  <c:v>1.2059168800242355</c:v>
                </c:pt>
                <c:pt idx="23">
                  <c:v>1.2752974118298666</c:v>
                </c:pt>
                <c:pt idx="24">
                  <c:v>0.4722835008926129</c:v>
                </c:pt>
                <c:pt idx="25">
                  <c:v>1.1541228565654262</c:v>
                </c:pt>
                <c:pt idx="26">
                  <c:v>1.0380362506737109</c:v>
                </c:pt>
                <c:pt idx="27">
                  <c:v>1.1861033859896541</c:v>
                </c:pt>
                <c:pt idx="28">
                  <c:v>1.2979300587611085</c:v>
                </c:pt>
                <c:pt idx="29">
                  <c:v>1.1257438940781705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16-4B14-959B-E09F92E59DF8}"/>
            </c:ext>
          </c:extLst>
        </c:ser>
        <c:ser>
          <c:idx val="1"/>
          <c:order val="1"/>
          <c:tx>
            <c:strRef>
              <c:f>data!$E$4</c:f>
              <c:strCache>
                <c:ptCount val="1"/>
                <c:pt idx="0">
                  <c:v>Výdaje na konečnou spotřebu vládních institucí, vč. NISD **</c:v>
                </c:pt>
              </c:strCache>
            </c:strRef>
          </c:tx>
          <c:spPr>
            <a:solidFill>
              <a:srgbClr val="BD1B21"/>
            </a:solidFill>
          </c:spPr>
          <c:invertIfNegative val="0"/>
          <c:cat>
            <c:multiLvlStrRef>
              <c:f>data!$B$97:$C$126</c:f>
              <c:multiLvlStrCache>
                <c:ptCount val="30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  <c:pt idx="12">
                    <c:v>2022</c:v>
                  </c:pt>
                  <c:pt idx="16">
                    <c:v>2023</c:v>
                  </c:pt>
                  <c:pt idx="20">
                    <c:v>2024</c:v>
                  </c:pt>
                  <c:pt idx="24">
                    <c:v>2025</c:v>
                  </c:pt>
                  <c:pt idx="28">
                    <c:v>2026</c:v>
                  </c:pt>
                </c:lvl>
              </c:multiLvlStrCache>
            </c:multiLvlStrRef>
          </c:cat>
          <c:val>
            <c:numRef>
              <c:f>data!$E$97:$E$126</c:f>
              <c:numCache>
                <c:formatCode>#\ ##0.0</c:formatCode>
                <c:ptCount val="30"/>
                <c:pt idx="0">
                  <c:v>0.58680006729435363</c:v>
                </c:pt>
                <c:pt idx="1">
                  <c:v>0.58949365344667137</c:v>
                </c:pt>
                <c:pt idx="2">
                  <c:v>0.55916949519480241</c:v>
                </c:pt>
                <c:pt idx="3">
                  <c:v>0.33055792487358115</c:v>
                </c:pt>
                <c:pt idx="4">
                  <c:v>0.89531104474470369</c:v>
                </c:pt>
                <c:pt idx="5">
                  <c:v>0.60962537525389926</c:v>
                </c:pt>
                <c:pt idx="6">
                  <c:v>0.28627367898100681</c:v>
                </c:pt>
                <c:pt idx="7">
                  <c:v>1.4282664693102614</c:v>
                </c:pt>
                <c:pt idx="8">
                  <c:v>-8.4409852691557999E-3</c:v>
                </c:pt>
                <c:pt idx="9">
                  <c:v>4.2305624969976856E-2</c:v>
                </c:pt>
                <c:pt idx="10">
                  <c:v>1.0366637764835871</c:v>
                </c:pt>
                <c:pt idx="11">
                  <c:v>0.12051516063291508</c:v>
                </c:pt>
                <c:pt idx="12">
                  <c:v>0.4564486616943359</c:v>
                </c:pt>
                <c:pt idx="13">
                  <c:v>0.62504321778114336</c:v>
                </c:pt>
                <c:pt idx="14">
                  <c:v>-0.25102500583404475</c:v>
                </c:pt>
                <c:pt idx="15">
                  <c:v>-0.22259882423694899</c:v>
                </c:pt>
                <c:pt idx="16">
                  <c:v>0.62417453061559702</c:v>
                </c:pt>
                <c:pt idx="17">
                  <c:v>0.46425030500744868</c:v>
                </c:pt>
                <c:pt idx="18">
                  <c:v>0.65494309267481221</c:v>
                </c:pt>
                <c:pt idx="19">
                  <c:v>0.77132952549895695</c:v>
                </c:pt>
                <c:pt idx="20">
                  <c:v>0.41035363105921396</c:v>
                </c:pt>
                <c:pt idx="21">
                  <c:v>0.60432654096447369</c:v>
                </c:pt>
                <c:pt idx="22">
                  <c:v>0.52649529124365757</c:v>
                </c:pt>
                <c:pt idx="23">
                  <c:v>0.32426318990981096</c:v>
                </c:pt>
                <c:pt idx="24">
                  <c:v>0.52444582811806018</c:v>
                </c:pt>
                <c:pt idx="25">
                  <c:v>0.48001973162344946</c:v>
                </c:pt>
                <c:pt idx="26">
                  <c:v>0.57737456292015976</c:v>
                </c:pt>
                <c:pt idx="27">
                  <c:v>0.45550128004457019</c:v>
                </c:pt>
                <c:pt idx="28">
                  <c:v>0.30117130285849686</c:v>
                </c:pt>
                <c:pt idx="29">
                  <c:v>0.22639275037604753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16-4B14-959B-E09F92E59DF8}"/>
            </c:ext>
          </c:extLst>
        </c:ser>
        <c:ser>
          <c:idx val="2"/>
          <c:order val="2"/>
          <c:tx>
            <c:strRef>
              <c:f>data!$F$4</c:f>
              <c:strCache>
                <c:ptCount val="1"/>
                <c:pt idx="0">
                  <c:v>Tvorba hrubého kapitálu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multiLvlStrRef>
              <c:f>data!$B$97:$C$126</c:f>
              <c:multiLvlStrCache>
                <c:ptCount val="30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  <c:pt idx="12">
                    <c:v>2022</c:v>
                  </c:pt>
                  <c:pt idx="16">
                    <c:v>2023</c:v>
                  </c:pt>
                  <c:pt idx="20">
                    <c:v>2024</c:v>
                  </c:pt>
                  <c:pt idx="24">
                    <c:v>2025</c:v>
                  </c:pt>
                  <c:pt idx="28">
                    <c:v>2026</c:v>
                  </c:pt>
                </c:lvl>
              </c:multiLvlStrCache>
            </c:multiLvlStrRef>
          </c:cat>
          <c:val>
            <c:numRef>
              <c:f>data!$F$97:$F$126</c:f>
              <c:numCache>
                <c:formatCode>#\ ##0.0</c:formatCode>
                <c:ptCount val="30"/>
                <c:pt idx="0">
                  <c:v>1.8267745829729565</c:v>
                </c:pt>
                <c:pt idx="1">
                  <c:v>0.24947335456976574</c:v>
                </c:pt>
                <c:pt idx="2">
                  <c:v>0.33619452209155443</c:v>
                </c:pt>
                <c:pt idx="3">
                  <c:v>2.8210049957469914</c:v>
                </c:pt>
                <c:pt idx="4">
                  <c:v>-0.69426486166804824</c:v>
                </c:pt>
                <c:pt idx="5">
                  <c:v>0.64213026878414203</c:v>
                </c:pt>
                <c:pt idx="6">
                  <c:v>-2.2703491861933522</c:v>
                </c:pt>
                <c:pt idx="7">
                  <c:v>-3.4365322936665859</c:v>
                </c:pt>
                <c:pt idx="8">
                  <c:v>0.52294482655387764</c:v>
                </c:pt>
                <c:pt idx="9">
                  <c:v>0.55116042416607158</c:v>
                </c:pt>
                <c:pt idx="10">
                  <c:v>4.6261415355546225</c:v>
                </c:pt>
                <c:pt idx="11">
                  <c:v>3.4846101090257737</c:v>
                </c:pt>
                <c:pt idx="12">
                  <c:v>2.7816994521149878</c:v>
                </c:pt>
                <c:pt idx="13">
                  <c:v>3.1755431742090514</c:v>
                </c:pt>
                <c:pt idx="14">
                  <c:v>0.20915629842316591</c:v>
                </c:pt>
                <c:pt idx="15">
                  <c:v>1.8009997539530445</c:v>
                </c:pt>
                <c:pt idx="16">
                  <c:v>0.76067915787227902</c:v>
                </c:pt>
                <c:pt idx="17">
                  <c:v>-0.59063027516664968</c:v>
                </c:pt>
                <c:pt idx="18">
                  <c:v>0.36278865577799224</c:v>
                </c:pt>
                <c:pt idx="19">
                  <c:v>-2.4756881487635387</c:v>
                </c:pt>
                <c:pt idx="20">
                  <c:v>-2.8555185362897242</c:v>
                </c:pt>
                <c:pt idx="21">
                  <c:v>-1.47023437535804</c:v>
                </c:pt>
                <c:pt idx="22">
                  <c:v>-1.0627542354454014</c:v>
                </c:pt>
                <c:pt idx="23">
                  <c:v>1.3572106714316252</c:v>
                </c:pt>
                <c:pt idx="24">
                  <c:v>1.5750658802035669</c:v>
                </c:pt>
                <c:pt idx="25">
                  <c:v>1.4691941721314119</c:v>
                </c:pt>
                <c:pt idx="26">
                  <c:v>1.2610386795786961</c:v>
                </c:pt>
                <c:pt idx="27">
                  <c:v>0.62344281358385856</c:v>
                </c:pt>
                <c:pt idx="28">
                  <c:v>1.4036237247089545</c:v>
                </c:pt>
                <c:pt idx="29">
                  <c:v>0.34927656553227981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16-4B14-959B-E09F92E59DF8}"/>
            </c:ext>
          </c:extLst>
        </c:ser>
        <c:ser>
          <c:idx val="4"/>
          <c:order val="3"/>
          <c:tx>
            <c:strRef>
              <c:f>data!$G$4</c:f>
              <c:strCache>
                <c:ptCount val="1"/>
                <c:pt idx="0">
                  <c:v>Saldo zahraničního obchodu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multiLvlStrRef>
              <c:f>data!$B$97:$C$126</c:f>
              <c:multiLvlStrCache>
                <c:ptCount val="30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  <c:pt idx="12">
                    <c:v>2022</c:v>
                  </c:pt>
                  <c:pt idx="16">
                    <c:v>2023</c:v>
                  </c:pt>
                  <c:pt idx="20">
                    <c:v>2024</c:v>
                  </c:pt>
                  <c:pt idx="24">
                    <c:v>2025</c:v>
                  </c:pt>
                  <c:pt idx="28">
                    <c:v>2026</c:v>
                  </c:pt>
                </c:lvl>
              </c:multiLvlStrCache>
            </c:multiLvlStrRef>
          </c:cat>
          <c:val>
            <c:numRef>
              <c:f>data!$G$97:$G$126</c:f>
              <c:numCache>
                <c:formatCode>#\ ##0.0</c:formatCode>
                <c:ptCount val="30"/>
                <c:pt idx="0">
                  <c:v>-1.3078133276421711E-2</c:v>
                </c:pt>
                <c:pt idx="1">
                  <c:v>1.4805116661211601</c:v>
                </c:pt>
                <c:pt idx="2">
                  <c:v>1.2718070648870061</c:v>
                </c:pt>
                <c:pt idx="3">
                  <c:v>-1.0304731076063307</c:v>
                </c:pt>
                <c:pt idx="4">
                  <c:v>-1.5473106150122986</c:v>
                </c:pt>
                <c:pt idx="5">
                  <c:v>-8.6477754128482491</c:v>
                </c:pt>
                <c:pt idx="6">
                  <c:v>-0.83452708245340901</c:v>
                </c:pt>
                <c:pt idx="7">
                  <c:v>1.6407264005409894</c:v>
                </c:pt>
                <c:pt idx="8">
                  <c:v>1.0031044590807081</c:v>
                </c:pt>
                <c:pt idx="9">
                  <c:v>5.9285831211726716</c:v>
                </c:pt>
                <c:pt idx="10">
                  <c:v>-3.5893997049300115</c:v>
                </c:pt>
                <c:pt idx="11">
                  <c:v>-3.5557767533860414</c:v>
                </c:pt>
                <c:pt idx="12">
                  <c:v>-1.7659259547092601</c:v>
                </c:pt>
                <c:pt idx="13">
                  <c:v>-0.35437704302788342</c:v>
                </c:pt>
                <c:pt idx="14">
                  <c:v>3.3959558042169986</c:v>
                </c:pt>
                <c:pt idx="15">
                  <c:v>1.5597732124999046</c:v>
                </c:pt>
                <c:pt idx="16">
                  <c:v>1.4173918937396648</c:v>
                </c:pt>
                <c:pt idx="17">
                  <c:v>2.1608165285294461</c:v>
                </c:pt>
                <c:pt idx="18">
                  <c:v>-9.3769962543974017E-2</c:v>
                </c:pt>
                <c:pt idx="19">
                  <c:v>1.9028589067099051</c:v>
                </c:pt>
                <c:pt idx="20">
                  <c:v>1.6095183022455009</c:v>
                </c:pt>
                <c:pt idx="21">
                  <c:v>0.76114473022660589</c:v>
                </c:pt>
                <c:pt idx="22">
                  <c:v>0.88217415060866333</c:v>
                </c:pt>
                <c:pt idx="23">
                  <c:v>-0.97132065529203104</c:v>
                </c:pt>
                <c:pt idx="24">
                  <c:v>-0.10474477344402278</c:v>
                </c:pt>
                <c:pt idx="25">
                  <c:v>-0.33749349509076421</c:v>
                </c:pt>
                <c:pt idx="26">
                  <c:v>-6.9780827539694501E-2</c:v>
                </c:pt>
                <c:pt idx="27">
                  <c:v>0.53101434254627122</c:v>
                </c:pt>
                <c:pt idx="28">
                  <c:v>-0.83437955403796815</c:v>
                </c:pt>
                <c:pt idx="29">
                  <c:v>0.24450930296424134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416-4B14-959B-E09F92E59D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7191680"/>
        <c:axId val="44617664"/>
      </c:barChart>
      <c:lineChart>
        <c:grouping val="standard"/>
        <c:varyColors val="0"/>
        <c:ser>
          <c:idx val="3"/>
          <c:order val="4"/>
          <c:tx>
            <c:strRef>
              <c:f>data!$H$4</c:f>
              <c:strCache>
                <c:ptCount val="1"/>
                <c:pt idx="0">
                  <c:v>HDP - meziroční reálná změna, sezónně očištěno (v %)</c:v>
                </c:pt>
              </c:strCache>
            </c:strRef>
          </c:tx>
          <c:spPr>
            <a:ln w="158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data!$B$97:$C$126</c:f>
              <c:multiLvlStrCache>
                <c:ptCount val="30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  <c:pt idx="12">
                    <c:v>2022</c:v>
                  </c:pt>
                  <c:pt idx="16">
                    <c:v>2023</c:v>
                  </c:pt>
                  <c:pt idx="20">
                    <c:v>2024</c:v>
                  </c:pt>
                  <c:pt idx="24">
                    <c:v>2025</c:v>
                  </c:pt>
                  <c:pt idx="28">
                    <c:v>2026</c:v>
                  </c:pt>
                </c:lvl>
              </c:multiLvlStrCache>
            </c:multiLvlStrRef>
          </c:cat>
          <c:val>
            <c:numRef>
              <c:f>data!$H$97:$H$126</c:f>
              <c:numCache>
                <c:formatCode>#\ ##0.0</c:formatCode>
                <c:ptCount val="30"/>
                <c:pt idx="0">
                  <c:v>3.5133110438371205</c:v>
                </c:pt>
                <c:pt idx="1">
                  <c:v>3.6327109395132027</c:v>
                </c:pt>
                <c:pt idx="2">
                  <c:v>3.4798320378128835</c:v>
                </c:pt>
                <c:pt idx="3">
                  <c:v>3.3305365653978782</c:v>
                </c:pt>
                <c:pt idx="4">
                  <c:v>-1.5396226448324768</c:v>
                </c:pt>
                <c:pt idx="5">
                  <c:v>-10.587948045049927</c:v>
                </c:pt>
                <c:pt idx="6">
                  <c:v>-4.6157718235098457</c:v>
                </c:pt>
                <c:pt idx="7">
                  <c:v>-4.5209683164253676</c:v>
                </c:pt>
                <c:pt idx="8">
                  <c:v>-1.1949818583143212</c:v>
                </c:pt>
                <c:pt idx="9">
                  <c:v>9.5946232450743878</c:v>
                </c:pt>
                <c:pt idx="10">
                  <c:v>4.0324204851868899</c:v>
                </c:pt>
                <c:pt idx="11">
                  <c:v>3.8653005820121109</c:v>
                </c:pt>
                <c:pt idx="12">
                  <c:v>4.820094767817281</c:v>
                </c:pt>
                <c:pt idx="13">
                  <c:v>3.6522653294463083</c:v>
                </c:pt>
                <c:pt idx="14">
                  <c:v>2.0232734781971686</c:v>
                </c:pt>
                <c:pt idx="15">
                  <c:v>1.0047819809989562</c:v>
                </c:pt>
                <c:pt idx="16">
                  <c:v>0.24115738648137608</c:v>
                </c:pt>
                <c:pt idx="17">
                  <c:v>0.33372336254097945</c:v>
                </c:pt>
                <c:pt idx="18">
                  <c:v>-0.21684809679560146</c:v>
                </c:pt>
                <c:pt idx="19">
                  <c:v>0.45637578515957955</c:v>
                </c:pt>
                <c:pt idx="20">
                  <c:v>0.58871836619984208</c:v>
                </c:pt>
                <c:pt idx="21">
                  <c:v>0.47398299646150122</c:v>
                </c:pt>
                <c:pt idx="22">
                  <c:v>1.5518192911999336</c:v>
                </c:pt>
                <c:pt idx="23">
                  <c:v>1.9854465365803691</c:v>
                </c:pt>
                <c:pt idx="24">
                  <c:v>2.4670222255933822</c:v>
                </c:pt>
                <c:pt idx="25">
                  <c:v>2.7657649224851752</c:v>
                </c:pt>
                <c:pt idx="26">
                  <c:v>2.8066540373675934</c:v>
                </c:pt>
                <c:pt idx="27">
                  <c:v>2.7960729652686496</c:v>
                </c:pt>
                <c:pt idx="28">
                  <c:v>2.1684459042137263</c:v>
                </c:pt>
                <c:pt idx="29">
                  <c:v>1.9459619628362077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416-4B14-959B-E09F92E59D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191680"/>
        <c:axId val="44617664"/>
      </c:lineChart>
      <c:catAx>
        <c:axId val="1971916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600" baseline="0"/>
                </a:pPr>
                <a:r>
                  <a:rPr lang="cs-CZ" sz="600" baseline="0"/>
                  <a:t>Čtvrtletí</a:t>
                </a:r>
              </a:p>
            </c:rich>
          </c:tx>
          <c:layout>
            <c:manualLayout>
              <c:xMode val="edge"/>
              <c:yMode val="edge"/>
              <c:x val="0.49221538713910762"/>
              <c:y val="0.77998391927443889"/>
            </c:manualLayout>
          </c:layout>
          <c:overlay val="0"/>
        </c:title>
        <c:numFmt formatCode="General" sourceLinked="0"/>
        <c:majorTickMark val="out"/>
        <c:minorTickMark val="none"/>
        <c:tickLblPos val="low"/>
        <c:spPr>
          <a:ln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500" baseline="0"/>
            </a:pPr>
            <a:endParaRPr lang="cs-CZ"/>
          </a:p>
        </c:txPr>
        <c:crossAx val="44617664"/>
        <c:crosses val="autoZero"/>
        <c:auto val="1"/>
        <c:lblAlgn val="ctr"/>
        <c:lblOffset val="100"/>
        <c:noMultiLvlLbl val="0"/>
      </c:catAx>
      <c:valAx>
        <c:axId val="44617664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600" baseline="0"/>
                </a:pPr>
                <a:r>
                  <a:rPr lang="cs-CZ" sz="600" baseline="0"/>
                  <a:t>Procentní body</a:t>
                </a:r>
              </a:p>
            </c:rich>
          </c:tx>
          <c:layout>
            <c:manualLayout>
              <c:xMode val="edge"/>
              <c:yMode val="edge"/>
              <c:x val="1.5790775385046481E-2"/>
              <c:y val="0.31343856823810029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500" baseline="0"/>
            </a:pPr>
            <a:endParaRPr lang="cs-CZ"/>
          </a:p>
        </c:txPr>
        <c:crossAx val="197191680"/>
        <c:crosses val="autoZero"/>
        <c:crossBetween val="between"/>
        <c:majorUnit val="2"/>
      </c:valAx>
      <c:spPr>
        <a:ln>
          <a:solidFill>
            <a:schemeClr val="bg1">
              <a:lumMod val="75000"/>
            </a:schemeClr>
          </a:solidFill>
        </a:ln>
      </c:spPr>
    </c:plotArea>
    <c:legend>
      <c:legendPos val="b"/>
      <c:layout>
        <c:manualLayout>
          <c:xMode val="edge"/>
          <c:yMode val="edge"/>
          <c:x val="2.6787442585301836E-2"/>
          <c:y val="0.82667719059046463"/>
          <c:w val="0.95976603510498693"/>
          <c:h val="0.10819985520972079"/>
        </c:manualLayout>
      </c:layout>
      <c:overlay val="0"/>
      <c:spPr>
        <a:solidFill>
          <a:schemeClr val="bg1">
            <a:lumMod val="95000"/>
          </a:schemeClr>
        </a:solidFill>
      </c:spPr>
      <c:txPr>
        <a:bodyPr/>
        <a:lstStyle/>
        <a:p>
          <a:pPr>
            <a:defRPr sz="550" baseline="0"/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0.01609</cdr:x>
      <cdr:y>0.02262</cdr:y>
    </cdr:from>
    <cdr:to>
      <cdr:x>0.9889</cdr:x>
      <cdr:y>0.10114</cdr:y>
    </cdr:to>
    <cdr:sp macro="" textlink="">
      <cdr:nvSpPr>
        <cdr:cNvPr id="3" name="TextovéPole 1"/>
        <cdr:cNvSpPr txBox="1"/>
      </cdr:nvSpPr>
      <cdr:spPr>
        <a:xfrm xmlns:a="http://schemas.openxmlformats.org/drawingml/2006/main">
          <a:off x="156935" y="112908"/>
          <a:ext cx="9488400" cy="39191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95000"/>
          </a:schemeClr>
        </a:solidFill>
      </cdr:spPr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0"/>
          <a:r>
            <a:rPr lang="cs-CZ" sz="1000" b="1" i="0" cap="none" baseline="0">
              <a:latin typeface="Arial" pitchFamily="34" charset="0"/>
              <a:ea typeface="+mn-ea"/>
              <a:cs typeface="Arial" pitchFamily="34" charset="0"/>
            </a:rPr>
            <a:t>Příspěvky* k meziročnímu reálnému růstu HDP – sezónně očištěno</a:t>
          </a:r>
        </a:p>
      </cdr:txBody>
    </cdr:sp>
  </cdr:relSizeAnchor>
  <cdr:relSizeAnchor xmlns:cdr="http://schemas.openxmlformats.org/drawingml/2006/chartDrawing">
    <cdr:from>
      <cdr:x>0.02734</cdr:x>
      <cdr:y>0.94497</cdr:y>
    </cdr:from>
    <cdr:to>
      <cdr:x>0.98872</cdr:x>
      <cdr:y>0.98982</cdr:y>
    </cdr:to>
    <cdr:sp macro="" textlink="">
      <cdr:nvSpPr>
        <cdr:cNvPr id="4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66663" y="4743449"/>
          <a:ext cx="9376916" cy="22512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95000"/>
          </a:schemeClr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square" lIns="18288" tIns="22860" rIns="0" bIns="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0">
            <a:lnSpc>
              <a:spcPct val="114000"/>
            </a:lnSpc>
            <a:defRPr sz="1000"/>
          </a:pPr>
          <a:r>
            <a:rPr lang="cs-CZ" sz="550" b="1" i="0" u="none" strike="noStrike" baseline="0">
              <a:solidFill>
                <a:schemeClr val="tx1">
                  <a:lumMod val="75000"/>
                  <a:lumOff val="25000"/>
                </a:schemeClr>
              </a:solidFill>
              <a:latin typeface="Arial"/>
              <a:cs typeface="Arial"/>
            </a:rPr>
            <a:t>      * Příspěvky po vyloučení dovozu pro konečné užití.                                              </a:t>
          </a:r>
          <a:r>
            <a:rPr lang="cs-CZ" sz="550" b="0" i="1" u="none" strike="noStrike" baseline="0">
              <a:solidFill>
                <a:schemeClr val="tx1">
                  <a:lumMod val="75000"/>
                  <a:lumOff val="25000"/>
                </a:schemeClr>
              </a:solidFill>
              <a:latin typeface="Arial"/>
              <a:cs typeface="Arial"/>
            </a:rPr>
            <a:t>** </a:t>
          </a:r>
          <a:r>
            <a:rPr kumimoji="0" lang="cs-CZ" sz="550" b="1" i="0" u="none" strike="noStrike" kern="0" cap="none" spc="0" normalizeH="0" baseline="0" noProof="0">
              <a:ln>
                <a:noFill/>
              </a:ln>
              <a:solidFill>
                <a:prstClr val="black">
                  <a:lumMod val="75000"/>
                  <a:lumOff val="25000"/>
                </a:prstClr>
              </a:solidFill>
              <a:effectLst/>
              <a:uLnTx/>
              <a:uFillTx/>
              <a:latin typeface="Arial"/>
              <a:ea typeface="+mn-ea"/>
              <a:cs typeface="Arial"/>
            </a:rPr>
            <a:t>Neziskové instituce sloužící domácnostem.</a:t>
          </a:r>
          <a:endParaRPr lang="cs-CZ" sz="550" b="0" i="1" u="none" strike="noStrike" baseline="0">
            <a:solidFill>
              <a:schemeClr val="tx1">
                <a:lumMod val="75000"/>
                <a:lumOff val="25000"/>
              </a:schemeClr>
            </a:solidFill>
            <a:latin typeface="Arial"/>
            <a:cs typeface="Arial"/>
          </a:endParaRPr>
        </a:p>
      </cdr:txBody>
    </cdr:sp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A9CA17C7144F2AB9468813E16029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A558A6-DC98-4C61-BA2A-47C2EAFDCC07}"/>
      </w:docPartPr>
      <w:docPartBody>
        <w:p xmlns:wp14="http://schemas.microsoft.com/office/word/2010/wordml" w:rsidR="00847AF4" w:rsidRDefault="00847AF4" w14:paraId="02133D24" wp14:textId="77777777">
          <w:pPr>
            <w:pStyle w:val="98A9CA17C7144F2AB9468813E160297E"/>
          </w:pPr>
          <w:r w:rsidRPr="000C0286">
            <w:rPr>
              <w:rStyle w:val="Placeholder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charset w:val="4D"/>
    <w:family w:val="auto"/>
    <w:notTrueType/>
    <w:pitch w:val="default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F4"/>
    <w:rsid w:val="000B3168"/>
    <w:rsid w:val="00150150"/>
    <w:rsid w:val="0018786C"/>
    <w:rsid w:val="001B3D9C"/>
    <w:rsid w:val="0027109E"/>
    <w:rsid w:val="002B0FF2"/>
    <w:rsid w:val="003A4770"/>
    <w:rsid w:val="004065BC"/>
    <w:rsid w:val="00441377"/>
    <w:rsid w:val="004534BA"/>
    <w:rsid w:val="00593AF2"/>
    <w:rsid w:val="005B5DF9"/>
    <w:rsid w:val="005B764B"/>
    <w:rsid w:val="005F5F1E"/>
    <w:rsid w:val="00751EB2"/>
    <w:rsid w:val="00817789"/>
    <w:rsid w:val="00847AF4"/>
    <w:rsid w:val="00863F03"/>
    <w:rsid w:val="008839E3"/>
    <w:rsid w:val="008965C8"/>
    <w:rsid w:val="009C2D0E"/>
    <w:rsid w:val="00AE4535"/>
    <w:rsid w:val="00B76AEE"/>
    <w:rsid w:val="00B815CC"/>
    <w:rsid w:val="00BA016B"/>
    <w:rsid w:val="00C00C74"/>
    <w:rsid w:val="00C070D7"/>
    <w:rsid w:val="00CD6C94"/>
    <w:rsid w:val="00D040AF"/>
    <w:rsid w:val="00D14629"/>
    <w:rsid w:val="00D14972"/>
    <w:rsid w:val="00D55BAC"/>
    <w:rsid w:val="00D94E2D"/>
    <w:rsid w:val="00DC0514"/>
    <w:rsid w:val="00E6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98A9CA17C7144F2AB9468813E160297E">
    <w:name w:val="98A9CA17C7144F2AB9468813E16029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mac-ce"/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78A2B4-DC2A-43F3-8671-447BF4D73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Rychlá informace CZ - konjukturální průzkum</dc:title>
  <dc:subject/>
  <dc:creator>Benedikt Jan</dc:creator>
  <cp:keywords/>
  <dc:description/>
  <cp:lastModifiedBy>Chmurová Šárka</cp:lastModifiedBy>
  <cp:revision>46</cp:revision>
  <dcterms:created xsi:type="dcterms:W3CDTF">2026-06-23T21:26:00Z</dcterms:created>
  <dcterms:modified xsi:type="dcterms:W3CDTF">2026-08-27T07:22:36Z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