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73430" w14:textId="77777777" w:rsidR="00B957A6" w:rsidRPr="000533DD" w:rsidRDefault="00E64FFA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7</w:t>
      </w:r>
      <w:r w:rsidR="00B957A6" w:rsidRPr="000533DD">
        <w:rPr>
          <w:lang w:val="cs-CZ"/>
        </w:rPr>
        <w:t xml:space="preserve">. </w:t>
      </w:r>
      <w:r w:rsidR="00A97699">
        <w:rPr>
          <w:lang w:val="cs-CZ"/>
        </w:rPr>
        <w:t>5</w:t>
      </w:r>
      <w:r w:rsidR="00B957A6" w:rsidRPr="000533DD">
        <w:rPr>
          <w:lang w:val="cs-CZ"/>
        </w:rPr>
        <w:t>. 202</w:t>
      </w:r>
      <w:r w:rsidR="00A920D8">
        <w:rPr>
          <w:lang w:val="cs-CZ"/>
        </w:rPr>
        <w:t>5</w:t>
      </w:r>
    </w:p>
    <w:p w14:paraId="0169FDAB" w14:textId="77777777" w:rsidR="00B957A6" w:rsidRPr="00A85EF5" w:rsidRDefault="00A806DB" w:rsidP="00B957A6">
      <w:pPr>
        <w:pStyle w:val="Podtitulek"/>
        <w:spacing w:before="280" w:after="0" w:line="360" w:lineRule="exact"/>
      </w:pPr>
      <w:r w:rsidRPr="005849D0">
        <w:rPr>
          <w:color w:val="BD1B21"/>
          <w:sz w:val="32"/>
          <w:szCs w:val="32"/>
        </w:rPr>
        <w:t xml:space="preserve">Stavební produkce </w:t>
      </w:r>
      <w:r w:rsidR="001D6AAC" w:rsidRPr="005849D0">
        <w:rPr>
          <w:color w:val="BD1B21"/>
          <w:sz w:val="32"/>
          <w:szCs w:val="32"/>
        </w:rPr>
        <w:t>vzrostla</w:t>
      </w:r>
    </w:p>
    <w:p w14:paraId="5A352FB5" w14:textId="77777777"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A97699">
        <w:t>březen</w:t>
      </w:r>
      <w:r w:rsidRPr="00D337E2">
        <w:t xml:space="preserve"> 202</w:t>
      </w:r>
      <w:r w:rsidR="00C56A1B">
        <w:t>5</w:t>
      </w:r>
    </w:p>
    <w:p w14:paraId="45742180" w14:textId="77777777" w:rsidR="00B957A6" w:rsidRDefault="00B957A6" w:rsidP="00D318CD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EE44C5">
        <w:t>březnu</w:t>
      </w:r>
      <w:r w:rsidR="004E5026" w:rsidRPr="000533DD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CE6732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F75137">
        <w:rPr>
          <w:rFonts w:cs="Arial"/>
        </w:rPr>
        <w:t xml:space="preserve"> 12,1</w:t>
      </w:r>
      <w:r w:rsidR="008D468C">
        <w:rPr>
          <w:rFonts w:cs="Arial"/>
        </w:rPr>
        <w:t xml:space="preserve"> 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F75137">
        <w:rPr>
          <w:rFonts w:cs="Arial"/>
        </w:rPr>
        <w:t>vyšší</w:t>
      </w:r>
      <w:r w:rsidR="008D468C">
        <w:rPr>
          <w:rFonts w:cs="Arial"/>
        </w:rPr>
        <w:t xml:space="preserve"> </w:t>
      </w:r>
      <w:r w:rsidR="00C71709">
        <w:rPr>
          <w:rFonts w:cs="Arial"/>
        </w:rPr>
        <w:t xml:space="preserve">o </w:t>
      </w:r>
      <w:r w:rsidR="00F75137">
        <w:rPr>
          <w:rFonts w:cs="Arial"/>
        </w:rPr>
        <w:t>3,5</w:t>
      </w:r>
      <w:r>
        <w:rPr>
          <w:rFonts w:cs="Arial"/>
        </w:rPr>
        <w:t> %. Orientační hodnota vydaných stavebních</w:t>
      </w:r>
      <w:r w:rsidRPr="000533DD">
        <w:rPr>
          <w:rFonts w:cs="Arial"/>
        </w:rPr>
        <w:t xml:space="preserve"> povolení </w:t>
      </w:r>
      <w:r w:rsidR="009F7374">
        <w:rPr>
          <w:rFonts w:cs="Arial"/>
        </w:rPr>
        <w:t>klesla</w:t>
      </w:r>
      <w:r w:rsidRPr="000533DD">
        <w:rPr>
          <w:rFonts w:cs="Arial"/>
        </w:rPr>
        <w:t xml:space="preserve"> o </w:t>
      </w:r>
      <w:r w:rsidR="009F7374">
        <w:rPr>
          <w:rFonts w:cs="Arial"/>
        </w:rPr>
        <w:t>37</w:t>
      </w:r>
      <w:r>
        <w:rPr>
          <w:rFonts w:cs="Arial"/>
        </w:rPr>
        <w:t>,</w:t>
      </w:r>
      <w:r w:rsidR="009F7374">
        <w:rPr>
          <w:rFonts w:cs="Arial"/>
        </w:rPr>
        <w:t>2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9826D9">
        <w:rPr>
          <w:rFonts w:cs="Arial"/>
        </w:rPr>
        <w:t>15</w:t>
      </w:r>
      <w:r w:rsidRPr="000B0844">
        <w:rPr>
          <w:rFonts w:cs="Arial"/>
        </w:rPr>
        <w:t>,</w:t>
      </w:r>
      <w:r w:rsidR="009826D9">
        <w:rPr>
          <w:rFonts w:cs="Arial"/>
        </w:rPr>
        <w:t>9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B01166">
        <w:rPr>
          <w:rFonts w:cs="Arial"/>
        </w:rPr>
        <w:t>více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5656E4">
        <w:rPr>
          <w:rFonts w:cs="Arial"/>
        </w:rPr>
        <w:t>o </w:t>
      </w:r>
      <w:r w:rsidR="009826D9">
        <w:rPr>
          <w:rFonts w:cs="Arial"/>
        </w:rPr>
        <w:t>44</w:t>
      </w:r>
      <w:r w:rsidRPr="005656E4">
        <w:rPr>
          <w:rFonts w:cs="Arial"/>
        </w:rPr>
        <w:t>,</w:t>
      </w:r>
      <w:r w:rsidR="009826D9">
        <w:rPr>
          <w:rFonts w:cs="Arial"/>
        </w:rPr>
        <w:t>7</w:t>
      </w:r>
      <w:r w:rsidR="00E56465"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9826D9">
        <w:rPr>
          <w:rFonts w:cs="Arial"/>
        </w:rPr>
        <w:t>více</w:t>
      </w:r>
      <w:r w:rsidRPr="000533DD">
        <w:rPr>
          <w:rFonts w:cs="Arial"/>
        </w:rPr>
        <w:t>.</w:t>
      </w:r>
    </w:p>
    <w:p w14:paraId="1335FC47" w14:textId="77777777" w:rsidR="00B957A6" w:rsidRPr="00042771" w:rsidRDefault="00B957A6" w:rsidP="00D318CD">
      <w:pPr>
        <w:spacing w:before="120"/>
        <w:rPr>
          <w:rFonts w:cs="Arial"/>
          <w:szCs w:val="20"/>
        </w:rPr>
      </w:pPr>
      <w:r w:rsidRPr="000E37B1">
        <w:rPr>
          <w:rFonts w:cs="Arial"/>
          <w:szCs w:val="20"/>
        </w:rPr>
        <w:t xml:space="preserve">Stavební produkce byla </w:t>
      </w:r>
      <w:r w:rsidR="00621825" w:rsidRPr="00A63DAF">
        <w:rPr>
          <w:rFonts w:cs="Arial"/>
          <w:szCs w:val="20"/>
        </w:rPr>
        <w:t>v </w:t>
      </w:r>
      <w:r w:rsidR="00A97699">
        <w:t>březnu</w:t>
      </w:r>
      <w:r w:rsidR="00621825" w:rsidRPr="000E37B1">
        <w:rPr>
          <w:rFonts w:cs="Arial"/>
          <w:szCs w:val="20"/>
        </w:rPr>
        <w:t xml:space="preserve"> </w:t>
      </w:r>
      <w:r w:rsidRPr="000E37B1">
        <w:rPr>
          <w:rFonts w:cs="Arial"/>
          <w:szCs w:val="20"/>
        </w:rPr>
        <w:t xml:space="preserve">meziměsíčně </w:t>
      </w:r>
      <w:r w:rsidR="00F75137">
        <w:rPr>
          <w:rFonts w:cs="Arial"/>
          <w:szCs w:val="20"/>
        </w:rPr>
        <w:t>vyšší</w:t>
      </w:r>
      <w:r w:rsidRPr="000E37B1">
        <w:rPr>
          <w:rFonts w:cs="Arial"/>
          <w:szCs w:val="20"/>
        </w:rPr>
        <w:t xml:space="preserve"> o</w:t>
      </w:r>
      <w:r w:rsidR="00F75137">
        <w:rPr>
          <w:rFonts w:cs="Arial"/>
          <w:szCs w:val="20"/>
        </w:rPr>
        <w:t xml:space="preserve"> 3,5</w:t>
      </w:r>
      <w:r w:rsidR="007131D1">
        <w:rPr>
          <w:rFonts w:cs="Arial"/>
          <w:szCs w:val="20"/>
        </w:rPr>
        <w:t> </w:t>
      </w:r>
      <w:r w:rsidRPr="00042771">
        <w:rPr>
          <w:rFonts w:cs="Arial"/>
          <w:szCs w:val="20"/>
        </w:rPr>
        <w:t>%</w:t>
      </w:r>
      <w:r w:rsidR="00FE030B">
        <w:rPr>
          <w:rFonts w:cs="Arial"/>
          <w:szCs w:val="20"/>
        </w:rPr>
        <w:t>, m</w:t>
      </w:r>
      <w:r w:rsidR="0024268B" w:rsidRPr="0077686B">
        <w:rPr>
          <w:rFonts w:cs="Arial"/>
          <w:szCs w:val="20"/>
        </w:rPr>
        <w:t xml:space="preserve">eziročně </w:t>
      </w:r>
      <w:r w:rsidR="0024268B">
        <w:rPr>
          <w:rFonts w:cs="Arial"/>
          <w:szCs w:val="20"/>
        </w:rPr>
        <w:t>vzrostla</w:t>
      </w:r>
      <w:r w:rsidR="0024268B" w:rsidRPr="0077686B">
        <w:rPr>
          <w:rFonts w:cs="Arial"/>
          <w:szCs w:val="20"/>
        </w:rPr>
        <w:t xml:space="preserve"> o </w:t>
      </w:r>
      <w:r w:rsidR="00961E2F">
        <w:rPr>
          <w:rFonts w:cs="Arial"/>
          <w:szCs w:val="20"/>
        </w:rPr>
        <w:t>12,1 </w:t>
      </w:r>
      <w:r w:rsidR="0024268B" w:rsidRPr="0077686B">
        <w:rPr>
          <w:rFonts w:cs="Arial"/>
          <w:szCs w:val="20"/>
        </w:rPr>
        <w:t>%</w:t>
      </w:r>
      <w:r w:rsidR="00FE030B">
        <w:rPr>
          <w:rFonts w:cs="Arial"/>
          <w:szCs w:val="20"/>
        </w:rPr>
        <w:t>. P</w:t>
      </w:r>
      <w:r w:rsidR="00FE3145" w:rsidRPr="00042771">
        <w:rPr>
          <w:rFonts w:cs="Arial"/>
          <w:szCs w:val="20"/>
        </w:rPr>
        <w:t xml:space="preserve">rodukce v pozemním stavitelství se </w:t>
      </w:r>
      <w:r w:rsidR="00CE6732">
        <w:rPr>
          <w:rFonts w:cs="Arial"/>
          <w:szCs w:val="20"/>
        </w:rPr>
        <w:t>zvýšila</w:t>
      </w:r>
      <w:r w:rsidR="00FE3145" w:rsidRPr="00042771">
        <w:rPr>
          <w:rFonts w:cs="Arial"/>
          <w:szCs w:val="20"/>
        </w:rPr>
        <w:t xml:space="preserve"> o </w:t>
      </w:r>
      <w:r w:rsidR="00F75137">
        <w:rPr>
          <w:rFonts w:cs="Arial"/>
          <w:szCs w:val="20"/>
        </w:rPr>
        <w:t xml:space="preserve">10,4 </w:t>
      </w:r>
      <w:r w:rsidR="00FE3145" w:rsidRPr="00042771">
        <w:rPr>
          <w:rFonts w:cs="Arial"/>
          <w:szCs w:val="20"/>
        </w:rPr>
        <w:t xml:space="preserve">% a inženýrské stavitelství meziročně </w:t>
      </w:r>
      <w:r w:rsidR="00F44CE2">
        <w:rPr>
          <w:rFonts w:cs="Arial"/>
          <w:szCs w:val="20"/>
        </w:rPr>
        <w:t xml:space="preserve">vzrostlo </w:t>
      </w:r>
      <w:r w:rsidR="00F75137">
        <w:rPr>
          <w:rFonts w:cs="Arial"/>
          <w:szCs w:val="20"/>
        </w:rPr>
        <w:t xml:space="preserve">o 16,2 </w:t>
      </w:r>
      <w:r w:rsidR="00FE3145" w:rsidRPr="00042771">
        <w:rPr>
          <w:rFonts w:cs="Arial"/>
          <w:szCs w:val="20"/>
        </w:rPr>
        <w:t>%.</w:t>
      </w:r>
      <w:r w:rsidR="002D57E5" w:rsidRPr="00042771">
        <w:rPr>
          <w:rFonts w:cs="Arial"/>
          <w:szCs w:val="20"/>
        </w:rPr>
        <w:t xml:space="preserve"> </w:t>
      </w:r>
      <w:r w:rsidR="000532B0" w:rsidRPr="003E31EA">
        <w:rPr>
          <w:rFonts w:cs="Arial"/>
          <w:i/>
          <w:szCs w:val="20"/>
        </w:rPr>
        <w:t>„</w:t>
      </w:r>
      <w:r w:rsidR="000532B0">
        <w:rPr>
          <w:rFonts w:cs="Arial"/>
          <w:i/>
          <w:szCs w:val="20"/>
        </w:rPr>
        <w:t>Stavební produkce rostla v březnu dvouciferným tempem na inženýrských i pozemních stavbách a k tomuto růstu zčásti přispělo teplejší počasí a nízká srovnávací základna,</w:t>
      </w:r>
      <w:r w:rsidR="000532B0" w:rsidRPr="003E31EA">
        <w:rPr>
          <w:rFonts w:cs="Arial"/>
          <w:i/>
          <w:szCs w:val="20"/>
        </w:rPr>
        <w:t>“</w:t>
      </w:r>
      <w:r w:rsidR="000532B0" w:rsidRPr="003E31EA">
        <w:rPr>
          <w:rFonts w:cs="Arial"/>
          <w:szCs w:val="20"/>
        </w:rPr>
        <w:t xml:space="preserve"> </w:t>
      </w:r>
      <w:r w:rsidR="000532B0">
        <w:rPr>
          <w:rFonts w:cs="Arial"/>
          <w:szCs w:val="20"/>
        </w:rPr>
        <w:t>říká</w:t>
      </w:r>
      <w:r w:rsidR="000532B0" w:rsidRPr="003E31EA">
        <w:rPr>
          <w:rFonts w:cs="Arial"/>
          <w:szCs w:val="20"/>
        </w:rPr>
        <w:t xml:space="preserve"> Petra Cuřínová, vedoucí odd</w:t>
      </w:r>
      <w:r w:rsidR="000532B0">
        <w:rPr>
          <w:rFonts w:cs="Arial"/>
          <w:szCs w:val="20"/>
        </w:rPr>
        <w:t>ělení statistiky stavebnictví a </w:t>
      </w:r>
      <w:r w:rsidR="000532B0" w:rsidRPr="003E31EA">
        <w:rPr>
          <w:rFonts w:cs="Arial"/>
          <w:szCs w:val="20"/>
        </w:rPr>
        <w:t>bytové výstavby ČSÚ.</w:t>
      </w:r>
    </w:p>
    <w:p w14:paraId="191BDBEE" w14:textId="77777777" w:rsidR="00EE44C5" w:rsidRDefault="004A62FC" w:rsidP="00D318CD">
      <w:pPr>
        <w:spacing w:before="120"/>
        <w:rPr>
          <w:rFonts w:cs="Arial"/>
          <w:szCs w:val="20"/>
        </w:rPr>
      </w:pPr>
      <w:r w:rsidRPr="00042771">
        <w:rPr>
          <w:rFonts w:cs="Arial"/>
          <w:szCs w:val="20"/>
        </w:rPr>
        <w:t>Orientační hodnota staveb, na které bylo v </w:t>
      </w:r>
      <w:r w:rsidR="00A97699">
        <w:t>březnu</w:t>
      </w:r>
      <w:r w:rsidRPr="000E37B1">
        <w:rPr>
          <w:rFonts w:cs="Arial"/>
          <w:szCs w:val="20"/>
        </w:rPr>
        <w:t xml:space="preserve"> </w:t>
      </w:r>
      <w:r w:rsidRPr="00042771">
        <w:rPr>
          <w:rFonts w:cs="Arial"/>
          <w:szCs w:val="20"/>
        </w:rPr>
        <w:t xml:space="preserve">vydáno stavební povolení, dosáhla </w:t>
      </w:r>
      <w:r w:rsidR="009F7374">
        <w:rPr>
          <w:rFonts w:cs="Arial"/>
          <w:szCs w:val="20"/>
        </w:rPr>
        <w:t>41</w:t>
      </w:r>
      <w:r w:rsidRPr="00042771">
        <w:rPr>
          <w:rFonts w:cs="Arial"/>
          <w:szCs w:val="20"/>
        </w:rPr>
        <w:t>,</w:t>
      </w:r>
      <w:r w:rsidR="009F7374">
        <w:rPr>
          <w:rFonts w:cs="Arial"/>
          <w:szCs w:val="20"/>
        </w:rPr>
        <w:t>2</w:t>
      </w:r>
      <w:r w:rsidRPr="00042771">
        <w:rPr>
          <w:rFonts w:cs="Arial"/>
          <w:szCs w:val="20"/>
        </w:rPr>
        <w:t xml:space="preserve"> mld. Kč a meziročně </w:t>
      </w:r>
      <w:r w:rsidR="009F7374">
        <w:rPr>
          <w:rFonts w:cs="Arial"/>
          <w:szCs w:val="20"/>
        </w:rPr>
        <w:t>klesl</w:t>
      </w:r>
      <w:r w:rsidR="007357BF">
        <w:rPr>
          <w:rFonts w:cs="Arial"/>
        </w:rPr>
        <w:t>a</w:t>
      </w:r>
      <w:r w:rsidRPr="00042771">
        <w:rPr>
          <w:rFonts w:cs="Arial"/>
          <w:i/>
          <w:szCs w:val="20"/>
        </w:rPr>
        <w:t xml:space="preserve"> </w:t>
      </w:r>
      <w:r w:rsidRPr="00042771">
        <w:rPr>
          <w:rFonts w:cs="Arial"/>
          <w:szCs w:val="20"/>
        </w:rPr>
        <w:t>o </w:t>
      </w:r>
      <w:r w:rsidR="009F7374">
        <w:rPr>
          <w:rFonts w:cs="Arial"/>
          <w:szCs w:val="20"/>
        </w:rPr>
        <w:t>37</w:t>
      </w:r>
      <w:r w:rsidR="00072422" w:rsidRPr="007357BF">
        <w:rPr>
          <w:rFonts w:cs="Arial"/>
          <w:szCs w:val="20"/>
        </w:rPr>
        <w:t>,</w:t>
      </w:r>
      <w:r w:rsidR="009F7374">
        <w:rPr>
          <w:rFonts w:cs="Arial"/>
          <w:szCs w:val="20"/>
        </w:rPr>
        <w:t>2</w:t>
      </w:r>
      <w:r w:rsidRPr="00042771">
        <w:rPr>
          <w:rFonts w:cs="Arial"/>
          <w:szCs w:val="20"/>
        </w:rPr>
        <w:t> %.</w:t>
      </w:r>
      <w:r w:rsidR="00E56465">
        <w:rPr>
          <w:rFonts w:cs="Arial"/>
          <w:szCs w:val="20"/>
        </w:rPr>
        <w:t xml:space="preserve"> </w:t>
      </w:r>
      <w:r w:rsidR="00C06CA8" w:rsidRPr="00980C1D">
        <w:rPr>
          <w:rFonts w:cs="Arial"/>
          <w:i/>
          <w:szCs w:val="20"/>
        </w:rPr>
        <w:t>„</w:t>
      </w:r>
      <w:r w:rsidR="008D269B">
        <w:rPr>
          <w:rFonts w:cs="Arial"/>
          <w:i/>
          <w:szCs w:val="20"/>
        </w:rPr>
        <w:t>Meziroční pokles o</w:t>
      </w:r>
      <w:r w:rsidR="00C06CA8" w:rsidRPr="00980C1D">
        <w:rPr>
          <w:rFonts w:cs="Arial"/>
          <w:i/>
          <w:szCs w:val="20"/>
        </w:rPr>
        <w:t>rientační hodnot</w:t>
      </w:r>
      <w:r w:rsidR="008D269B">
        <w:rPr>
          <w:rFonts w:cs="Arial"/>
          <w:i/>
          <w:szCs w:val="20"/>
        </w:rPr>
        <w:t>y povolených</w:t>
      </w:r>
      <w:r w:rsidR="00C06CA8" w:rsidRPr="00980C1D">
        <w:rPr>
          <w:rFonts w:cs="Arial"/>
          <w:i/>
          <w:szCs w:val="20"/>
        </w:rPr>
        <w:t xml:space="preserve"> staveb</w:t>
      </w:r>
      <w:r w:rsidR="00C06CA8">
        <w:rPr>
          <w:rFonts w:cs="Arial"/>
          <w:bCs/>
          <w:i/>
          <w:szCs w:val="20"/>
        </w:rPr>
        <w:t xml:space="preserve"> ovlivnila vysoká srovnávací základna</w:t>
      </w:r>
      <w:r w:rsidR="00C06CA8" w:rsidRPr="00770A10">
        <w:rPr>
          <w:rFonts w:cs="Arial"/>
          <w:i/>
          <w:szCs w:val="20"/>
        </w:rPr>
        <w:t>. Po</w:t>
      </w:r>
      <w:r w:rsidR="00C06CA8">
        <w:rPr>
          <w:rFonts w:cs="Arial"/>
          <w:i/>
          <w:szCs w:val="20"/>
        </w:rPr>
        <w:t xml:space="preserve"> modelovém </w:t>
      </w:r>
      <w:r w:rsidR="00C06CA8" w:rsidRPr="00770A10">
        <w:rPr>
          <w:rFonts w:cs="Arial"/>
          <w:i/>
          <w:szCs w:val="20"/>
        </w:rPr>
        <w:t xml:space="preserve">odečtení </w:t>
      </w:r>
      <w:r w:rsidR="00C06CA8">
        <w:rPr>
          <w:rFonts w:cs="Arial"/>
          <w:bCs/>
          <w:i/>
          <w:szCs w:val="20"/>
        </w:rPr>
        <w:t xml:space="preserve">staveb </w:t>
      </w:r>
      <w:r w:rsidR="00C06CA8" w:rsidRPr="00770A10">
        <w:rPr>
          <w:rFonts w:cs="Arial"/>
          <w:i/>
          <w:szCs w:val="20"/>
        </w:rPr>
        <w:t>s rozpočty nad miliardu korun by</w:t>
      </w:r>
      <w:r w:rsidR="00C06CA8">
        <w:rPr>
          <w:rFonts w:cs="Arial"/>
          <w:i/>
          <w:szCs w:val="20"/>
        </w:rPr>
        <w:t xml:space="preserve"> byla</w:t>
      </w:r>
      <w:r w:rsidR="00C06CA8" w:rsidRPr="00770A10">
        <w:rPr>
          <w:rFonts w:cs="Arial"/>
          <w:i/>
          <w:szCs w:val="20"/>
        </w:rPr>
        <w:t xml:space="preserve"> orientační hodnota </w:t>
      </w:r>
      <w:r w:rsidR="00C06CA8">
        <w:rPr>
          <w:rFonts w:cs="Arial"/>
          <w:i/>
          <w:szCs w:val="20"/>
        </w:rPr>
        <w:t>na úrovni loňského března</w:t>
      </w:r>
      <w:r w:rsidR="00C06CA8" w:rsidRPr="00770A10">
        <w:rPr>
          <w:rFonts w:cs="Arial"/>
          <w:i/>
          <w:szCs w:val="20"/>
        </w:rPr>
        <w:t>,</w:t>
      </w:r>
      <w:r w:rsidR="00C06CA8" w:rsidRPr="00100F59">
        <w:rPr>
          <w:rFonts w:cs="Arial"/>
          <w:i/>
          <w:szCs w:val="20"/>
        </w:rPr>
        <w:t>“</w:t>
      </w:r>
      <w:r w:rsidR="00C06CA8">
        <w:rPr>
          <w:rFonts w:cs="Arial"/>
          <w:szCs w:val="20"/>
        </w:rPr>
        <w:t xml:space="preserve"> </w:t>
      </w:r>
      <w:r w:rsidR="000532B0">
        <w:rPr>
          <w:rFonts w:cs="Arial"/>
          <w:szCs w:val="20"/>
        </w:rPr>
        <w:t>vysvětluje</w:t>
      </w:r>
      <w:r w:rsidR="00C06CA8">
        <w:rPr>
          <w:rFonts w:cs="Arial"/>
          <w:szCs w:val="20"/>
        </w:rPr>
        <w:t xml:space="preserve"> </w:t>
      </w:r>
      <w:r w:rsidR="00C06CA8" w:rsidRPr="009C6B82">
        <w:rPr>
          <w:rFonts w:cs="Arial"/>
          <w:szCs w:val="20"/>
        </w:rPr>
        <w:t>Radek Matějka, ředitel odboru statistiky zemědělství a lesnictví, průmyslu, stavebnictví a energetiky ČSÚ.</w:t>
      </w:r>
    </w:p>
    <w:p w14:paraId="5CD0EC69" w14:textId="77777777" w:rsidR="00C56A1B" w:rsidRDefault="00A13E58" w:rsidP="00D318CD">
      <w:pPr>
        <w:spacing w:before="120"/>
        <w:rPr>
          <w:rFonts w:cs="Arial"/>
          <w:szCs w:val="20"/>
        </w:rPr>
      </w:pPr>
      <w:r w:rsidRPr="00A63DAF">
        <w:rPr>
          <w:rFonts w:cs="Arial"/>
          <w:bCs/>
          <w:szCs w:val="20"/>
        </w:rPr>
        <w:t>V </w:t>
      </w:r>
      <w:r w:rsidR="00A97699">
        <w:t>březnu</w:t>
      </w:r>
      <w:r w:rsidR="00C56A1B">
        <w:rPr>
          <w:rFonts w:cs="Arial"/>
          <w:szCs w:val="20"/>
        </w:rPr>
        <w:t xml:space="preserve"> 2025</w:t>
      </w:r>
      <w:r w:rsidRPr="00674DDA">
        <w:rPr>
          <w:rFonts w:cs="Arial"/>
          <w:bCs/>
          <w:szCs w:val="20"/>
        </w:rPr>
        <w:t xml:space="preserve"> byla zahájena výstavba </w:t>
      </w:r>
      <w:r w:rsidR="009826D9" w:rsidRPr="009826D9">
        <w:rPr>
          <w:rFonts w:cs="Arial"/>
          <w:szCs w:val="20"/>
        </w:rPr>
        <w:t>3</w:t>
      </w:r>
      <w:r w:rsidR="00C06CA8">
        <w:rPr>
          <w:rFonts w:cs="Arial"/>
          <w:szCs w:val="20"/>
        </w:rPr>
        <w:t> </w:t>
      </w:r>
      <w:r w:rsidR="009826D9" w:rsidRPr="009826D9">
        <w:rPr>
          <w:rFonts w:cs="Arial"/>
          <w:szCs w:val="20"/>
        </w:rPr>
        <w:t>137</w:t>
      </w:r>
      <w:r w:rsidRPr="00674DDA">
        <w:rPr>
          <w:rFonts w:cs="Arial"/>
          <w:szCs w:val="20"/>
        </w:rPr>
        <w:t xml:space="preserve"> bytů</w:t>
      </w:r>
      <w:r w:rsidR="00C95C5C">
        <w:rPr>
          <w:rFonts w:cs="Arial"/>
          <w:szCs w:val="20"/>
        </w:rPr>
        <w:t xml:space="preserve"> a t</w:t>
      </w:r>
      <w:r w:rsidRPr="00674DDA">
        <w:rPr>
          <w:rFonts w:cs="Arial"/>
          <w:bCs/>
          <w:szCs w:val="20"/>
        </w:rPr>
        <w:t xml:space="preserve">ento počet </w:t>
      </w:r>
      <w:r>
        <w:rPr>
          <w:rFonts w:cs="Arial"/>
          <w:bCs/>
          <w:szCs w:val="20"/>
        </w:rPr>
        <w:t xml:space="preserve">meziročně </w:t>
      </w:r>
      <w:r w:rsidR="00B01166">
        <w:rPr>
          <w:rFonts w:cs="Arial"/>
          <w:szCs w:val="20"/>
        </w:rPr>
        <w:t>vzrostl</w:t>
      </w:r>
      <w:r w:rsidRPr="00674DDA">
        <w:rPr>
          <w:rFonts w:cs="Arial"/>
          <w:szCs w:val="20"/>
        </w:rPr>
        <w:t xml:space="preserve"> o </w:t>
      </w:r>
      <w:r w:rsidR="009826D9">
        <w:rPr>
          <w:rFonts w:cs="Arial"/>
          <w:szCs w:val="20"/>
        </w:rPr>
        <w:t>15</w:t>
      </w:r>
      <w:r w:rsidRPr="00674DDA">
        <w:rPr>
          <w:rFonts w:cs="Arial"/>
          <w:szCs w:val="20"/>
        </w:rPr>
        <w:t>,</w:t>
      </w:r>
      <w:r w:rsidR="009826D9">
        <w:rPr>
          <w:rFonts w:cs="Arial"/>
          <w:szCs w:val="20"/>
        </w:rPr>
        <w:t>9</w:t>
      </w:r>
      <w:r w:rsidRPr="00674DDA">
        <w:rPr>
          <w:rFonts w:cs="Arial"/>
          <w:szCs w:val="20"/>
        </w:rPr>
        <w:t> </w:t>
      </w:r>
      <w:r w:rsidR="001D21FE">
        <w:rPr>
          <w:rFonts w:cs="Arial"/>
          <w:szCs w:val="20"/>
        </w:rPr>
        <w:t>%</w:t>
      </w:r>
      <w:r w:rsidR="00CD4E92">
        <w:rPr>
          <w:rFonts w:cs="Arial"/>
          <w:szCs w:val="20"/>
        </w:rPr>
        <w:t xml:space="preserve"> díky bytovým domům</w:t>
      </w:r>
      <w:r w:rsidR="001D21FE">
        <w:rPr>
          <w:rFonts w:cs="Arial"/>
          <w:szCs w:val="20"/>
        </w:rPr>
        <w:t>.</w:t>
      </w:r>
      <w:r w:rsidR="00AD6286">
        <w:rPr>
          <w:rFonts w:cs="Arial"/>
          <w:szCs w:val="20"/>
        </w:rPr>
        <w:t xml:space="preserve"> </w:t>
      </w:r>
      <w:r w:rsidR="00BD52D0">
        <w:rPr>
          <w:rFonts w:cs="Arial"/>
          <w:szCs w:val="20"/>
        </w:rPr>
        <w:t xml:space="preserve">Dokončeno bylo </w:t>
      </w:r>
      <w:r w:rsidR="009826D9" w:rsidRPr="009826D9">
        <w:rPr>
          <w:rFonts w:eastAsia="Times New Roman" w:cs="Arial"/>
          <w:szCs w:val="20"/>
          <w:lang w:eastAsia="cs-CZ"/>
        </w:rPr>
        <w:t>3</w:t>
      </w:r>
      <w:r w:rsidR="00CD4E92">
        <w:rPr>
          <w:rFonts w:eastAsia="Times New Roman" w:cs="Arial"/>
          <w:szCs w:val="20"/>
          <w:lang w:eastAsia="cs-CZ"/>
        </w:rPr>
        <w:t> </w:t>
      </w:r>
      <w:r w:rsidR="009826D9" w:rsidRPr="009826D9">
        <w:rPr>
          <w:rFonts w:eastAsia="Times New Roman" w:cs="Arial"/>
          <w:szCs w:val="20"/>
          <w:lang w:eastAsia="cs-CZ"/>
        </w:rPr>
        <w:t>699</w:t>
      </w:r>
      <w:r w:rsidR="00BD52D0">
        <w:rPr>
          <w:rFonts w:eastAsia="Times New Roman" w:cs="Arial"/>
          <w:szCs w:val="20"/>
          <w:lang w:eastAsia="cs-CZ"/>
        </w:rPr>
        <w:t xml:space="preserve"> </w:t>
      </w:r>
      <w:r w:rsidR="00BD52D0">
        <w:rPr>
          <w:rFonts w:cs="Arial"/>
          <w:szCs w:val="20"/>
        </w:rPr>
        <w:t>bytů</w:t>
      </w:r>
      <w:r w:rsidR="00BD52D0">
        <w:rPr>
          <w:rFonts w:cs="Arial"/>
          <w:bCs/>
          <w:szCs w:val="20"/>
        </w:rPr>
        <w:t xml:space="preserve">, což znamenalo meziroční </w:t>
      </w:r>
      <w:r w:rsidR="009826D9">
        <w:rPr>
          <w:rFonts w:cs="Arial"/>
          <w:bCs/>
          <w:szCs w:val="20"/>
        </w:rPr>
        <w:t>růst</w:t>
      </w:r>
      <w:r w:rsidR="00BD52D0">
        <w:rPr>
          <w:rFonts w:cs="Arial"/>
          <w:szCs w:val="20"/>
        </w:rPr>
        <w:t xml:space="preserve"> o </w:t>
      </w:r>
      <w:r w:rsidR="009826D9">
        <w:rPr>
          <w:rFonts w:cs="Arial"/>
          <w:szCs w:val="20"/>
        </w:rPr>
        <w:t>44</w:t>
      </w:r>
      <w:r w:rsidR="002D60C2">
        <w:rPr>
          <w:rFonts w:cs="Arial"/>
          <w:szCs w:val="20"/>
        </w:rPr>
        <w:t>,</w:t>
      </w:r>
      <w:r w:rsidR="009826D9">
        <w:rPr>
          <w:rFonts w:cs="Arial"/>
          <w:szCs w:val="20"/>
        </w:rPr>
        <w:t>7</w:t>
      </w:r>
      <w:r w:rsidR="009E11B0">
        <w:rPr>
          <w:rFonts w:cs="Arial"/>
          <w:szCs w:val="20"/>
        </w:rPr>
        <w:t> </w:t>
      </w:r>
      <w:r w:rsidR="00BD52D0">
        <w:rPr>
          <w:rFonts w:cs="Arial"/>
          <w:szCs w:val="20"/>
        </w:rPr>
        <w:t>%</w:t>
      </w:r>
      <w:r w:rsidR="00F13FE4">
        <w:rPr>
          <w:rFonts w:cs="Arial"/>
          <w:szCs w:val="20"/>
        </w:rPr>
        <w:t xml:space="preserve"> v důsledku dohrání dat za leden a únor.</w:t>
      </w:r>
    </w:p>
    <w:p w14:paraId="560A65C3" w14:textId="77777777" w:rsidR="00B957A6" w:rsidRDefault="00B957A6" w:rsidP="00D318CD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Eurostatu</w:t>
      </w:r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A97699" w:rsidRPr="00893604">
        <w:rPr>
          <w:rFonts w:cs="Arial"/>
          <w:bCs/>
          <w:szCs w:val="20"/>
        </w:rPr>
        <w:t>únoru</w:t>
      </w:r>
      <w:r w:rsidRPr="002F2C21">
        <w:rPr>
          <w:rFonts w:cs="Arial"/>
          <w:bCs/>
          <w:szCs w:val="20"/>
        </w:rPr>
        <w:t xml:space="preserve"> 202</w:t>
      </w:r>
      <w:r w:rsidR="001B26E0">
        <w:rPr>
          <w:rFonts w:cs="Arial"/>
          <w:bCs/>
          <w:szCs w:val="20"/>
        </w:rPr>
        <w:t>5</w:t>
      </w:r>
      <w:r w:rsidRPr="002F2C21">
        <w:rPr>
          <w:rFonts w:cs="Arial"/>
          <w:bCs/>
          <w:szCs w:val="20"/>
        </w:rPr>
        <w:t xml:space="preserve"> v EU27 </w:t>
      </w:r>
      <w:r w:rsidRPr="002F2C21">
        <w:rPr>
          <w:rFonts w:cs="Arial"/>
          <w:szCs w:val="20"/>
        </w:rPr>
        <w:t xml:space="preserve">meziročně </w:t>
      </w:r>
      <w:r w:rsidR="00CC1B23">
        <w:rPr>
          <w:rFonts w:cs="Arial"/>
          <w:szCs w:val="20"/>
        </w:rPr>
        <w:t>vzrostla</w:t>
      </w:r>
      <w:r w:rsidR="00F44CE2">
        <w:rPr>
          <w:rFonts w:cs="Arial"/>
          <w:szCs w:val="20"/>
        </w:rPr>
        <w:t xml:space="preserve"> o</w:t>
      </w:r>
      <w:r w:rsidR="00F75137">
        <w:rPr>
          <w:rFonts w:cs="Arial"/>
          <w:szCs w:val="20"/>
        </w:rPr>
        <w:t xml:space="preserve"> 0,3</w:t>
      </w:r>
      <w:r w:rsidR="009E11B0">
        <w:rPr>
          <w:rFonts w:cs="Arial"/>
          <w:szCs w:val="20"/>
        </w:rPr>
        <w:t> </w:t>
      </w:r>
      <w:r w:rsidRPr="002F2C21">
        <w:rPr>
          <w:rFonts w:cs="Arial"/>
          <w:szCs w:val="20"/>
        </w:rPr>
        <w:t>%.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A97699" w:rsidRPr="00C05D5D">
        <w:rPr>
          <w:rFonts w:cs="Arial"/>
          <w:szCs w:val="20"/>
        </w:rPr>
        <w:t>březen</w:t>
      </w:r>
      <w:r w:rsidRPr="002F2C21">
        <w:rPr>
          <w:rFonts w:cs="Arial"/>
          <w:szCs w:val="20"/>
        </w:rPr>
        <w:t xml:space="preserve"> 202</w:t>
      </w:r>
      <w:r w:rsidR="00C56A1B">
        <w:rPr>
          <w:rFonts w:cs="Arial"/>
          <w:szCs w:val="20"/>
        </w:rPr>
        <w:t>5</w:t>
      </w:r>
      <w:r w:rsidRPr="002F2C21">
        <w:rPr>
          <w:rFonts w:cs="Arial"/>
          <w:szCs w:val="20"/>
        </w:rPr>
        <w:t xml:space="preserve"> Eurostat zveřejní podle předběžného harmonogramu </w:t>
      </w:r>
      <w:r w:rsidRPr="00F75137">
        <w:rPr>
          <w:rFonts w:cs="Arial"/>
          <w:szCs w:val="20"/>
        </w:rPr>
        <w:t xml:space="preserve">dne </w:t>
      </w:r>
      <w:r w:rsidR="00F75137" w:rsidRPr="00F75137">
        <w:rPr>
          <w:rFonts w:cs="Arial"/>
          <w:szCs w:val="20"/>
        </w:rPr>
        <w:t>20</w:t>
      </w:r>
      <w:r w:rsidRPr="00F75137">
        <w:rPr>
          <w:rFonts w:cs="Arial"/>
          <w:szCs w:val="20"/>
        </w:rPr>
        <w:t>. </w:t>
      </w:r>
      <w:r w:rsidR="00F75137" w:rsidRPr="00F75137">
        <w:rPr>
          <w:rFonts w:cs="Arial"/>
          <w:szCs w:val="20"/>
        </w:rPr>
        <w:t>5</w:t>
      </w:r>
      <w:r w:rsidRPr="00F75137">
        <w:rPr>
          <w:rFonts w:cs="Arial"/>
          <w:szCs w:val="20"/>
        </w:rPr>
        <w:t>.</w:t>
      </w:r>
      <w:r w:rsidRPr="00CC1B23">
        <w:rPr>
          <w:rFonts w:cs="Arial"/>
          <w:szCs w:val="20"/>
        </w:rPr>
        <w:t> 202</w:t>
      </w:r>
      <w:r w:rsidR="000F28D0" w:rsidRPr="00CC1B23">
        <w:rPr>
          <w:rFonts w:cs="Arial"/>
          <w:szCs w:val="20"/>
        </w:rPr>
        <w:t>5</w:t>
      </w:r>
      <w:r w:rsidRPr="008D468C">
        <w:rPr>
          <w:rFonts w:cs="Arial"/>
          <w:szCs w:val="20"/>
        </w:rPr>
        <w:t>.</w:t>
      </w:r>
    </w:p>
    <w:p w14:paraId="67EEE013" w14:textId="6812BB96" w:rsidR="003639D1" w:rsidRDefault="003639D1" w:rsidP="003639D1">
      <w:pPr>
        <w:spacing w:before="120"/>
        <w:rPr>
          <w:rFonts w:cs="Arial"/>
          <w:szCs w:val="20"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 xml:space="preserve">o vývoji ve stavebnictví </w:t>
      </w:r>
      <w:r w:rsidRPr="00DA6FE5">
        <w:rPr>
          <w:szCs w:val="20"/>
        </w:rPr>
        <w:t>naleznete v </w:t>
      </w:r>
      <w:hyperlink r:id="rId10" w:history="1">
        <w:r w:rsidRPr="00C2563D">
          <w:rPr>
            <w:rStyle w:val="Hypertextovodkaz"/>
          </w:rPr>
          <w:t>doplňující informaci k RI stavebnictví</w:t>
        </w:r>
      </w:hyperlink>
      <w:bookmarkStart w:id="0" w:name="_GoBack"/>
      <w:bookmarkEnd w:id="0"/>
      <w:r w:rsidRPr="00DA6FE5">
        <w:t>.</w:t>
      </w:r>
    </w:p>
    <w:p w14:paraId="52172ADE" w14:textId="77777777" w:rsidR="00B957A6" w:rsidRPr="00C52044" w:rsidRDefault="00B957A6" w:rsidP="00D318CD">
      <w:pPr>
        <w:pStyle w:val="Poznmky0"/>
        <w:pBdr>
          <w:top w:val="single" w:sz="4" w:space="1" w:color="auto"/>
        </w:pBdr>
        <w:spacing w:before="0" w:line="240" w:lineRule="auto"/>
      </w:pPr>
      <w:r w:rsidRPr="00C52044">
        <w:t>Poznámky:</w:t>
      </w:r>
    </w:p>
    <w:p w14:paraId="5DD46B0D" w14:textId="77777777" w:rsidR="00B957A6" w:rsidRDefault="00B957A6" w:rsidP="00D318CD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Meziměsíční tempa jsou očištěna také o vliv sezónnosti.</w:t>
      </w:r>
    </w:p>
    <w:p w14:paraId="391BBAD9" w14:textId="77777777" w:rsidR="00B957A6" w:rsidRDefault="00B957A6" w:rsidP="00D318CD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1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77DBEA99" w14:textId="77777777" w:rsidR="00B957A6" w:rsidRPr="00627B07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627B07">
        <w:rPr>
          <w:i/>
        </w:rPr>
        <w:t>Zodpovědný vedoucí pracovník:</w:t>
      </w:r>
      <w:r w:rsidRPr="00627B07">
        <w:rPr>
          <w:i/>
        </w:rPr>
        <w:tab/>
        <w:t>Ing. Radek Matějka, ředitel odboru statistiky zemědělství a lesnictví, průmyslu, stavebnictví a energetiky, tel.: 736168543, e</w:t>
      </w:r>
      <w:r w:rsidRPr="00627B07">
        <w:rPr>
          <w:i/>
        </w:rPr>
        <w:noBreakHyphen/>
        <w:t>mail: </w:t>
      </w:r>
      <w:hyperlink r:id="rId12" w:history="1">
        <w:r w:rsidR="00E57983" w:rsidRPr="005D08F8">
          <w:rPr>
            <w:rStyle w:val="Hypertextovodkaz"/>
            <w:rFonts w:cs="Arial"/>
            <w:i/>
          </w:rPr>
          <w:t>radek.matejka@csu.gov.cz</w:t>
        </w:r>
      </w:hyperlink>
      <w:r w:rsidRPr="00627B07">
        <w:rPr>
          <w:rStyle w:val="Hypertextovodkaz"/>
          <w:rFonts w:cs="Arial"/>
          <w:i/>
          <w:color w:val="auto"/>
        </w:rPr>
        <w:t xml:space="preserve"> </w:t>
      </w:r>
      <w:r w:rsidRPr="00627B07">
        <w:rPr>
          <w:i/>
        </w:rPr>
        <w:t xml:space="preserve"> </w:t>
      </w:r>
    </w:p>
    <w:p w14:paraId="4AC3F2A2" w14:textId="77777777" w:rsidR="00B957A6" w:rsidRPr="00627B07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</w:r>
      <w:r w:rsidR="000D408F" w:rsidRPr="00627B07">
        <w:rPr>
          <w:i/>
        </w:rPr>
        <w:t xml:space="preserve">Ing. Petra Cuřínová, vedoucí oddělení statistiky stavebnictví a bytové výstavby, tel.: 737280494, e-mail: </w:t>
      </w:r>
      <w:hyperlink r:id="rId13" w:history="1">
        <w:r w:rsidR="000D408F" w:rsidRPr="005D08F8">
          <w:rPr>
            <w:rStyle w:val="Hypertextovodkaz"/>
            <w:rFonts w:cs="Arial"/>
            <w:i/>
          </w:rPr>
          <w:t>petra.curinova@csu.gov.cz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w14:paraId="5A3FFEDA" w14:textId="77777777" w:rsidR="00B957A6" w:rsidRPr="00627B07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Metoda získání dat:</w:t>
      </w:r>
      <w:r w:rsidRPr="00627B07">
        <w:rPr>
          <w:i/>
        </w:rPr>
        <w:tab/>
        <w:t>přímá zjišťování ČSÚ Stav 1-12 a Stav 2-12</w:t>
      </w:r>
    </w:p>
    <w:p w14:paraId="6420CE67" w14:textId="77777777" w:rsidR="00B957A6" w:rsidRPr="00627B07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ukončení sběru dat:</w:t>
      </w:r>
      <w:r w:rsidRPr="00627B07">
        <w:rPr>
          <w:i/>
        </w:rPr>
        <w:tab/>
      </w:r>
      <w:r w:rsidR="00F75137">
        <w:rPr>
          <w:i/>
        </w:rPr>
        <w:t>30</w:t>
      </w:r>
      <w:r w:rsidRPr="00627B07">
        <w:rPr>
          <w:i/>
        </w:rPr>
        <w:t xml:space="preserve">. </w:t>
      </w:r>
      <w:r w:rsidR="00F75137">
        <w:rPr>
          <w:i/>
        </w:rPr>
        <w:t>4</w:t>
      </w:r>
      <w:r w:rsidRPr="00627B07">
        <w:rPr>
          <w:i/>
        </w:rPr>
        <w:t>. 202</w:t>
      </w:r>
      <w:r w:rsidR="000F28D0">
        <w:rPr>
          <w:i/>
        </w:rPr>
        <w:t>5</w:t>
      </w:r>
    </w:p>
    <w:p w14:paraId="599B441F" w14:textId="77777777" w:rsidR="00E57983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4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14:paraId="34913905" w14:textId="77777777" w:rsidR="00B957A6" w:rsidRPr="00627B07" w:rsidRDefault="00AD693E" w:rsidP="00D318CD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  <w:rPr>
          <w:i/>
        </w:rPr>
      </w:pPr>
      <w:hyperlink r:id="rId15" w:history="1">
        <w:r w:rsidR="00E57983" w:rsidRPr="005D08F8">
          <w:rPr>
            <w:rStyle w:val="Hypertextovodkaz"/>
            <w:i/>
          </w:rPr>
          <w:t>https://csu.gov.cz/produkty/bvz_cr</w:t>
        </w:r>
      </w:hyperlink>
      <w:r w:rsidR="00E57983">
        <w:rPr>
          <w:i/>
        </w:rPr>
        <w:t xml:space="preserve"> </w:t>
      </w:r>
    </w:p>
    <w:p w14:paraId="424553E7" w14:textId="77777777" w:rsidR="00B957A6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6" w:history="1">
        <w:r w:rsidRPr="00E40C2B">
          <w:rPr>
            <w:rStyle w:val="Hypertextovodkaz"/>
            <w:i/>
          </w:rPr>
          <w:t>Eurostat</w:t>
        </w:r>
      </w:hyperlink>
    </w:p>
    <w:p w14:paraId="78B08BA6" w14:textId="77777777" w:rsidR="00B957A6" w:rsidRPr="00627B07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zveřejnění další RI:</w:t>
      </w:r>
      <w:r w:rsidRPr="00627B07">
        <w:rPr>
          <w:i/>
        </w:rPr>
        <w:tab/>
      </w:r>
      <w:r w:rsidR="00E93B22">
        <w:rPr>
          <w:i/>
        </w:rPr>
        <w:t>6</w:t>
      </w:r>
      <w:r w:rsidRPr="00627B07">
        <w:rPr>
          <w:i/>
        </w:rPr>
        <w:t xml:space="preserve">. </w:t>
      </w:r>
      <w:r w:rsidR="00E93B22">
        <w:rPr>
          <w:i/>
        </w:rPr>
        <w:t>6</w:t>
      </w:r>
      <w:r w:rsidRPr="00627B07">
        <w:rPr>
          <w:i/>
        </w:rPr>
        <w:t>. 202</w:t>
      </w:r>
      <w:r w:rsidR="00A13E58">
        <w:rPr>
          <w:i/>
        </w:rPr>
        <w:t>5</w:t>
      </w:r>
    </w:p>
    <w:p w14:paraId="27EA4B21" w14:textId="77777777" w:rsidR="00B957A6" w:rsidRDefault="00B957A6" w:rsidP="00D318CD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</w:p>
    <w:p w14:paraId="6250F326" w14:textId="77777777" w:rsidR="00B957A6" w:rsidRDefault="00B957A6" w:rsidP="00D318CD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w14:paraId="568CE18E" w14:textId="77777777" w:rsidR="00441A12" w:rsidRDefault="00441A12" w:rsidP="00D318CD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sz w:val="20"/>
          <w:szCs w:val="20"/>
        </w:rPr>
        <w:t>Doplňující informac</w:t>
      </w:r>
      <w:r>
        <w:rPr>
          <w:i w:val="0"/>
          <w:sz w:val="20"/>
          <w:szCs w:val="20"/>
        </w:rPr>
        <w:t>e</w:t>
      </w:r>
      <w:r w:rsidRPr="004006FE">
        <w:rPr>
          <w:i w:val="0"/>
          <w:sz w:val="20"/>
          <w:szCs w:val="20"/>
        </w:rPr>
        <w:t xml:space="preserve"> k RI stavebnictví</w:t>
      </w:r>
    </w:p>
    <w:p w14:paraId="75B5DBE0" w14:textId="77777777" w:rsidR="00B957A6" w:rsidRDefault="00B957A6" w:rsidP="00D318CD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14:paraId="5CC111AA" w14:textId="77777777" w:rsidR="003639D1" w:rsidRDefault="003639D1" w:rsidP="003639D1">
      <w:pPr>
        <w:pStyle w:val="Zkladntext3"/>
        <w:spacing w:line="247" w:lineRule="auto"/>
        <w:rPr>
          <w:lang w:eastAsia="en-US"/>
        </w:rPr>
      </w:pPr>
      <w:r w:rsidRPr="004006FE">
        <w:rPr>
          <w:rFonts w:eastAsia="Calibri"/>
          <w:lang w:eastAsia="en-US"/>
        </w:rPr>
        <w:t>Tab. 2 Index stavební produkce, stavební zakázky, stavební povolení a bytová výstavba (</w:t>
      </w:r>
      <w:r w:rsidRPr="004006FE">
        <w:rPr>
          <w:lang w:eastAsia="en-US"/>
        </w:rPr>
        <w:t>meziroční indexy</w:t>
      </w:r>
      <w:r w:rsidRPr="004006FE">
        <w:rPr>
          <w:rFonts w:eastAsia="Calibri"/>
          <w:lang w:eastAsia="en-US"/>
        </w:rPr>
        <w:t>, čtvrtletí)</w:t>
      </w:r>
    </w:p>
    <w:p w14:paraId="75CF992C" w14:textId="77777777" w:rsidR="00B957A6" w:rsidRPr="004006FE" w:rsidRDefault="00B957A6" w:rsidP="00D318CD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lastRenderedPageBreak/>
        <w:t>Graf 1 Index stavební produkce (meziroční indexy)</w:t>
      </w:r>
    </w:p>
    <w:p w14:paraId="383414D6" w14:textId="77777777" w:rsidR="00B957A6" w:rsidRPr="004006FE" w:rsidRDefault="00B957A6" w:rsidP="00D318CD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14:paraId="4110264A" w14:textId="77777777" w:rsidR="00D209A7" w:rsidRPr="00B957A6" w:rsidRDefault="00B957A6" w:rsidP="00D318CD">
      <w:pPr>
        <w:spacing w:line="240" w:lineRule="auto"/>
      </w:pPr>
      <w:r w:rsidRPr="004006FE">
        <w:rPr>
          <w:szCs w:val="20"/>
        </w:rPr>
        <w:t>Graf 3 Index stavební produkce – mezinárodní porovnání (bazické indexy)</w:t>
      </w:r>
    </w:p>
    <w:sectPr w:rsidR="00D209A7" w:rsidRPr="00B957A6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58120" w14:textId="77777777" w:rsidR="00D6362D" w:rsidRDefault="00D6362D" w:rsidP="00BA6370">
      <w:r>
        <w:separator/>
      </w:r>
    </w:p>
  </w:endnote>
  <w:endnote w:type="continuationSeparator" w:id="0">
    <w:p w14:paraId="0E276E63" w14:textId="77777777" w:rsidR="00D6362D" w:rsidRDefault="00D6362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7C896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2C1A33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8F5FD8E" w14:textId="42186D3D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D693E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A2C1A33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8F5FD8E" w14:textId="42186D3D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D693E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D010F" w14:textId="77777777" w:rsidR="00D6362D" w:rsidRDefault="00D6362D" w:rsidP="00BA6370">
      <w:r>
        <w:separator/>
      </w:r>
    </w:p>
  </w:footnote>
  <w:footnote w:type="continuationSeparator" w:id="0">
    <w:p w14:paraId="7DEE796F" w14:textId="77777777" w:rsidR="00D6362D" w:rsidRDefault="00D6362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A9F6B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614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A"/>
    <w:rsid w:val="0000189B"/>
    <w:rsid w:val="00005858"/>
    <w:rsid w:val="00025CF6"/>
    <w:rsid w:val="00032213"/>
    <w:rsid w:val="000365C1"/>
    <w:rsid w:val="00042771"/>
    <w:rsid w:val="00043BF4"/>
    <w:rsid w:val="000532B0"/>
    <w:rsid w:val="0005348D"/>
    <w:rsid w:val="0006266B"/>
    <w:rsid w:val="000634B1"/>
    <w:rsid w:val="00072422"/>
    <w:rsid w:val="00073569"/>
    <w:rsid w:val="00077869"/>
    <w:rsid w:val="000843A5"/>
    <w:rsid w:val="0008501C"/>
    <w:rsid w:val="00086943"/>
    <w:rsid w:val="00086EAE"/>
    <w:rsid w:val="000910DA"/>
    <w:rsid w:val="00096D6C"/>
    <w:rsid w:val="000A04A1"/>
    <w:rsid w:val="000B6F63"/>
    <w:rsid w:val="000C0AAD"/>
    <w:rsid w:val="000D093F"/>
    <w:rsid w:val="000D408F"/>
    <w:rsid w:val="000E3735"/>
    <w:rsid w:val="000E37B1"/>
    <w:rsid w:val="000E43CC"/>
    <w:rsid w:val="000F175A"/>
    <w:rsid w:val="000F28D0"/>
    <w:rsid w:val="00111493"/>
    <w:rsid w:val="00136105"/>
    <w:rsid w:val="001404AB"/>
    <w:rsid w:val="001511B3"/>
    <w:rsid w:val="0017231D"/>
    <w:rsid w:val="00172CA5"/>
    <w:rsid w:val="00173189"/>
    <w:rsid w:val="001810DC"/>
    <w:rsid w:val="001A5A9A"/>
    <w:rsid w:val="001B26E0"/>
    <w:rsid w:val="001B607F"/>
    <w:rsid w:val="001C088F"/>
    <w:rsid w:val="001D21FE"/>
    <w:rsid w:val="001D369A"/>
    <w:rsid w:val="001D6AAC"/>
    <w:rsid w:val="001E34C0"/>
    <w:rsid w:val="001E7AB8"/>
    <w:rsid w:val="001F08B3"/>
    <w:rsid w:val="001F2FE0"/>
    <w:rsid w:val="00200854"/>
    <w:rsid w:val="002027CF"/>
    <w:rsid w:val="00205D34"/>
    <w:rsid w:val="00206A6D"/>
    <w:rsid w:val="002070FB"/>
    <w:rsid w:val="00213729"/>
    <w:rsid w:val="00223B68"/>
    <w:rsid w:val="00240299"/>
    <w:rsid w:val="002406FA"/>
    <w:rsid w:val="0024268B"/>
    <w:rsid w:val="002503C3"/>
    <w:rsid w:val="0026107B"/>
    <w:rsid w:val="00264700"/>
    <w:rsid w:val="0027381F"/>
    <w:rsid w:val="00275DF8"/>
    <w:rsid w:val="0027756E"/>
    <w:rsid w:val="00283F21"/>
    <w:rsid w:val="00287228"/>
    <w:rsid w:val="002874EB"/>
    <w:rsid w:val="00297B03"/>
    <w:rsid w:val="002B0E6E"/>
    <w:rsid w:val="002B2E47"/>
    <w:rsid w:val="002C77AA"/>
    <w:rsid w:val="002D57E5"/>
    <w:rsid w:val="002D60C2"/>
    <w:rsid w:val="002D7F4F"/>
    <w:rsid w:val="002E55F8"/>
    <w:rsid w:val="003016CE"/>
    <w:rsid w:val="003118DE"/>
    <w:rsid w:val="003123FE"/>
    <w:rsid w:val="00316415"/>
    <w:rsid w:val="00321780"/>
    <w:rsid w:val="003301A3"/>
    <w:rsid w:val="00333E0F"/>
    <w:rsid w:val="00340E14"/>
    <w:rsid w:val="00341FD4"/>
    <w:rsid w:val="00361FA6"/>
    <w:rsid w:val="003639D1"/>
    <w:rsid w:val="0036777B"/>
    <w:rsid w:val="00370754"/>
    <w:rsid w:val="00380D3F"/>
    <w:rsid w:val="0038282A"/>
    <w:rsid w:val="00392000"/>
    <w:rsid w:val="00396D58"/>
    <w:rsid w:val="00397580"/>
    <w:rsid w:val="003A45C8"/>
    <w:rsid w:val="003A7054"/>
    <w:rsid w:val="003B7910"/>
    <w:rsid w:val="003C2DCF"/>
    <w:rsid w:val="003C4F7B"/>
    <w:rsid w:val="003C7FE7"/>
    <w:rsid w:val="003D0499"/>
    <w:rsid w:val="003D1D29"/>
    <w:rsid w:val="003D3576"/>
    <w:rsid w:val="003E5278"/>
    <w:rsid w:val="003E6592"/>
    <w:rsid w:val="003E72F3"/>
    <w:rsid w:val="003F3291"/>
    <w:rsid w:val="003F526A"/>
    <w:rsid w:val="003F7967"/>
    <w:rsid w:val="00405244"/>
    <w:rsid w:val="00412AF8"/>
    <w:rsid w:val="004154C7"/>
    <w:rsid w:val="004155A2"/>
    <w:rsid w:val="00415DBF"/>
    <w:rsid w:val="00431F45"/>
    <w:rsid w:val="004358D9"/>
    <w:rsid w:val="0043689E"/>
    <w:rsid w:val="00436EEB"/>
    <w:rsid w:val="00441A12"/>
    <w:rsid w:val="0044330B"/>
    <w:rsid w:val="004436EE"/>
    <w:rsid w:val="00451B7A"/>
    <w:rsid w:val="0045547F"/>
    <w:rsid w:val="0046250E"/>
    <w:rsid w:val="00471DEF"/>
    <w:rsid w:val="00472310"/>
    <w:rsid w:val="00474FC1"/>
    <w:rsid w:val="004822A8"/>
    <w:rsid w:val="004920AD"/>
    <w:rsid w:val="0049487B"/>
    <w:rsid w:val="0049528A"/>
    <w:rsid w:val="004A38CF"/>
    <w:rsid w:val="004A62FC"/>
    <w:rsid w:val="004D05B3"/>
    <w:rsid w:val="004E479E"/>
    <w:rsid w:val="004E5026"/>
    <w:rsid w:val="004F686C"/>
    <w:rsid w:val="004F78E6"/>
    <w:rsid w:val="00501AE2"/>
    <w:rsid w:val="0050420E"/>
    <w:rsid w:val="00507C1B"/>
    <w:rsid w:val="00512D99"/>
    <w:rsid w:val="00520CB9"/>
    <w:rsid w:val="00521696"/>
    <w:rsid w:val="005247B3"/>
    <w:rsid w:val="00531DBB"/>
    <w:rsid w:val="0055101E"/>
    <w:rsid w:val="00573994"/>
    <w:rsid w:val="005849D0"/>
    <w:rsid w:val="005A30C5"/>
    <w:rsid w:val="005A41E9"/>
    <w:rsid w:val="005C7F70"/>
    <w:rsid w:val="005D2B21"/>
    <w:rsid w:val="005D5EBB"/>
    <w:rsid w:val="005F0EAF"/>
    <w:rsid w:val="005F46DC"/>
    <w:rsid w:val="005F79FB"/>
    <w:rsid w:val="00604406"/>
    <w:rsid w:val="00605F4A"/>
    <w:rsid w:val="00607822"/>
    <w:rsid w:val="006103AA"/>
    <w:rsid w:val="00610688"/>
    <w:rsid w:val="00613BBF"/>
    <w:rsid w:val="00621825"/>
    <w:rsid w:val="00622B80"/>
    <w:rsid w:val="00622C1C"/>
    <w:rsid w:val="006254F3"/>
    <w:rsid w:val="00631459"/>
    <w:rsid w:val="00635062"/>
    <w:rsid w:val="0064139A"/>
    <w:rsid w:val="0066387F"/>
    <w:rsid w:val="00664CC5"/>
    <w:rsid w:val="00674DBC"/>
    <w:rsid w:val="00674DDA"/>
    <w:rsid w:val="00682184"/>
    <w:rsid w:val="0068455B"/>
    <w:rsid w:val="006865C2"/>
    <w:rsid w:val="00687256"/>
    <w:rsid w:val="00692211"/>
    <w:rsid w:val="006931CF"/>
    <w:rsid w:val="006952A9"/>
    <w:rsid w:val="006C41D7"/>
    <w:rsid w:val="006C5BE9"/>
    <w:rsid w:val="006D21EB"/>
    <w:rsid w:val="006D6610"/>
    <w:rsid w:val="006E024F"/>
    <w:rsid w:val="006E4E81"/>
    <w:rsid w:val="006E6F67"/>
    <w:rsid w:val="0070419E"/>
    <w:rsid w:val="00707F7D"/>
    <w:rsid w:val="007131D1"/>
    <w:rsid w:val="00717EC5"/>
    <w:rsid w:val="00724AC5"/>
    <w:rsid w:val="00727C3F"/>
    <w:rsid w:val="007357BF"/>
    <w:rsid w:val="00740B79"/>
    <w:rsid w:val="0074210B"/>
    <w:rsid w:val="00754C20"/>
    <w:rsid w:val="007673D5"/>
    <w:rsid w:val="007679F5"/>
    <w:rsid w:val="00773845"/>
    <w:rsid w:val="00782E4F"/>
    <w:rsid w:val="00794EB8"/>
    <w:rsid w:val="007A2048"/>
    <w:rsid w:val="007A42AA"/>
    <w:rsid w:val="007A4BD7"/>
    <w:rsid w:val="007A57F2"/>
    <w:rsid w:val="007B1333"/>
    <w:rsid w:val="007B35AB"/>
    <w:rsid w:val="007B613C"/>
    <w:rsid w:val="007C1974"/>
    <w:rsid w:val="007C5F1A"/>
    <w:rsid w:val="007D791F"/>
    <w:rsid w:val="007E318F"/>
    <w:rsid w:val="007F4AEB"/>
    <w:rsid w:val="007F75B2"/>
    <w:rsid w:val="00803993"/>
    <w:rsid w:val="008043C4"/>
    <w:rsid w:val="008128E1"/>
    <w:rsid w:val="00831B1B"/>
    <w:rsid w:val="00832C86"/>
    <w:rsid w:val="00835986"/>
    <w:rsid w:val="0085464A"/>
    <w:rsid w:val="00855D2C"/>
    <w:rsid w:val="00855FB3"/>
    <w:rsid w:val="008574EA"/>
    <w:rsid w:val="00861D0E"/>
    <w:rsid w:val="008662BB"/>
    <w:rsid w:val="00867569"/>
    <w:rsid w:val="008711A2"/>
    <w:rsid w:val="008A7122"/>
    <w:rsid w:val="008A750A"/>
    <w:rsid w:val="008B3970"/>
    <w:rsid w:val="008B74D4"/>
    <w:rsid w:val="008C068C"/>
    <w:rsid w:val="008C384C"/>
    <w:rsid w:val="008C481E"/>
    <w:rsid w:val="008D0F11"/>
    <w:rsid w:val="008D269B"/>
    <w:rsid w:val="008D468C"/>
    <w:rsid w:val="008F73B4"/>
    <w:rsid w:val="00913E72"/>
    <w:rsid w:val="009378D1"/>
    <w:rsid w:val="00961E2F"/>
    <w:rsid w:val="009651CE"/>
    <w:rsid w:val="0097608A"/>
    <w:rsid w:val="0097627D"/>
    <w:rsid w:val="00980CAB"/>
    <w:rsid w:val="009826D9"/>
    <w:rsid w:val="009857A0"/>
    <w:rsid w:val="00986DD7"/>
    <w:rsid w:val="009B1D90"/>
    <w:rsid w:val="009B205A"/>
    <w:rsid w:val="009B55B1"/>
    <w:rsid w:val="009B62A7"/>
    <w:rsid w:val="009C40A4"/>
    <w:rsid w:val="009E11B0"/>
    <w:rsid w:val="009F7374"/>
    <w:rsid w:val="00A00324"/>
    <w:rsid w:val="00A0762A"/>
    <w:rsid w:val="00A1095E"/>
    <w:rsid w:val="00A13E58"/>
    <w:rsid w:val="00A261EC"/>
    <w:rsid w:val="00A32B2A"/>
    <w:rsid w:val="00A43038"/>
    <w:rsid w:val="00A4343D"/>
    <w:rsid w:val="00A46A60"/>
    <w:rsid w:val="00A502F1"/>
    <w:rsid w:val="00A53308"/>
    <w:rsid w:val="00A63DAF"/>
    <w:rsid w:val="00A64E4A"/>
    <w:rsid w:val="00A67D4D"/>
    <w:rsid w:val="00A70A83"/>
    <w:rsid w:val="00A73FAE"/>
    <w:rsid w:val="00A806DB"/>
    <w:rsid w:val="00A80EBF"/>
    <w:rsid w:val="00A8139C"/>
    <w:rsid w:val="00A81EB3"/>
    <w:rsid w:val="00A87355"/>
    <w:rsid w:val="00A920D8"/>
    <w:rsid w:val="00A9340F"/>
    <w:rsid w:val="00A94026"/>
    <w:rsid w:val="00A950A0"/>
    <w:rsid w:val="00A955BC"/>
    <w:rsid w:val="00A97699"/>
    <w:rsid w:val="00AA5017"/>
    <w:rsid w:val="00AA605C"/>
    <w:rsid w:val="00AB3410"/>
    <w:rsid w:val="00AB5D74"/>
    <w:rsid w:val="00AC04BA"/>
    <w:rsid w:val="00AC23E7"/>
    <w:rsid w:val="00AC79CE"/>
    <w:rsid w:val="00AD16C2"/>
    <w:rsid w:val="00AD6286"/>
    <w:rsid w:val="00AD693E"/>
    <w:rsid w:val="00AE3FA8"/>
    <w:rsid w:val="00AE613C"/>
    <w:rsid w:val="00AF0101"/>
    <w:rsid w:val="00AF5C67"/>
    <w:rsid w:val="00AF6280"/>
    <w:rsid w:val="00B00C1D"/>
    <w:rsid w:val="00B01166"/>
    <w:rsid w:val="00B011B3"/>
    <w:rsid w:val="00B25D02"/>
    <w:rsid w:val="00B3306C"/>
    <w:rsid w:val="00B44D7F"/>
    <w:rsid w:val="00B5497F"/>
    <w:rsid w:val="00B55375"/>
    <w:rsid w:val="00B62B41"/>
    <w:rsid w:val="00B632CC"/>
    <w:rsid w:val="00B957A6"/>
    <w:rsid w:val="00BA12F1"/>
    <w:rsid w:val="00BA439F"/>
    <w:rsid w:val="00BA6370"/>
    <w:rsid w:val="00BB11BE"/>
    <w:rsid w:val="00BB69F4"/>
    <w:rsid w:val="00BB7C81"/>
    <w:rsid w:val="00BD301A"/>
    <w:rsid w:val="00BD52D0"/>
    <w:rsid w:val="00BE4399"/>
    <w:rsid w:val="00BE600B"/>
    <w:rsid w:val="00BF48A9"/>
    <w:rsid w:val="00C06CA8"/>
    <w:rsid w:val="00C16676"/>
    <w:rsid w:val="00C2563D"/>
    <w:rsid w:val="00C269D4"/>
    <w:rsid w:val="00C35900"/>
    <w:rsid w:val="00C37ADB"/>
    <w:rsid w:val="00C4160D"/>
    <w:rsid w:val="00C56A1B"/>
    <w:rsid w:val="00C61EBD"/>
    <w:rsid w:val="00C651DF"/>
    <w:rsid w:val="00C65432"/>
    <w:rsid w:val="00C71709"/>
    <w:rsid w:val="00C8406E"/>
    <w:rsid w:val="00C87724"/>
    <w:rsid w:val="00C95C5C"/>
    <w:rsid w:val="00CB2709"/>
    <w:rsid w:val="00CB6F89"/>
    <w:rsid w:val="00CC0AE9"/>
    <w:rsid w:val="00CC1B23"/>
    <w:rsid w:val="00CC430D"/>
    <w:rsid w:val="00CC4A6F"/>
    <w:rsid w:val="00CD4E92"/>
    <w:rsid w:val="00CD618A"/>
    <w:rsid w:val="00CE13A2"/>
    <w:rsid w:val="00CE228C"/>
    <w:rsid w:val="00CE6732"/>
    <w:rsid w:val="00CE7046"/>
    <w:rsid w:val="00CE71D9"/>
    <w:rsid w:val="00CF53CB"/>
    <w:rsid w:val="00CF545B"/>
    <w:rsid w:val="00D129B9"/>
    <w:rsid w:val="00D16FA1"/>
    <w:rsid w:val="00D209A7"/>
    <w:rsid w:val="00D27D69"/>
    <w:rsid w:val="00D318CD"/>
    <w:rsid w:val="00D329B1"/>
    <w:rsid w:val="00D33658"/>
    <w:rsid w:val="00D3597A"/>
    <w:rsid w:val="00D448C2"/>
    <w:rsid w:val="00D47D86"/>
    <w:rsid w:val="00D509C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6F1C"/>
    <w:rsid w:val="00D81899"/>
    <w:rsid w:val="00D91238"/>
    <w:rsid w:val="00D9189F"/>
    <w:rsid w:val="00D953D8"/>
    <w:rsid w:val="00DF4663"/>
    <w:rsid w:val="00DF47FE"/>
    <w:rsid w:val="00E0156A"/>
    <w:rsid w:val="00E256C0"/>
    <w:rsid w:val="00E26704"/>
    <w:rsid w:val="00E31980"/>
    <w:rsid w:val="00E36742"/>
    <w:rsid w:val="00E53E33"/>
    <w:rsid w:val="00E56465"/>
    <w:rsid w:val="00E57983"/>
    <w:rsid w:val="00E641C4"/>
    <w:rsid w:val="00E6423C"/>
    <w:rsid w:val="00E64FFA"/>
    <w:rsid w:val="00E81B10"/>
    <w:rsid w:val="00E93259"/>
    <w:rsid w:val="00E93830"/>
    <w:rsid w:val="00E93B22"/>
    <w:rsid w:val="00E93E0E"/>
    <w:rsid w:val="00EB1ED3"/>
    <w:rsid w:val="00ED5C67"/>
    <w:rsid w:val="00EE06C0"/>
    <w:rsid w:val="00EE44C5"/>
    <w:rsid w:val="00EE5789"/>
    <w:rsid w:val="00EF4C14"/>
    <w:rsid w:val="00EF7D57"/>
    <w:rsid w:val="00F00AE6"/>
    <w:rsid w:val="00F13FE4"/>
    <w:rsid w:val="00F21977"/>
    <w:rsid w:val="00F27DA8"/>
    <w:rsid w:val="00F422DF"/>
    <w:rsid w:val="00F44CE2"/>
    <w:rsid w:val="00F61722"/>
    <w:rsid w:val="00F705A3"/>
    <w:rsid w:val="00F72523"/>
    <w:rsid w:val="00F75137"/>
    <w:rsid w:val="00F75F2A"/>
    <w:rsid w:val="00F76D39"/>
    <w:rsid w:val="00F841DB"/>
    <w:rsid w:val="00FA7D70"/>
    <w:rsid w:val="00FB687C"/>
    <w:rsid w:val="00FB6DD4"/>
    <w:rsid w:val="00FE030B"/>
    <w:rsid w:val="00FE3145"/>
    <w:rsid w:val="00FF16BC"/>
    <w:rsid w:val="00FF605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071bc"/>
    </o:shapedefaults>
    <o:shapelayout v:ext="edit">
      <o:idmap v:ext="edit" data="1"/>
    </o:shapelayout>
  </w:shapeDefaults>
  <w:decimalSymbol w:val=","/>
  <w:listSeparator w:val=";"/>
  <w14:docId w14:val="2DB5BF3B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short-term-business-statistics/publi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avebnictvi_metodika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bvz_cr" TargetMode="External"/><Relationship Id="rId10" Type="http://schemas.openxmlformats.org/officeDocument/2006/relationships/hyperlink" Target="https://csu.gov.cz/docs/107532/34380fae-f327-f956-3d03-06f959518c7f/csta050725_komentar.pdf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sta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purl.org/dc/terms/"/>
    <ds:schemaRef ds:uri="http://www.w3.org/XML/1998/namespace"/>
    <ds:schemaRef ds:uri="http://schemas.microsoft.com/office/2006/documentManagement/types"/>
    <ds:schemaRef ds:uri="6f5a4aca-455c-4012-a902-4d97d6c174df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ADBE4-A131-4E52-943A-898ED45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CC895F-28EF-43C0-99FE-AEF44796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47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3366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6</cp:revision>
  <dcterms:created xsi:type="dcterms:W3CDTF">2025-05-05T07:45:00Z</dcterms:created>
  <dcterms:modified xsi:type="dcterms:W3CDTF">2025-05-06T11:44:00Z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