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0330" w14:textId="32E623E2" w:rsidR="000C176D" w:rsidRPr="008B1A1D" w:rsidRDefault="00786C5D" w:rsidP="000C176D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>
        <w:rPr>
          <w:rFonts w:eastAsia="Calibri" w:cs="Arial"/>
          <w:bCs w:val="0"/>
          <w:color w:val="auto"/>
          <w:sz w:val="18"/>
          <w:szCs w:val="22"/>
        </w:rPr>
        <w:t>3</w:t>
      </w:r>
      <w:r w:rsidR="000C176D" w:rsidRPr="00424047">
        <w:rPr>
          <w:rFonts w:eastAsia="Calibri" w:cs="Arial"/>
          <w:bCs w:val="0"/>
          <w:color w:val="auto"/>
          <w:sz w:val="18"/>
          <w:szCs w:val="22"/>
        </w:rPr>
        <w:t xml:space="preserve">. </w:t>
      </w:r>
      <w:r>
        <w:rPr>
          <w:rFonts w:eastAsia="Calibri" w:cs="Arial"/>
          <w:bCs w:val="0"/>
          <w:color w:val="auto"/>
          <w:sz w:val="18"/>
          <w:szCs w:val="22"/>
        </w:rPr>
        <w:t>3</w:t>
      </w:r>
      <w:r w:rsidR="000C176D" w:rsidRPr="00424047">
        <w:rPr>
          <w:rFonts w:eastAsia="Calibri" w:cs="Arial"/>
          <w:bCs w:val="0"/>
          <w:color w:val="auto"/>
          <w:sz w:val="18"/>
          <w:szCs w:val="22"/>
        </w:rPr>
        <w:t>. 20</w:t>
      </w:r>
      <w:r w:rsidR="000C176D">
        <w:rPr>
          <w:rFonts w:eastAsia="Calibri" w:cs="Arial"/>
          <w:bCs w:val="0"/>
          <w:color w:val="auto"/>
          <w:sz w:val="18"/>
          <w:szCs w:val="22"/>
        </w:rPr>
        <w:t>2</w:t>
      </w:r>
      <w:r>
        <w:rPr>
          <w:rFonts w:eastAsia="Calibri" w:cs="Arial"/>
          <w:bCs w:val="0"/>
          <w:color w:val="auto"/>
          <w:sz w:val="18"/>
          <w:szCs w:val="22"/>
        </w:rPr>
        <w:t>6</w:t>
      </w:r>
    </w:p>
    <w:p w14:paraId="178141C0" w14:textId="7A94B7D2" w:rsidR="000C176D" w:rsidRPr="00424047" w:rsidRDefault="000C176D" w:rsidP="000C176D">
      <w:pPr>
        <w:pStyle w:val="Nzev"/>
        <w:spacing w:after="360"/>
      </w:pPr>
      <w:r>
        <w:t>HDP v roce 202</w:t>
      </w:r>
      <w:r w:rsidR="00786C5D">
        <w:t>5</w:t>
      </w:r>
      <w:r>
        <w:t xml:space="preserve"> </w:t>
      </w:r>
      <w:r w:rsidR="00FE604C">
        <w:t>vzrostl</w:t>
      </w:r>
      <w:r>
        <w:t xml:space="preserve"> o </w:t>
      </w:r>
      <w:r w:rsidR="00810B85">
        <w:t>2</w:t>
      </w:r>
      <w:r>
        <w:t>,</w:t>
      </w:r>
      <w:r w:rsidR="00042727">
        <w:t>6</w:t>
      </w:r>
      <w:r>
        <w:t xml:space="preserve"> %</w:t>
      </w:r>
    </w:p>
    <w:p w14:paraId="54C41939" w14:textId="4F7D6F15" w:rsidR="000C176D" w:rsidRPr="00424047" w:rsidRDefault="000C176D" w:rsidP="000C176D">
      <w:pPr>
        <w:pStyle w:val="Podtitulek"/>
      </w:pPr>
      <w:r w:rsidRPr="00424047">
        <w:t xml:space="preserve">Tvorba a užití HDP – </w:t>
      </w:r>
      <w:r>
        <w:t>4. čtvrtletí 202</w:t>
      </w:r>
      <w:r w:rsidR="00786C5D">
        <w:t>5</w:t>
      </w:r>
    </w:p>
    <w:p w14:paraId="02087B93" w14:textId="405C1AE0" w:rsidR="000C176D" w:rsidRDefault="000C176D" w:rsidP="000C176D">
      <w:pPr>
        <w:spacing w:before="240"/>
        <w:rPr>
          <w:rFonts w:cs="Arial"/>
          <w:b/>
          <w:szCs w:val="18"/>
        </w:rPr>
      </w:pPr>
      <w:r w:rsidRPr="00053D0B">
        <w:rPr>
          <w:rFonts w:cs="Arial"/>
          <w:b/>
          <w:szCs w:val="18"/>
        </w:rPr>
        <w:t xml:space="preserve">Podle zpřesněného odhadu </w:t>
      </w:r>
      <w:r>
        <w:rPr>
          <w:rFonts w:cs="Arial"/>
          <w:b/>
          <w:szCs w:val="18"/>
        </w:rPr>
        <w:t>vzrostl</w:t>
      </w:r>
      <w:r w:rsidRPr="00053D0B">
        <w:rPr>
          <w:rFonts w:cs="Arial"/>
          <w:b/>
          <w:szCs w:val="18"/>
        </w:rPr>
        <w:t xml:space="preserve"> hrubý domácí produkt ve </w:t>
      </w:r>
      <w:r>
        <w:rPr>
          <w:rFonts w:cs="Arial"/>
          <w:b/>
          <w:szCs w:val="18"/>
        </w:rPr>
        <w:t>4. čtvrtletí 202</w:t>
      </w:r>
      <w:r w:rsidR="00786C5D">
        <w:rPr>
          <w:rFonts w:cs="Arial"/>
          <w:b/>
          <w:szCs w:val="18"/>
        </w:rPr>
        <w:t>5</w:t>
      </w:r>
      <w:r>
        <w:rPr>
          <w:rFonts w:cs="Arial"/>
          <w:b/>
          <w:szCs w:val="18"/>
        </w:rPr>
        <w:t xml:space="preserve"> mezičtvrtletně o </w:t>
      </w:r>
      <w:r w:rsidRPr="00053D0B">
        <w:rPr>
          <w:rFonts w:cs="Arial"/>
          <w:b/>
          <w:szCs w:val="18"/>
        </w:rPr>
        <w:t>0,</w:t>
      </w:r>
      <w:r w:rsidR="00BC5640">
        <w:rPr>
          <w:rFonts w:cs="Arial"/>
          <w:b/>
          <w:szCs w:val="18"/>
        </w:rPr>
        <w:t>6</w:t>
      </w:r>
      <w:r>
        <w:rPr>
          <w:rFonts w:cs="Arial"/>
          <w:b/>
          <w:szCs w:val="18"/>
        </w:rPr>
        <w:t> </w:t>
      </w:r>
      <w:r w:rsidRPr="00053D0B">
        <w:rPr>
          <w:rFonts w:cs="Arial"/>
          <w:b/>
          <w:szCs w:val="18"/>
        </w:rPr>
        <w:t xml:space="preserve">% a </w:t>
      </w:r>
      <w:r>
        <w:rPr>
          <w:rFonts w:cs="Arial"/>
          <w:b/>
          <w:szCs w:val="18"/>
        </w:rPr>
        <w:t xml:space="preserve">meziročně o </w:t>
      </w:r>
      <w:r w:rsidR="00810B85">
        <w:rPr>
          <w:rFonts w:cs="Arial"/>
          <w:b/>
          <w:szCs w:val="18"/>
        </w:rPr>
        <w:t>2</w:t>
      </w:r>
      <w:r w:rsidRPr="00053D0B">
        <w:rPr>
          <w:rFonts w:cs="Arial"/>
          <w:b/>
          <w:szCs w:val="18"/>
        </w:rPr>
        <w:t>,</w:t>
      </w:r>
      <w:r w:rsidR="00BC5640">
        <w:rPr>
          <w:rFonts w:cs="Arial"/>
          <w:b/>
          <w:szCs w:val="18"/>
        </w:rPr>
        <w:t>6</w:t>
      </w:r>
      <w:r>
        <w:rPr>
          <w:rFonts w:cs="Arial"/>
          <w:b/>
          <w:szCs w:val="18"/>
        </w:rPr>
        <w:t> </w:t>
      </w:r>
      <w:r w:rsidRPr="00053D0B">
        <w:rPr>
          <w:rFonts w:cs="Arial"/>
          <w:b/>
          <w:szCs w:val="18"/>
        </w:rPr>
        <w:t xml:space="preserve">%. </w:t>
      </w:r>
      <w:r>
        <w:rPr>
          <w:rFonts w:cs="Arial"/>
          <w:b/>
          <w:szCs w:val="18"/>
        </w:rPr>
        <w:t>HDP za celý rok 202</w:t>
      </w:r>
      <w:r w:rsidR="00810B85">
        <w:rPr>
          <w:rFonts w:cs="Arial"/>
          <w:b/>
          <w:szCs w:val="18"/>
        </w:rPr>
        <w:t>5</w:t>
      </w:r>
      <w:r w:rsidRPr="00053D0B">
        <w:rPr>
          <w:rFonts w:cs="Arial"/>
          <w:b/>
          <w:szCs w:val="18"/>
        </w:rPr>
        <w:t xml:space="preserve"> </w:t>
      </w:r>
      <w:r w:rsidR="00FE604C">
        <w:rPr>
          <w:rFonts w:cs="Arial"/>
          <w:b/>
          <w:szCs w:val="18"/>
        </w:rPr>
        <w:t>vzrostl</w:t>
      </w:r>
      <w:r>
        <w:rPr>
          <w:rFonts w:cs="Arial"/>
          <w:b/>
          <w:szCs w:val="18"/>
        </w:rPr>
        <w:t xml:space="preserve"> o</w:t>
      </w:r>
      <w:r w:rsidRPr="00053D0B">
        <w:rPr>
          <w:rFonts w:cs="Arial"/>
          <w:b/>
          <w:szCs w:val="18"/>
        </w:rPr>
        <w:t xml:space="preserve"> </w:t>
      </w:r>
      <w:r w:rsidR="00810B85">
        <w:rPr>
          <w:rFonts w:cs="Arial"/>
          <w:b/>
          <w:szCs w:val="18"/>
        </w:rPr>
        <w:t>2</w:t>
      </w:r>
      <w:r>
        <w:rPr>
          <w:rFonts w:cs="Arial"/>
          <w:b/>
          <w:szCs w:val="18"/>
        </w:rPr>
        <w:t>,</w:t>
      </w:r>
      <w:r w:rsidR="00BC5640">
        <w:rPr>
          <w:rFonts w:cs="Arial"/>
          <w:b/>
          <w:szCs w:val="18"/>
        </w:rPr>
        <w:t>6</w:t>
      </w:r>
      <w:r>
        <w:rPr>
          <w:rFonts w:cs="Arial"/>
          <w:b/>
          <w:szCs w:val="18"/>
        </w:rPr>
        <w:t> </w:t>
      </w:r>
      <w:r w:rsidRPr="00053D0B">
        <w:rPr>
          <w:rFonts w:cs="Arial"/>
          <w:b/>
          <w:szCs w:val="18"/>
        </w:rPr>
        <w:t>%.</w:t>
      </w:r>
    </w:p>
    <w:p w14:paraId="1A795E0B" w14:textId="557E9C8E" w:rsidR="000C176D" w:rsidRDefault="000C176D" w:rsidP="000C176D">
      <w:pPr>
        <w:spacing w:before="240"/>
      </w:pPr>
      <w:r w:rsidRPr="00E504E2">
        <w:rPr>
          <w:b/>
        </w:rPr>
        <w:t>Hrubý domácí produkt</w:t>
      </w:r>
      <w:r>
        <w:t xml:space="preserve"> (HDP) očištěný o cenové vlivy a </w:t>
      </w:r>
      <w:r w:rsidRPr="00053D0B">
        <w:t>sezónnost</w:t>
      </w:r>
      <w:r w:rsidRPr="00E504E2">
        <w:rPr>
          <w:rStyle w:val="Znakapoznpodarou"/>
          <w:rFonts w:cs="Arial"/>
          <w:szCs w:val="18"/>
        </w:rPr>
        <w:footnoteReference w:id="1"/>
      </w:r>
      <w:r w:rsidRPr="00053D0B">
        <w:t xml:space="preserve"> </w:t>
      </w:r>
      <w:r w:rsidRPr="00E504E2">
        <w:rPr>
          <w:b/>
        </w:rPr>
        <w:t>byl</w:t>
      </w:r>
      <w:r>
        <w:rPr>
          <w:b/>
        </w:rPr>
        <w:t xml:space="preserve"> ve 4. čtvrtletí </w:t>
      </w:r>
      <w:r w:rsidRPr="00472010">
        <w:rPr>
          <w:b/>
        </w:rPr>
        <w:t>o</w:t>
      </w:r>
      <w:r>
        <w:rPr>
          <w:b/>
        </w:rPr>
        <w:t xml:space="preserve"> 0,</w:t>
      </w:r>
      <w:r w:rsidR="00042727">
        <w:rPr>
          <w:b/>
        </w:rPr>
        <w:t>6</w:t>
      </w:r>
      <w:r w:rsidRPr="00E504E2">
        <w:rPr>
          <w:b/>
        </w:rPr>
        <w:t xml:space="preserve"> % </w:t>
      </w:r>
      <w:r>
        <w:rPr>
          <w:b/>
        </w:rPr>
        <w:t>vyšší</w:t>
      </w:r>
      <w:r w:rsidRPr="00E504E2">
        <w:rPr>
          <w:b/>
        </w:rPr>
        <w:t xml:space="preserve"> než v předchozím čtvrtletí</w:t>
      </w:r>
      <w:r>
        <w:t xml:space="preserve"> a </w:t>
      </w:r>
      <w:r w:rsidRPr="00E504E2">
        <w:rPr>
          <w:b/>
        </w:rPr>
        <w:t xml:space="preserve">v porovnání se stejným čtvrtletím roku </w:t>
      </w:r>
      <w:r>
        <w:rPr>
          <w:b/>
        </w:rPr>
        <w:t>202</w:t>
      </w:r>
      <w:r w:rsidR="00786C5D">
        <w:rPr>
          <w:b/>
        </w:rPr>
        <w:t>4</w:t>
      </w:r>
      <w:r>
        <w:rPr>
          <w:b/>
        </w:rPr>
        <w:t xml:space="preserve"> </w:t>
      </w:r>
      <w:r w:rsidR="00FE604C">
        <w:rPr>
          <w:b/>
        </w:rPr>
        <w:t>vzrostl</w:t>
      </w:r>
      <w:r>
        <w:rPr>
          <w:b/>
        </w:rPr>
        <w:t xml:space="preserve"> o </w:t>
      </w:r>
      <w:r w:rsidR="00276DA1">
        <w:rPr>
          <w:b/>
        </w:rPr>
        <w:t>2</w:t>
      </w:r>
      <w:r w:rsidRPr="00E504E2">
        <w:rPr>
          <w:b/>
        </w:rPr>
        <w:t>,</w:t>
      </w:r>
      <w:r w:rsidR="00042727">
        <w:rPr>
          <w:b/>
        </w:rPr>
        <w:t>6</w:t>
      </w:r>
      <w:r>
        <w:rPr>
          <w:b/>
        </w:rPr>
        <w:t> </w:t>
      </w:r>
      <w:r w:rsidRPr="00E504E2">
        <w:rPr>
          <w:b/>
        </w:rPr>
        <w:t>%</w:t>
      </w:r>
      <w:r>
        <w:t>.</w:t>
      </w:r>
    </w:p>
    <w:p w14:paraId="3D1982D9" w14:textId="77777777" w:rsidR="000C176D" w:rsidRPr="001D39B2" w:rsidRDefault="000C176D" w:rsidP="000C176D">
      <w:pPr>
        <w:spacing w:before="240"/>
      </w:pPr>
      <w:r w:rsidRPr="001D39B2">
        <w:rPr>
          <w:b/>
        </w:rPr>
        <w:t>Vývoj hrubého domácího produktu v %</w:t>
      </w:r>
      <w:r w:rsidRPr="001D39B2">
        <w:t xml:space="preserve"> </w:t>
      </w: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34"/>
        <w:gridCol w:w="1221"/>
        <w:gridCol w:w="1218"/>
        <w:gridCol w:w="1134"/>
        <w:gridCol w:w="1134"/>
      </w:tblGrid>
      <w:tr w:rsidR="000C176D" w:rsidRPr="001D39B2" w14:paraId="2621F8E6" w14:textId="77777777" w:rsidTr="005D2FB8">
        <w:trPr>
          <w:trHeight w:val="113"/>
        </w:trPr>
        <w:tc>
          <w:tcPr>
            <w:tcW w:w="2410" w:type="dxa"/>
            <w:shd w:val="clear" w:color="auto" w:fill="DBE5F1"/>
            <w:vAlign w:val="center"/>
          </w:tcPr>
          <w:p w14:paraId="16BD87D1" w14:textId="77777777" w:rsidR="000C176D" w:rsidRPr="001D39B2" w:rsidRDefault="000C176D" w:rsidP="005D2FB8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00100D42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>1. čtvrtletí</w:t>
            </w:r>
          </w:p>
        </w:tc>
        <w:tc>
          <w:tcPr>
            <w:tcW w:w="1221" w:type="dxa"/>
            <w:shd w:val="clear" w:color="auto" w:fill="DBE5F1"/>
            <w:vAlign w:val="center"/>
          </w:tcPr>
          <w:p w14:paraId="02D95687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>2. čtvrtletí</w:t>
            </w:r>
          </w:p>
        </w:tc>
        <w:tc>
          <w:tcPr>
            <w:tcW w:w="1218" w:type="dxa"/>
            <w:shd w:val="clear" w:color="auto" w:fill="DBE5F1"/>
            <w:vAlign w:val="center"/>
          </w:tcPr>
          <w:p w14:paraId="66D91956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>3. čtvrtletí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31ADEAC1" w14:textId="77777777" w:rsidR="000C176D" w:rsidRPr="004A1507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A1507">
              <w:rPr>
                <w:rFonts w:cs="Arial"/>
                <w:b/>
                <w:sz w:val="18"/>
                <w:szCs w:val="18"/>
              </w:rPr>
              <w:t>4. čtvrtletí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813AEB3" w14:textId="3C44992C" w:rsidR="000C176D" w:rsidRPr="001D39B2" w:rsidRDefault="000C176D" w:rsidP="00FE6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39B2">
              <w:rPr>
                <w:rFonts w:cs="Arial"/>
                <w:b/>
                <w:sz w:val="18"/>
                <w:szCs w:val="18"/>
              </w:rPr>
              <w:t>Rok 20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="00786C5D">
              <w:rPr>
                <w:rFonts w:cs="Arial"/>
                <w:b/>
                <w:sz w:val="18"/>
                <w:szCs w:val="18"/>
              </w:rPr>
              <w:t>5</w:t>
            </w:r>
          </w:p>
        </w:tc>
      </w:tr>
      <w:tr w:rsidR="000C176D" w:rsidRPr="001D39B2" w14:paraId="526B0D58" w14:textId="77777777" w:rsidTr="005D2FB8">
        <w:trPr>
          <w:trHeight w:val="113"/>
        </w:trPr>
        <w:tc>
          <w:tcPr>
            <w:tcW w:w="2410" w:type="dxa"/>
            <w:vAlign w:val="center"/>
          </w:tcPr>
          <w:p w14:paraId="00564A61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 xml:space="preserve">K předchozímu čtvrtletí </w:t>
            </w:r>
          </w:p>
        </w:tc>
        <w:tc>
          <w:tcPr>
            <w:tcW w:w="1134" w:type="dxa"/>
            <w:vAlign w:val="center"/>
          </w:tcPr>
          <w:p w14:paraId="09700EE8" w14:textId="6F6C65BB" w:rsidR="000C176D" w:rsidRPr="001D39B2" w:rsidRDefault="000C176D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+0,</w:t>
            </w:r>
            <w:r w:rsidR="00276DA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21" w:type="dxa"/>
            <w:vAlign w:val="center"/>
          </w:tcPr>
          <w:p w14:paraId="2AF89F71" w14:textId="6B19C799" w:rsidR="000C176D" w:rsidRPr="001D39B2" w:rsidRDefault="000C176D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+0,</w:t>
            </w:r>
            <w:r w:rsidR="00276DA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1F098D02" w14:textId="629CFF36" w:rsidR="000C176D" w:rsidRPr="001D39B2" w:rsidRDefault="00FE604C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0C176D">
              <w:rPr>
                <w:rFonts w:cs="Arial"/>
                <w:sz w:val="18"/>
                <w:szCs w:val="18"/>
              </w:rPr>
              <w:t>0,</w:t>
            </w:r>
            <w:r w:rsidR="00276DA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C733D96" w14:textId="5F7E5934" w:rsidR="000C176D" w:rsidRPr="004A1507" w:rsidRDefault="000C176D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+0,</w:t>
            </w:r>
            <w:r w:rsidR="003650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14:paraId="7C0E79FE" w14:textId="1CA640E6" w:rsidR="000C176D" w:rsidRPr="001D39B2" w:rsidRDefault="00FE604C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</w:t>
            </w:r>
            <w:r w:rsidR="00DF3030">
              <w:rPr>
                <w:rFonts w:cs="Arial"/>
                <w:b/>
                <w:sz w:val="18"/>
                <w:szCs w:val="18"/>
              </w:rPr>
              <w:t>2</w:t>
            </w:r>
            <w:r w:rsidR="000C176D">
              <w:rPr>
                <w:rFonts w:cs="Arial"/>
                <w:b/>
                <w:sz w:val="18"/>
                <w:szCs w:val="18"/>
              </w:rPr>
              <w:t>,</w:t>
            </w:r>
            <w:r w:rsidR="00DF3030">
              <w:rPr>
                <w:rFonts w:cs="Arial"/>
                <w:b/>
                <w:sz w:val="18"/>
                <w:szCs w:val="18"/>
              </w:rPr>
              <w:t>6</w:t>
            </w:r>
          </w:p>
        </w:tc>
      </w:tr>
      <w:tr w:rsidR="000C176D" w:rsidRPr="001D39B2" w14:paraId="4117E214" w14:textId="77777777" w:rsidTr="005D2FB8">
        <w:trPr>
          <w:trHeight w:val="113"/>
        </w:trPr>
        <w:tc>
          <w:tcPr>
            <w:tcW w:w="2410" w:type="dxa"/>
            <w:vAlign w:val="center"/>
          </w:tcPr>
          <w:p w14:paraId="6FEBBD69" w14:textId="44DEA004" w:rsidR="000C176D" w:rsidRPr="001D39B2" w:rsidRDefault="000C176D" w:rsidP="00FE604C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>Ke stejnému čtvrtletí 20</w:t>
            </w:r>
            <w:r>
              <w:rPr>
                <w:rFonts w:cs="Arial"/>
                <w:sz w:val="18"/>
                <w:szCs w:val="18"/>
              </w:rPr>
              <w:t>2</w:t>
            </w:r>
            <w:r w:rsidR="00786C5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41CE5A2F" w14:textId="5BAC1577" w:rsidR="000C176D" w:rsidRPr="001D39B2" w:rsidRDefault="00FE604C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DF3030">
              <w:rPr>
                <w:rFonts w:cs="Arial"/>
                <w:sz w:val="18"/>
                <w:szCs w:val="18"/>
              </w:rPr>
              <w:t>2</w:t>
            </w:r>
            <w:r w:rsidR="000C176D">
              <w:rPr>
                <w:rFonts w:cs="Arial"/>
                <w:sz w:val="18"/>
                <w:szCs w:val="18"/>
              </w:rPr>
              <w:t>,</w:t>
            </w:r>
            <w:r w:rsidR="00DF3030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21" w:type="dxa"/>
            <w:vAlign w:val="center"/>
          </w:tcPr>
          <w:p w14:paraId="24668C6D" w14:textId="74D521CF" w:rsidR="000C176D" w:rsidRPr="001D39B2" w:rsidRDefault="00FE604C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DF3030">
              <w:rPr>
                <w:rFonts w:cs="Arial"/>
                <w:sz w:val="18"/>
                <w:szCs w:val="18"/>
              </w:rPr>
              <w:t>2,6</w:t>
            </w:r>
          </w:p>
        </w:tc>
        <w:tc>
          <w:tcPr>
            <w:tcW w:w="1218" w:type="dxa"/>
            <w:vAlign w:val="center"/>
          </w:tcPr>
          <w:p w14:paraId="0D25F2CA" w14:textId="6D2385C7" w:rsidR="000C176D" w:rsidRPr="001D39B2" w:rsidRDefault="00FE604C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DF3030">
              <w:rPr>
                <w:rFonts w:cs="Arial"/>
                <w:sz w:val="18"/>
                <w:szCs w:val="18"/>
              </w:rPr>
              <w:t>2</w:t>
            </w:r>
            <w:r w:rsidR="000C176D">
              <w:rPr>
                <w:rFonts w:cs="Arial"/>
                <w:sz w:val="18"/>
                <w:szCs w:val="18"/>
              </w:rPr>
              <w:t>,</w:t>
            </w:r>
            <w:r w:rsidR="00DF303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3DFE3E9" w14:textId="058C984B" w:rsidR="000C176D" w:rsidRPr="004A1507" w:rsidRDefault="00FE604C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</w:t>
            </w:r>
            <w:r w:rsidR="00DF3030">
              <w:rPr>
                <w:rFonts w:cs="Arial"/>
                <w:b/>
                <w:sz w:val="18"/>
                <w:szCs w:val="18"/>
              </w:rPr>
              <w:t>2</w:t>
            </w:r>
            <w:r w:rsidR="000C176D">
              <w:rPr>
                <w:rFonts w:cs="Arial"/>
                <w:b/>
                <w:sz w:val="18"/>
                <w:szCs w:val="18"/>
              </w:rPr>
              <w:t>,</w:t>
            </w:r>
            <w:r w:rsidR="003650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shd w:val="clear" w:color="auto" w:fill="DBE5F1"/>
            <w:vAlign w:val="center"/>
          </w:tcPr>
          <w:p w14:paraId="3F3721C9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C48ECBC" w14:textId="77777777" w:rsidR="000C176D" w:rsidRPr="001D39B2" w:rsidRDefault="000C176D" w:rsidP="000C176D">
      <w:pPr>
        <w:spacing w:before="240"/>
      </w:pPr>
      <w:r w:rsidRPr="001D39B2">
        <w:rPr>
          <w:b/>
        </w:rPr>
        <w:t xml:space="preserve">Vývoj hrubé přidané hodnoty v % </w:t>
      </w: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34"/>
        <w:gridCol w:w="1221"/>
        <w:gridCol w:w="1218"/>
        <w:gridCol w:w="1134"/>
        <w:gridCol w:w="1134"/>
      </w:tblGrid>
      <w:tr w:rsidR="000C176D" w:rsidRPr="00BC6821" w14:paraId="133D0929" w14:textId="77777777" w:rsidTr="005D2FB8">
        <w:trPr>
          <w:trHeight w:val="113"/>
        </w:trPr>
        <w:tc>
          <w:tcPr>
            <w:tcW w:w="2410" w:type="dxa"/>
            <w:shd w:val="clear" w:color="auto" w:fill="DBE5F1"/>
            <w:vAlign w:val="center"/>
          </w:tcPr>
          <w:p w14:paraId="24AECF7A" w14:textId="77777777" w:rsidR="000C176D" w:rsidRPr="00BC6821" w:rsidRDefault="000C176D" w:rsidP="005D2FB8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615A335D" w14:textId="77777777" w:rsidR="000C176D" w:rsidRPr="00BC6821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C6821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C6821">
              <w:rPr>
                <w:rFonts w:cs="Arial"/>
                <w:sz w:val="18"/>
                <w:szCs w:val="18"/>
              </w:rPr>
              <w:t>čtvrtletí</w:t>
            </w:r>
          </w:p>
        </w:tc>
        <w:tc>
          <w:tcPr>
            <w:tcW w:w="1221" w:type="dxa"/>
            <w:shd w:val="clear" w:color="auto" w:fill="DBE5F1"/>
            <w:vAlign w:val="center"/>
          </w:tcPr>
          <w:p w14:paraId="5C7171E4" w14:textId="77777777" w:rsidR="000C176D" w:rsidRPr="00BC6821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C6821">
              <w:rPr>
                <w:rFonts w:cs="Arial"/>
                <w:sz w:val="18"/>
                <w:szCs w:val="18"/>
              </w:rPr>
              <w:t>2.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C6821">
              <w:rPr>
                <w:rFonts w:cs="Arial"/>
                <w:sz w:val="18"/>
                <w:szCs w:val="18"/>
              </w:rPr>
              <w:t>čtvrtletí</w:t>
            </w:r>
          </w:p>
        </w:tc>
        <w:tc>
          <w:tcPr>
            <w:tcW w:w="1218" w:type="dxa"/>
            <w:shd w:val="clear" w:color="auto" w:fill="DBE5F1"/>
            <w:vAlign w:val="center"/>
          </w:tcPr>
          <w:p w14:paraId="072B2261" w14:textId="77777777" w:rsidR="000C176D" w:rsidRPr="00BC6821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C6821">
              <w:rPr>
                <w:rFonts w:cs="Arial"/>
                <w:sz w:val="18"/>
                <w:szCs w:val="18"/>
              </w:rPr>
              <w:t>3.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C6821">
              <w:rPr>
                <w:rFonts w:cs="Arial"/>
                <w:sz w:val="18"/>
                <w:szCs w:val="18"/>
              </w:rPr>
              <w:t>čtvrtletí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CD2A1F5" w14:textId="77777777" w:rsidR="000C176D" w:rsidRPr="004A1507" w:rsidRDefault="000C176D" w:rsidP="005D2F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A1507">
              <w:rPr>
                <w:rFonts w:cs="Arial"/>
                <w:b/>
                <w:sz w:val="18"/>
                <w:szCs w:val="18"/>
              </w:rPr>
              <w:t>4. čtvrtletí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79BE8C1" w14:textId="47674453" w:rsidR="000C176D" w:rsidRPr="001D39B2" w:rsidRDefault="000C176D" w:rsidP="00FE60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39B2">
              <w:rPr>
                <w:rFonts w:cs="Arial"/>
                <w:b/>
                <w:sz w:val="18"/>
                <w:szCs w:val="18"/>
              </w:rPr>
              <w:t>Rok 20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="00786C5D">
              <w:rPr>
                <w:rFonts w:cs="Arial"/>
                <w:b/>
                <w:sz w:val="18"/>
                <w:szCs w:val="18"/>
              </w:rPr>
              <w:t>5</w:t>
            </w:r>
          </w:p>
        </w:tc>
      </w:tr>
      <w:tr w:rsidR="000C176D" w:rsidRPr="00BC6821" w14:paraId="0F556359" w14:textId="77777777" w:rsidTr="005D2FB8">
        <w:trPr>
          <w:trHeight w:val="113"/>
        </w:trPr>
        <w:tc>
          <w:tcPr>
            <w:tcW w:w="2410" w:type="dxa"/>
            <w:vAlign w:val="center"/>
          </w:tcPr>
          <w:p w14:paraId="27952397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sz w:val="18"/>
                <w:szCs w:val="18"/>
              </w:rPr>
            </w:pPr>
            <w:r w:rsidRPr="001D39B2">
              <w:rPr>
                <w:rFonts w:cs="Arial"/>
                <w:sz w:val="18"/>
                <w:szCs w:val="18"/>
              </w:rPr>
              <w:t xml:space="preserve">K předchozímu čtvrtletí </w:t>
            </w:r>
          </w:p>
        </w:tc>
        <w:tc>
          <w:tcPr>
            <w:tcW w:w="1134" w:type="dxa"/>
            <w:vAlign w:val="center"/>
          </w:tcPr>
          <w:p w14:paraId="1F832C74" w14:textId="377EB4B5" w:rsidR="000C176D" w:rsidRPr="00CC4AC3" w:rsidRDefault="00DF3030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0C176D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,9</w:t>
            </w:r>
          </w:p>
        </w:tc>
        <w:tc>
          <w:tcPr>
            <w:tcW w:w="1221" w:type="dxa"/>
            <w:vAlign w:val="center"/>
          </w:tcPr>
          <w:p w14:paraId="064D1464" w14:textId="4E5DC027" w:rsidR="000C176D" w:rsidRPr="00CC4AC3" w:rsidRDefault="00FE604C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0C176D">
              <w:rPr>
                <w:rFonts w:cs="Arial"/>
                <w:sz w:val="18"/>
                <w:szCs w:val="18"/>
              </w:rPr>
              <w:t>0,</w:t>
            </w:r>
            <w:r w:rsidR="00DF3030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56140749" w14:textId="3657801F" w:rsidR="000C176D" w:rsidRPr="00CC4AC3" w:rsidRDefault="00FE604C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0C176D">
              <w:rPr>
                <w:rFonts w:cs="Arial"/>
                <w:sz w:val="18"/>
                <w:szCs w:val="18"/>
              </w:rPr>
              <w:t>0,</w:t>
            </w:r>
            <w:r w:rsidR="00DF3030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596855E2" w14:textId="2BFD4031" w:rsidR="000C176D" w:rsidRPr="004A1507" w:rsidRDefault="00397BB1" w:rsidP="00397BB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</w:t>
            </w:r>
            <w:r w:rsidR="000C176D">
              <w:rPr>
                <w:rFonts w:cs="Arial"/>
                <w:b/>
                <w:sz w:val="18"/>
                <w:szCs w:val="18"/>
              </w:rPr>
              <w:t>0,</w:t>
            </w:r>
            <w:r w:rsidR="003650B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14:paraId="12B39B31" w14:textId="2214E677" w:rsidR="000C176D" w:rsidRPr="001D39B2" w:rsidRDefault="000C176D" w:rsidP="00FE604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</w:t>
            </w:r>
            <w:r w:rsidR="00DF3030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,</w:t>
            </w:r>
            <w:r w:rsidR="00DF3030">
              <w:rPr>
                <w:rFonts w:cs="Arial"/>
                <w:b/>
                <w:sz w:val="18"/>
                <w:szCs w:val="18"/>
              </w:rPr>
              <w:t>8</w:t>
            </w:r>
          </w:p>
        </w:tc>
      </w:tr>
      <w:tr w:rsidR="000C176D" w:rsidRPr="00BC6821" w14:paraId="6FB539EC" w14:textId="77777777" w:rsidTr="005D2FB8">
        <w:trPr>
          <w:trHeight w:val="113"/>
        </w:trPr>
        <w:tc>
          <w:tcPr>
            <w:tcW w:w="2410" w:type="dxa"/>
            <w:vAlign w:val="center"/>
          </w:tcPr>
          <w:p w14:paraId="59D0F7D1" w14:textId="3FA49724" w:rsidR="000C176D" w:rsidRPr="001D39B2" w:rsidRDefault="000C176D" w:rsidP="00FE604C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 stejnému čtvrtletí 202</w:t>
            </w:r>
            <w:r w:rsidR="00786C5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40BFE664" w14:textId="28E737DF" w:rsidR="000C176D" w:rsidRPr="00CC4AC3" w:rsidRDefault="00DF3030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+2</w:t>
            </w:r>
            <w:r w:rsidR="000C176D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21" w:type="dxa"/>
            <w:vAlign w:val="center"/>
          </w:tcPr>
          <w:p w14:paraId="1CF65F86" w14:textId="01D59B79" w:rsidR="000C176D" w:rsidRPr="00CC4AC3" w:rsidRDefault="00DF3030" w:rsidP="00FE60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+2</w:t>
            </w:r>
            <w:r w:rsidR="000C176D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32BB5F50" w14:textId="08FCB4AB" w:rsidR="000C176D" w:rsidRPr="00CC4AC3" w:rsidRDefault="000C176D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DF3030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,</w:t>
            </w:r>
            <w:r w:rsidR="00DF3030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59444C6A" w14:textId="0154F6B0" w:rsidR="000C176D" w:rsidRPr="004A1507" w:rsidRDefault="00683455" w:rsidP="006834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+</w:t>
            </w:r>
            <w:r w:rsidR="00BC5640">
              <w:rPr>
                <w:rFonts w:cs="Arial"/>
                <w:b/>
                <w:sz w:val="18"/>
                <w:szCs w:val="18"/>
              </w:rPr>
              <w:t>2</w:t>
            </w:r>
            <w:r w:rsidR="000C176D">
              <w:rPr>
                <w:rFonts w:cs="Arial"/>
                <w:b/>
                <w:sz w:val="18"/>
                <w:szCs w:val="18"/>
              </w:rPr>
              <w:t>,</w:t>
            </w:r>
            <w:r w:rsidR="003650B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shd w:val="clear" w:color="auto" w:fill="DBE5F1"/>
            <w:vAlign w:val="center"/>
          </w:tcPr>
          <w:p w14:paraId="2C345BDF" w14:textId="77777777" w:rsidR="000C176D" w:rsidRPr="001D39B2" w:rsidRDefault="000C176D" w:rsidP="005D2FB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67C109E" w14:textId="62A30C0F" w:rsidR="000C176D" w:rsidRDefault="000C176D" w:rsidP="000C176D">
      <w:pPr>
        <w:spacing w:before="240" w:after="240"/>
      </w:pPr>
      <w:r w:rsidRPr="00457400">
        <w:rPr>
          <w:b/>
        </w:rPr>
        <w:t>Hrubá přidaná hodnota</w:t>
      </w:r>
      <w:r w:rsidRPr="00457400">
        <w:t xml:space="preserve"> (HPH) ve 4. čtvrtletí </w:t>
      </w:r>
      <w:r w:rsidR="00BC5640">
        <w:rPr>
          <w:b/>
        </w:rPr>
        <w:t xml:space="preserve">vzrostla </w:t>
      </w:r>
      <w:r w:rsidRPr="008124FB">
        <w:rPr>
          <w:b/>
        </w:rPr>
        <w:t xml:space="preserve">mezičtvrtletně </w:t>
      </w:r>
      <w:r w:rsidR="00BC5640">
        <w:rPr>
          <w:b/>
        </w:rPr>
        <w:t>o 0,5 %</w:t>
      </w:r>
      <w:r w:rsidRPr="008124FB">
        <w:rPr>
          <w:b/>
        </w:rPr>
        <w:t xml:space="preserve"> a</w:t>
      </w:r>
      <w:r w:rsidRPr="00457400">
        <w:rPr>
          <w:b/>
        </w:rPr>
        <w:t xml:space="preserve"> meziročně</w:t>
      </w:r>
      <w:r>
        <w:rPr>
          <w:b/>
        </w:rPr>
        <w:t xml:space="preserve"> </w:t>
      </w:r>
      <w:r w:rsidRPr="009467E2">
        <w:rPr>
          <w:b/>
        </w:rPr>
        <w:t>o </w:t>
      </w:r>
      <w:r w:rsidR="00BC5640">
        <w:rPr>
          <w:b/>
        </w:rPr>
        <w:t>2</w:t>
      </w:r>
      <w:r>
        <w:rPr>
          <w:b/>
        </w:rPr>
        <w:t>,</w:t>
      </w:r>
      <w:r w:rsidR="00BC5640">
        <w:rPr>
          <w:b/>
        </w:rPr>
        <w:t>8</w:t>
      </w:r>
      <w:r w:rsidRPr="00457400">
        <w:rPr>
          <w:b/>
        </w:rPr>
        <w:t> %</w:t>
      </w:r>
      <w:r w:rsidRPr="00457400">
        <w:t xml:space="preserve">. </w:t>
      </w:r>
      <w:r>
        <w:t xml:space="preserve">V mezičtvrtletním srovnání </w:t>
      </w:r>
      <w:r w:rsidR="000B1E8A">
        <w:t>se d</w:t>
      </w:r>
      <w:r>
        <w:t xml:space="preserve">ařilo </w:t>
      </w:r>
      <w:r w:rsidR="000B1E8A">
        <w:t xml:space="preserve">zejména </w:t>
      </w:r>
      <w:r w:rsidR="00B00A6D">
        <w:t xml:space="preserve">odvětvím </w:t>
      </w:r>
      <w:r w:rsidR="00A711D2">
        <w:t>zpracovatelské</w:t>
      </w:r>
      <w:r w:rsidR="00B00A6D">
        <w:t>ho</w:t>
      </w:r>
      <w:r w:rsidR="00A711D2">
        <w:t xml:space="preserve"> průmyslu (+</w:t>
      </w:r>
      <w:r w:rsidR="00042727">
        <w:t>2</w:t>
      </w:r>
      <w:r w:rsidR="00A711D2">
        <w:t>,</w:t>
      </w:r>
      <w:r w:rsidR="004A0ED5">
        <w:t>2</w:t>
      </w:r>
      <w:r w:rsidR="00A711D2">
        <w:t xml:space="preserve"> %)</w:t>
      </w:r>
      <w:r w:rsidR="00042727">
        <w:t xml:space="preserve"> a peněžnictví a pojišťovnictví (+2,7 %). Naopak k poklesu došlo ve stavebnictví (-3,3</w:t>
      </w:r>
      <w:r w:rsidR="004A0ED5">
        <w:t> </w:t>
      </w:r>
      <w:r w:rsidR="00042727">
        <w:t>%).</w:t>
      </w:r>
    </w:p>
    <w:p w14:paraId="309636DF" w14:textId="504BDD0E" w:rsidR="00A711D2" w:rsidRDefault="000C176D" w:rsidP="000C176D">
      <w:pPr>
        <w:spacing w:before="240" w:after="240"/>
      </w:pPr>
      <w:r>
        <w:t xml:space="preserve">Na </w:t>
      </w:r>
      <w:r w:rsidRPr="00B75DC6">
        <w:rPr>
          <w:b/>
        </w:rPr>
        <w:t>meziročním růstu HPH</w:t>
      </w:r>
      <w:r w:rsidR="00FA04D3">
        <w:t xml:space="preserve"> (+</w:t>
      </w:r>
      <w:r w:rsidR="00042727">
        <w:t>2</w:t>
      </w:r>
      <w:r>
        <w:t>,</w:t>
      </w:r>
      <w:r w:rsidR="00042727">
        <w:t>8</w:t>
      </w:r>
      <w:r>
        <w:t xml:space="preserve"> %) se nejvíce podílel</w:t>
      </w:r>
      <w:r w:rsidR="00955A46">
        <w:t>a</w:t>
      </w:r>
      <w:r w:rsidR="006506A5">
        <w:t xml:space="preserve"> </w:t>
      </w:r>
      <w:r w:rsidR="00955A46">
        <w:t>skupina odvětví obchodu, dopravy, ubytování a pohostinství +0,8 p. b. (+4,4 %)</w:t>
      </w:r>
      <w:r w:rsidR="00955A46">
        <w:t>,</w:t>
      </w:r>
      <w:r w:rsidR="00955A46">
        <w:t xml:space="preserve"> </w:t>
      </w:r>
      <w:r w:rsidR="006506A5">
        <w:t>průmysl +0,6 p. b. (růst o 2,</w:t>
      </w:r>
      <w:r w:rsidR="00C3443F">
        <w:t>2</w:t>
      </w:r>
      <w:r w:rsidR="006506A5">
        <w:t xml:space="preserve"> %),</w:t>
      </w:r>
      <w:r w:rsidR="00FA04D3">
        <w:t xml:space="preserve"> </w:t>
      </w:r>
      <w:r w:rsidR="00955A46">
        <w:t>informační a komunikační činnosti +0,6 p. b. (+7,7 %)</w:t>
      </w:r>
      <w:r w:rsidR="00955A46">
        <w:t xml:space="preserve"> a </w:t>
      </w:r>
      <w:r w:rsidR="006506A5">
        <w:t>stavebnictví +0,3 p. b. (+5,6 %)</w:t>
      </w:r>
      <w:r w:rsidR="005C27D6">
        <w:t>.</w:t>
      </w:r>
    </w:p>
    <w:p w14:paraId="0DC3C8B4" w14:textId="6A2986CB" w:rsidR="00403F66" w:rsidRDefault="00403F66" w:rsidP="00403F66">
      <w:pPr>
        <w:spacing w:before="240" w:after="240"/>
        <w:rPr>
          <w:rFonts w:cs="Arial"/>
        </w:rPr>
      </w:pPr>
      <w:r w:rsidRPr="26522380">
        <w:rPr>
          <w:rFonts w:cs="Arial"/>
          <w:i/>
          <w:iCs/>
        </w:rPr>
        <w:t>„</w:t>
      </w:r>
      <w:r w:rsidR="00C44A2C" w:rsidRPr="00C44A2C">
        <w:rPr>
          <w:rFonts w:cs="Arial"/>
          <w:i/>
          <w:iCs/>
        </w:rPr>
        <w:t>Na straně poptávky byly ve 4. čtvrtletí hlavním</w:t>
      </w:r>
      <w:r w:rsidR="006A33BF">
        <w:rPr>
          <w:rFonts w:cs="Arial"/>
          <w:i/>
          <w:iCs/>
        </w:rPr>
        <w:t>i</w:t>
      </w:r>
      <w:r w:rsidR="00C44A2C" w:rsidRPr="00C44A2C">
        <w:rPr>
          <w:rFonts w:cs="Arial"/>
          <w:i/>
          <w:iCs/>
        </w:rPr>
        <w:t xml:space="preserve"> faktor</w:t>
      </w:r>
      <w:r w:rsidR="006A33BF">
        <w:rPr>
          <w:rFonts w:cs="Arial"/>
          <w:i/>
          <w:iCs/>
        </w:rPr>
        <w:t>y</w:t>
      </w:r>
      <w:r w:rsidR="00C44A2C" w:rsidRPr="00C44A2C">
        <w:rPr>
          <w:rFonts w:cs="Arial"/>
          <w:i/>
          <w:iCs/>
        </w:rPr>
        <w:t xml:space="preserve"> mezičtvrtletního růstu HDP vyšší výdaje na konečnou spotřebu a tvorba hrubého fixního kapitálu. Pozitivní příspěvek měla také zahraniční poptávka. Negativní vliv měla změna stavu zásob</w:t>
      </w:r>
      <w:r w:rsidR="002F7308">
        <w:rPr>
          <w:i/>
        </w:rPr>
        <w:t>,</w:t>
      </w:r>
      <w:r w:rsidRPr="26522380">
        <w:rPr>
          <w:rFonts w:cs="Arial"/>
          <w:i/>
          <w:iCs/>
        </w:rPr>
        <w:t>“</w:t>
      </w:r>
      <w:r>
        <w:t xml:space="preserve"> komentuje</w:t>
      </w:r>
      <w:r w:rsidRPr="26522380">
        <w:rPr>
          <w:rFonts w:cs="Arial"/>
        </w:rPr>
        <w:t xml:space="preserve"> údaje Vladimír Kermiet, ředitel odboru národních účtů ČSÚ.</w:t>
      </w:r>
    </w:p>
    <w:p w14:paraId="2AF76401" w14:textId="5CA9EEF5" w:rsidR="00E40B9F" w:rsidRDefault="00E40B9F" w:rsidP="000C176D">
      <w:pPr>
        <w:spacing w:before="240" w:after="240"/>
      </w:pPr>
      <w:r>
        <w:t>M</w:t>
      </w:r>
      <w:r w:rsidRPr="001F14DE">
        <w:t xml:space="preserve">eziroční </w:t>
      </w:r>
      <w:r>
        <w:t>růst</w:t>
      </w:r>
      <w:r w:rsidRPr="001F14DE">
        <w:t xml:space="preserve"> HDP (</w:t>
      </w:r>
      <w:r>
        <w:t>+</w:t>
      </w:r>
      <w:r w:rsidR="004E031A">
        <w:t>2</w:t>
      </w:r>
      <w:r>
        <w:t>,</w:t>
      </w:r>
      <w:r w:rsidR="004E031A">
        <w:t>6</w:t>
      </w:r>
      <w:r w:rsidRPr="001F14DE">
        <w:t xml:space="preserve"> %) </w:t>
      </w:r>
      <w:r>
        <w:t>pozitivně ovlivnily</w:t>
      </w:r>
      <w:r w:rsidR="00863BD5">
        <w:t xml:space="preserve"> výdaje na konečnou spotřebu +1</w:t>
      </w:r>
      <w:r w:rsidR="00863BD5" w:rsidRPr="001F14DE">
        <w:t>,</w:t>
      </w:r>
      <w:r w:rsidR="003968D1">
        <w:t>7</w:t>
      </w:r>
      <w:r w:rsidR="001A1B04">
        <w:t> </w:t>
      </w:r>
      <w:r w:rsidR="00863BD5" w:rsidRPr="001F14DE">
        <w:t>p.</w:t>
      </w:r>
      <w:r w:rsidR="001A1B04">
        <w:t> </w:t>
      </w:r>
      <w:r w:rsidR="00863BD5" w:rsidRPr="001F14DE">
        <w:t>b</w:t>
      </w:r>
      <w:r w:rsidR="00863BD5">
        <w:t>.</w:t>
      </w:r>
      <w:r w:rsidR="007A4AC1" w:rsidRPr="007A4AC1">
        <w:rPr>
          <w:rStyle w:val="Znakapoznpodarou"/>
          <w:rFonts w:cs="Arial"/>
          <w:szCs w:val="20"/>
        </w:rPr>
        <w:t xml:space="preserve"> </w:t>
      </w:r>
      <w:r w:rsidR="007A4AC1" w:rsidRPr="001F14DE">
        <w:rPr>
          <w:rStyle w:val="Znakapoznpodarou"/>
          <w:rFonts w:cs="Arial"/>
          <w:szCs w:val="20"/>
        </w:rPr>
        <w:footnoteReference w:id="2"/>
      </w:r>
      <w:r w:rsidR="004E031A">
        <w:t>, tvorba hrubého fixního kapitálu</w:t>
      </w:r>
      <w:r w:rsidR="004E031A" w:rsidRPr="001F14DE">
        <w:t xml:space="preserve"> </w:t>
      </w:r>
      <w:r w:rsidR="004E031A">
        <w:t xml:space="preserve">+1,2 </w:t>
      </w:r>
      <w:r w:rsidR="004E031A" w:rsidRPr="001F14DE">
        <w:t>p.</w:t>
      </w:r>
      <w:r w:rsidR="004E031A">
        <w:t xml:space="preserve"> </w:t>
      </w:r>
      <w:r w:rsidR="004E031A" w:rsidRPr="001F14DE">
        <w:t>b</w:t>
      </w:r>
      <w:r w:rsidR="004E031A">
        <w:t>.</w:t>
      </w:r>
      <w:r w:rsidR="00863BD5">
        <w:t xml:space="preserve"> a </w:t>
      </w:r>
      <w:r w:rsidR="004E031A">
        <w:t>saldo zahraničního obchodu +0,7 p. b. Z</w:t>
      </w:r>
      <w:r w:rsidR="00863BD5">
        <w:t xml:space="preserve">měna stavu zásob </w:t>
      </w:r>
      <w:r w:rsidR="004E031A">
        <w:t>měla negativní vliv -</w:t>
      </w:r>
      <w:r w:rsidR="007A4AC1">
        <w:t>1,</w:t>
      </w:r>
      <w:r w:rsidR="004E031A">
        <w:t>0</w:t>
      </w:r>
      <w:r w:rsidR="001A1B04">
        <w:t> </w:t>
      </w:r>
      <w:r w:rsidR="00863BD5">
        <w:t>p. b.</w:t>
      </w:r>
    </w:p>
    <w:p w14:paraId="6FC44032" w14:textId="73D81BA8" w:rsidR="000C176D" w:rsidRDefault="000C176D" w:rsidP="000C176D">
      <w:pPr>
        <w:spacing w:before="240" w:after="240"/>
        <w:rPr>
          <w:rFonts w:cs="Arial"/>
          <w:szCs w:val="20"/>
        </w:rPr>
      </w:pPr>
      <w:r w:rsidRPr="00314252">
        <w:rPr>
          <w:rFonts w:cs="Arial"/>
          <w:b/>
          <w:szCs w:val="20"/>
        </w:rPr>
        <w:lastRenderedPageBreak/>
        <w:t>Výdaje na konečnou spotřebu domácností</w:t>
      </w:r>
      <w:r w:rsidRPr="00314252">
        <w:rPr>
          <w:rFonts w:cs="Arial"/>
          <w:szCs w:val="20"/>
        </w:rPr>
        <w:t xml:space="preserve"> mezičtvrtletně </w:t>
      </w:r>
      <w:r>
        <w:rPr>
          <w:rFonts w:cs="Arial"/>
          <w:szCs w:val="20"/>
        </w:rPr>
        <w:t>vzrostly</w:t>
      </w:r>
      <w:r w:rsidRPr="00314252">
        <w:rPr>
          <w:rFonts w:cs="Arial"/>
          <w:szCs w:val="20"/>
        </w:rPr>
        <w:t xml:space="preserve"> o </w:t>
      </w:r>
      <w:r w:rsidR="00825C45">
        <w:rPr>
          <w:rFonts w:cs="Arial"/>
          <w:szCs w:val="20"/>
        </w:rPr>
        <w:t>1</w:t>
      </w:r>
      <w:r>
        <w:rPr>
          <w:rFonts w:cs="Arial"/>
          <w:szCs w:val="20"/>
        </w:rPr>
        <w:t>,</w:t>
      </w:r>
      <w:r w:rsidR="00FC5BB8">
        <w:rPr>
          <w:rFonts w:cs="Arial"/>
          <w:szCs w:val="20"/>
        </w:rPr>
        <w:t>3</w:t>
      </w:r>
      <w:r w:rsidR="00825C45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. </w:t>
      </w:r>
      <w:r w:rsidRPr="00314252">
        <w:rPr>
          <w:rFonts w:cs="Arial"/>
          <w:szCs w:val="20"/>
        </w:rPr>
        <w:t xml:space="preserve">Meziročně </w:t>
      </w:r>
      <w:r w:rsidR="00825C45">
        <w:rPr>
          <w:rFonts w:cs="Arial"/>
          <w:szCs w:val="20"/>
        </w:rPr>
        <w:t>vzrostly</w:t>
      </w:r>
      <w:r w:rsidRPr="00314252">
        <w:rPr>
          <w:rFonts w:cs="Arial"/>
          <w:szCs w:val="20"/>
        </w:rPr>
        <w:t xml:space="preserve"> o </w:t>
      </w:r>
      <w:r w:rsidR="00825C45">
        <w:rPr>
          <w:rFonts w:cs="Arial"/>
          <w:szCs w:val="20"/>
        </w:rPr>
        <w:t>3</w:t>
      </w:r>
      <w:r w:rsidRPr="00314252">
        <w:rPr>
          <w:rFonts w:cs="Arial"/>
          <w:szCs w:val="20"/>
        </w:rPr>
        <w:t>,</w:t>
      </w:r>
      <w:r w:rsidR="007A4AC1">
        <w:rPr>
          <w:rFonts w:cs="Arial"/>
          <w:szCs w:val="20"/>
        </w:rPr>
        <w:t>2</w:t>
      </w:r>
      <w:r w:rsidRPr="00314252">
        <w:rPr>
          <w:rFonts w:cs="Arial"/>
          <w:szCs w:val="20"/>
        </w:rPr>
        <w:t> </w:t>
      </w:r>
      <w:r w:rsidR="00825C45">
        <w:rPr>
          <w:rFonts w:cs="Arial"/>
          <w:szCs w:val="20"/>
        </w:rPr>
        <w:t xml:space="preserve">%, přičemž </w:t>
      </w:r>
      <w:r w:rsidR="00955A46">
        <w:rPr>
          <w:rFonts w:cs="Arial"/>
          <w:szCs w:val="20"/>
        </w:rPr>
        <w:t>se zvýšily</w:t>
      </w:r>
      <w:r w:rsidR="00825C45">
        <w:rPr>
          <w:rFonts w:cs="Arial"/>
          <w:szCs w:val="20"/>
        </w:rPr>
        <w:t xml:space="preserve"> především </w:t>
      </w:r>
      <w:r w:rsidR="00825C45" w:rsidRPr="00314252">
        <w:rPr>
          <w:rFonts w:cs="Arial"/>
          <w:szCs w:val="20"/>
        </w:rPr>
        <w:t>nákup</w:t>
      </w:r>
      <w:r w:rsidR="00825C45">
        <w:rPr>
          <w:rFonts w:cs="Arial"/>
          <w:szCs w:val="20"/>
        </w:rPr>
        <w:t>y</w:t>
      </w:r>
      <w:r w:rsidR="00825C45" w:rsidRPr="00314252">
        <w:rPr>
          <w:rFonts w:cs="Arial"/>
          <w:szCs w:val="20"/>
        </w:rPr>
        <w:t xml:space="preserve"> předmětů </w:t>
      </w:r>
      <w:r w:rsidR="00825C45">
        <w:rPr>
          <w:rFonts w:cs="Arial"/>
          <w:szCs w:val="20"/>
        </w:rPr>
        <w:t>krátkodobé spotřeby</w:t>
      </w:r>
      <w:r w:rsidR="00FC5BB8">
        <w:rPr>
          <w:rFonts w:cs="Arial"/>
          <w:szCs w:val="20"/>
        </w:rPr>
        <w:t xml:space="preserve"> a služeb.</w:t>
      </w:r>
    </w:p>
    <w:p w14:paraId="56DFA317" w14:textId="7D48D803" w:rsidR="000C176D" w:rsidRDefault="000C176D" w:rsidP="000C176D">
      <w:pPr>
        <w:spacing w:before="240" w:after="240"/>
      </w:pPr>
      <w:r w:rsidRPr="006F418C">
        <w:rPr>
          <w:rFonts w:cs="Arial"/>
          <w:b/>
          <w:szCs w:val="20"/>
        </w:rPr>
        <w:t>Výdaje na konečnou spotřebu vládních institucí</w:t>
      </w:r>
      <w:r w:rsidRPr="006F418C">
        <w:rPr>
          <w:rFonts w:cs="Arial"/>
          <w:szCs w:val="20"/>
        </w:rPr>
        <w:t xml:space="preserve"> </w:t>
      </w:r>
      <w:r w:rsidR="00FC5BB8">
        <w:rPr>
          <w:rFonts w:cs="Arial"/>
          <w:szCs w:val="20"/>
        </w:rPr>
        <w:t>vzrostly</w:t>
      </w:r>
      <w:r>
        <w:rPr>
          <w:rFonts w:cs="Arial"/>
          <w:szCs w:val="20"/>
        </w:rPr>
        <w:t xml:space="preserve"> </w:t>
      </w:r>
      <w:r w:rsidRPr="006F418C">
        <w:rPr>
          <w:rFonts w:cs="Arial"/>
          <w:szCs w:val="20"/>
        </w:rPr>
        <w:t xml:space="preserve">mezičtvrtletně o </w:t>
      </w:r>
      <w:r w:rsidR="00FC5BB8">
        <w:rPr>
          <w:rFonts w:cs="Arial"/>
          <w:szCs w:val="20"/>
        </w:rPr>
        <w:t>1</w:t>
      </w:r>
      <w:r w:rsidRPr="006F418C">
        <w:rPr>
          <w:rFonts w:cs="Arial"/>
          <w:szCs w:val="20"/>
        </w:rPr>
        <w:t>,</w:t>
      </w:r>
      <w:r w:rsidR="00FC5BB8">
        <w:rPr>
          <w:rFonts w:cs="Arial"/>
          <w:szCs w:val="20"/>
        </w:rPr>
        <w:t>0</w:t>
      </w:r>
      <w:r w:rsidRPr="006F418C">
        <w:rPr>
          <w:rFonts w:cs="Arial"/>
          <w:szCs w:val="20"/>
        </w:rPr>
        <w:t> % a meziročně o </w:t>
      </w:r>
      <w:r w:rsidR="00FC5BB8">
        <w:rPr>
          <w:rFonts w:cs="Arial"/>
          <w:szCs w:val="20"/>
        </w:rPr>
        <w:t>2</w:t>
      </w:r>
      <w:r w:rsidRPr="006F418C">
        <w:rPr>
          <w:rFonts w:cs="Arial"/>
          <w:szCs w:val="20"/>
        </w:rPr>
        <w:t>,</w:t>
      </w:r>
      <w:r w:rsidR="00FC5BB8">
        <w:rPr>
          <w:rFonts w:cs="Arial"/>
          <w:szCs w:val="20"/>
        </w:rPr>
        <w:t>5</w:t>
      </w:r>
      <w:r w:rsidRPr="006F418C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</w:p>
    <w:p w14:paraId="5C809CF8" w14:textId="4260AE24" w:rsidR="000C176D" w:rsidRDefault="000C176D" w:rsidP="000C176D">
      <w:pPr>
        <w:spacing w:before="240" w:after="240"/>
      </w:pPr>
      <w:r>
        <w:rPr>
          <w:b/>
        </w:rPr>
        <w:t>T</w:t>
      </w:r>
      <w:r w:rsidRPr="00737453">
        <w:rPr>
          <w:b/>
        </w:rPr>
        <w:t>vorb</w:t>
      </w:r>
      <w:r>
        <w:rPr>
          <w:b/>
        </w:rPr>
        <w:t>a hrubého </w:t>
      </w:r>
      <w:r w:rsidRPr="00737453">
        <w:rPr>
          <w:b/>
        </w:rPr>
        <w:t>fixního</w:t>
      </w:r>
      <w:r>
        <w:rPr>
          <w:b/>
        </w:rPr>
        <w:t> </w:t>
      </w:r>
      <w:r w:rsidRPr="00737453">
        <w:rPr>
          <w:b/>
        </w:rPr>
        <w:t>kapitálu</w:t>
      </w:r>
      <w:r>
        <w:t xml:space="preserve"> </w:t>
      </w:r>
      <w:r w:rsidR="00FC5BB8">
        <w:t>vzrostla</w:t>
      </w:r>
      <w:r>
        <w:t xml:space="preserve"> mezičtvrtletně o 1,</w:t>
      </w:r>
      <w:r w:rsidR="00C3443F">
        <w:t>7</w:t>
      </w:r>
      <w:r>
        <w:t xml:space="preserve"> % a meziročně o </w:t>
      </w:r>
      <w:r w:rsidR="00FC5BB8">
        <w:t>5</w:t>
      </w:r>
      <w:r>
        <w:t>,</w:t>
      </w:r>
      <w:r w:rsidR="00C3443F">
        <w:t>3</w:t>
      </w:r>
      <w:r>
        <w:t xml:space="preserve"> %. Meziročně rostly </w:t>
      </w:r>
      <w:r w:rsidR="00FC5BB8">
        <w:t xml:space="preserve">hlavně </w:t>
      </w:r>
      <w:r>
        <w:t xml:space="preserve">investice do </w:t>
      </w:r>
      <w:r w:rsidR="00FC5BB8">
        <w:t xml:space="preserve">obydlí a </w:t>
      </w:r>
      <w:r w:rsidR="007A4AC1">
        <w:t>ostatních budov a staveb</w:t>
      </w:r>
      <w:r w:rsidR="00825C45">
        <w:t>.</w:t>
      </w:r>
      <w:r>
        <w:t xml:space="preserve"> </w:t>
      </w:r>
      <w:r>
        <w:rPr>
          <w:b/>
        </w:rPr>
        <w:t>Změna stavu z</w:t>
      </w:r>
      <w:r w:rsidRPr="00FB18A1">
        <w:rPr>
          <w:b/>
        </w:rPr>
        <w:t>ásob</w:t>
      </w:r>
      <w:r w:rsidRPr="00E51FB7">
        <w:rPr>
          <w:rStyle w:val="Znakapoznpodarou"/>
        </w:rPr>
        <w:footnoteReference w:id="3"/>
      </w:r>
      <w:r>
        <w:t xml:space="preserve"> činila -</w:t>
      </w:r>
      <w:r w:rsidR="00180256">
        <w:t>6</w:t>
      </w:r>
      <w:r w:rsidR="00C3443F">
        <w:t>7</w:t>
      </w:r>
      <w:r>
        <w:t>,</w:t>
      </w:r>
      <w:r w:rsidR="00180256">
        <w:t>9</w:t>
      </w:r>
      <w:r>
        <w:t xml:space="preserve"> mld. Kč, což bylo o </w:t>
      </w:r>
      <w:r w:rsidR="00C3443F">
        <w:t>4</w:t>
      </w:r>
      <w:r>
        <w:t>,</w:t>
      </w:r>
      <w:r w:rsidR="00180256">
        <w:t>6</w:t>
      </w:r>
      <w:r>
        <w:t xml:space="preserve"> mld. Kč </w:t>
      </w:r>
      <w:r w:rsidR="00180256">
        <w:t>méně</w:t>
      </w:r>
      <w:r>
        <w:t xml:space="preserve"> než ve stejném čtvrtletí předchozího roku.</w:t>
      </w:r>
    </w:p>
    <w:p w14:paraId="4D12BA59" w14:textId="61FD527F" w:rsidR="00654784" w:rsidRDefault="000C176D" w:rsidP="000C176D">
      <w:pPr>
        <w:spacing w:before="240" w:after="240"/>
        <w:rPr>
          <w:rFonts w:cs="Arial"/>
        </w:rPr>
      </w:pPr>
      <w:r w:rsidRPr="133754CC">
        <w:rPr>
          <w:b/>
          <w:bCs/>
        </w:rPr>
        <w:t>Saldo zahraničního obchodu se zbožím a službami</w:t>
      </w:r>
      <w:r>
        <w:t xml:space="preserve"> dosáhlo v běžných cenách hodnoty 1</w:t>
      </w:r>
      <w:r w:rsidR="002D3020">
        <w:t>33</w:t>
      </w:r>
      <w:r>
        <w:t>,</w:t>
      </w:r>
      <w:r w:rsidR="002D3020">
        <w:t>9</w:t>
      </w:r>
      <w:r>
        <w:t xml:space="preserve"> mld. Kč, bylo tak o </w:t>
      </w:r>
      <w:r w:rsidR="002D3020">
        <w:t>9</w:t>
      </w:r>
      <w:r>
        <w:t>,</w:t>
      </w:r>
      <w:r w:rsidR="002D3020">
        <w:t>5</w:t>
      </w:r>
      <w:r>
        <w:t xml:space="preserve"> mld. vyšší než ve stejném období předchozího roku. </w:t>
      </w:r>
      <w:r w:rsidRPr="133754CC">
        <w:rPr>
          <w:rFonts w:cs="Arial"/>
        </w:rPr>
        <w:t xml:space="preserve">Vývoz </w:t>
      </w:r>
      <w:r w:rsidR="00914B56">
        <w:rPr>
          <w:rFonts w:cs="Arial"/>
        </w:rPr>
        <w:t>vzrostl</w:t>
      </w:r>
      <w:r w:rsidRPr="133754CC">
        <w:rPr>
          <w:rFonts w:cs="Arial"/>
        </w:rPr>
        <w:t xml:space="preserve"> mezičtvrtletně reálně o </w:t>
      </w:r>
      <w:r w:rsidR="00914B56">
        <w:rPr>
          <w:rFonts w:cs="Arial"/>
        </w:rPr>
        <w:t>0</w:t>
      </w:r>
      <w:r w:rsidRPr="133754CC">
        <w:rPr>
          <w:rFonts w:cs="Arial"/>
        </w:rPr>
        <w:t>,</w:t>
      </w:r>
      <w:r w:rsidR="00914B56">
        <w:rPr>
          <w:rFonts w:cs="Arial"/>
        </w:rPr>
        <w:t>8</w:t>
      </w:r>
      <w:r w:rsidRPr="133754CC">
        <w:rPr>
          <w:rFonts w:cs="Arial"/>
        </w:rPr>
        <w:t> % a meziročně</w:t>
      </w:r>
      <w:r w:rsidR="00825C45">
        <w:rPr>
          <w:rFonts w:cs="Arial"/>
        </w:rPr>
        <w:t xml:space="preserve"> </w:t>
      </w:r>
      <w:r w:rsidRPr="133754CC">
        <w:rPr>
          <w:rFonts w:cs="Arial"/>
        </w:rPr>
        <w:t xml:space="preserve">o </w:t>
      </w:r>
      <w:r w:rsidR="00914B56">
        <w:rPr>
          <w:rFonts w:cs="Arial"/>
        </w:rPr>
        <w:t>5</w:t>
      </w:r>
      <w:r w:rsidRPr="133754CC">
        <w:rPr>
          <w:rFonts w:cs="Arial"/>
        </w:rPr>
        <w:t>,</w:t>
      </w:r>
      <w:r w:rsidR="00914B56">
        <w:rPr>
          <w:rFonts w:cs="Arial"/>
        </w:rPr>
        <w:t>1</w:t>
      </w:r>
      <w:r w:rsidRPr="133754CC">
        <w:rPr>
          <w:rFonts w:cs="Arial"/>
        </w:rPr>
        <w:t xml:space="preserve"> %. Dovoz </w:t>
      </w:r>
      <w:r w:rsidR="00914B56">
        <w:rPr>
          <w:rFonts w:cs="Arial"/>
        </w:rPr>
        <w:t>vzrostl</w:t>
      </w:r>
      <w:r w:rsidRPr="133754CC">
        <w:rPr>
          <w:rFonts w:cs="Arial"/>
        </w:rPr>
        <w:t xml:space="preserve"> mezičtvrtletně o </w:t>
      </w:r>
      <w:r w:rsidR="00914B56">
        <w:rPr>
          <w:rFonts w:cs="Arial"/>
        </w:rPr>
        <w:t>0</w:t>
      </w:r>
      <w:r w:rsidRPr="133754CC">
        <w:rPr>
          <w:rFonts w:cs="Arial"/>
        </w:rPr>
        <w:t>,</w:t>
      </w:r>
      <w:r w:rsidR="00914B56">
        <w:rPr>
          <w:rFonts w:cs="Arial"/>
        </w:rPr>
        <w:t>6</w:t>
      </w:r>
      <w:r w:rsidR="004024B2">
        <w:rPr>
          <w:rFonts w:cs="Arial"/>
        </w:rPr>
        <w:t> % a</w:t>
      </w:r>
      <w:r w:rsidR="00A054A5">
        <w:rPr>
          <w:rFonts w:cs="Arial"/>
        </w:rPr>
        <w:t> </w:t>
      </w:r>
      <w:r w:rsidR="004024B2">
        <w:rPr>
          <w:rFonts w:cs="Arial"/>
        </w:rPr>
        <w:t xml:space="preserve">meziročně o </w:t>
      </w:r>
      <w:r w:rsidR="00914B56">
        <w:rPr>
          <w:rFonts w:cs="Arial"/>
        </w:rPr>
        <w:t>5</w:t>
      </w:r>
      <w:r w:rsidRPr="133754CC">
        <w:rPr>
          <w:rFonts w:cs="Arial"/>
        </w:rPr>
        <w:t>,</w:t>
      </w:r>
      <w:r w:rsidR="00914B56">
        <w:rPr>
          <w:rFonts w:cs="Arial"/>
        </w:rPr>
        <w:t>3</w:t>
      </w:r>
      <w:r w:rsidRPr="133754CC">
        <w:rPr>
          <w:rFonts w:cs="Arial"/>
        </w:rPr>
        <w:t xml:space="preserve"> %.</w:t>
      </w:r>
    </w:p>
    <w:p w14:paraId="6283C385" w14:textId="18FE2E92" w:rsidR="000C176D" w:rsidRPr="00213058" w:rsidRDefault="003B617F" w:rsidP="000C176D">
      <w:pPr>
        <w:spacing w:before="240" w:after="240"/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3BC740B9" wp14:editId="77DE6A0B">
            <wp:extent cx="5381623" cy="3291050"/>
            <wp:effectExtent l="0" t="0" r="0" b="5080"/>
            <wp:docPr id="106146841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B51EA">
        <w:rPr>
          <w:noProof/>
          <w:lang w:eastAsia="cs-CZ"/>
        </w:rPr>
        <w:t xml:space="preserve"> </w:t>
      </w:r>
    </w:p>
    <w:p w14:paraId="73F0A153" w14:textId="4FDBB39E" w:rsidR="000C176D" w:rsidRDefault="000C176D" w:rsidP="000C176D">
      <w:pPr>
        <w:spacing w:before="240" w:after="240"/>
        <w:rPr>
          <w:rFonts w:cs="Arial"/>
          <w:szCs w:val="20"/>
        </w:rPr>
      </w:pPr>
      <w:r w:rsidRPr="00AF011D">
        <w:rPr>
          <w:rFonts w:cs="Arial"/>
          <w:szCs w:val="20"/>
        </w:rPr>
        <w:t>Z hlediska cenového vývoje ve </w:t>
      </w:r>
      <w:r>
        <w:rPr>
          <w:rFonts w:cs="Arial"/>
          <w:szCs w:val="20"/>
        </w:rPr>
        <w:t xml:space="preserve">4. čtvrtletí </w:t>
      </w:r>
      <w:r w:rsidRPr="00AF011D">
        <w:rPr>
          <w:rFonts w:cs="Arial"/>
          <w:szCs w:val="20"/>
        </w:rPr>
        <w:t xml:space="preserve">celkový deflátor HDP </w:t>
      </w:r>
      <w:r>
        <w:rPr>
          <w:rFonts w:cs="Arial"/>
          <w:szCs w:val="20"/>
        </w:rPr>
        <w:t xml:space="preserve">vzrostl </w:t>
      </w:r>
      <w:r w:rsidR="000F6F0F">
        <w:rPr>
          <w:rFonts w:cs="Arial"/>
          <w:szCs w:val="20"/>
        </w:rPr>
        <w:t xml:space="preserve">mezičtvrtletně o </w:t>
      </w:r>
      <w:r w:rsidR="00942FFA">
        <w:rPr>
          <w:rFonts w:cs="Arial"/>
          <w:szCs w:val="20"/>
        </w:rPr>
        <w:t>1</w:t>
      </w:r>
      <w:r w:rsidR="000F6F0F">
        <w:rPr>
          <w:rFonts w:cs="Arial"/>
          <w:szCs w:val="20"/>
        </w:rPr>
        <w:t>,</w:t>
      </w:r>
      <w:r w:rsidR="00942FFA">
        <w:rPr>
          <w:rFonts w:cs="Arial"/>
          <w:szCs w:val="20"/>
        </w:rPr>
        <w:t>0</w:t>
      </w:r>
      <w:r w:rsidR="000F6F0F">
        <w:rPr>
          <w:rFonts w:cs="Arial"/>
          <w:szCs w:val="20"/>
        </w:rPr>
        <w:t xml:space="preserve"> % a</w:t>
      </w:r>
      <w:r w:rsidR="00E86932">
        <w:rPr>
          <w:rFonts w:cs="Arial"/>
          <w:szCs w:val="20"/>
        </w:rPr>
        <w:t> </w:t>
      </w:r>
      <w:r>
        <w:rPr>
          <w:rFonts w:cs="Arial"/>
          <w:szCs w:val="20"/>
        </w:rPr>
        <w:t>meziročně o</w:t>
      </w:r>
      <w:r w:rsidRPr="00AF011D">
        <w:rPr>
          <w:rFonts w:cs="Arial"/>
          <w:szCs w:val="20"/>
        </w:rPr>
        <w:t xml:space="preserve"> </w:t>
      </w:r>
      <w:r w:rsidR="001B51EA">
        <w:rPr>
          <w:rFonts w:cs="Arial"/>
          <w:szCs w:val="20"/>
        </w:rPr>
        <w:t>3</w:t>
      </w:r>
      <w:r w:rsidRPr="00AF011D">
        <w:rPr>
          <w:rFonts w:cs="Arial"/>
          <w:szCs w:val="20"/>
        </w:rPr>
        <w:t>,</w:t>
      </w:r>
      <w:r w:rsidR="00942FFA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%.</w:t>
      </w:r>
    </w:p>
    <w:p w14:paraId="7169EF73" w14:textId="48A3624E" w:rsidR="000C176D" w:rsidRPr="00AF011D" w:rsidRDefault="000C176D" w:rsidP="000C176D">
      <w:pPr>
        <w:spacing w:before="240" w:after="240"/>
        <w:rPr>
          <w:rFonts w:cs="Arial"/>
          <w:szCs w:val="20"/>
        </w:rPr>
      </w:pPr>
      <w:r w:rsidRPr="00AF011D">
        <w:rPr>
          <w:rFonts w:cs="Arial"/>
          <w:szCs w:val="20"/>
        </w:rPr>
        <w:t>Objem mzdových nákladů</w:t>
      </w:r>
      <w:r w:rsidR="00560EDA">
        <w:rPr>
          <w:rStyle w:val="Znakapoznpodarou"/>
        </w:rPr>
        <w:t>3</w:t>
      </w:r>
      <w:r>
        <w:rPr>
          <w:rFonts w:cs="Arial"/>
          <w:szCs w:val="20"/>
        </w:rPr>
        <w:t xml:space="preserve"> ve 4</w:t>
      </w:r>
      <w:r w:rsidRPr="00AF011D">
        <w:rPr>
          <w:rFonts w:cs="Arial"/>
          <w:szCs w:val="20"/>
        </w:rPr>
        <w:t>. čtvrtletí vzrostl meziročně o</w:t>
      </w:r>
      <w:r>
        <w:rPr>
          <w:rFonts w:cs="Arial"/>
          <w:szCs w:val="20"/>
        </w:rPr>
        <w:t> </w:t>
      </w:r>
      <w:r w:rsidR="00BB2E58">
        <w:rPr>
          <w:rFonts w:cs="Arial"/>
          <w:szCs w:val="20"/>
        </w:rPr>
        <w:t>9</w:t>
      </w:r>
      <w:r w:rsidRPr="00AF011D">
        <w:rPr>
          <w:rFonts w:cs="Arial"/>
          <w:szCs w:val="20"/>
        </w:rPr>
        <w:t>,</w:t>
      </w:r>
      <w:r w:rsidR="00BB2E58">
        <w:rPr>
          <w:rFonts w:cs="Arial"/>
          <w:szCs w:val="20"/>
        </w:rPr>
        <w:t>0</w:t>
      </w:r>
      <w:r>
        <w:rPr>
          <w:rFonts w:cs="Arial"/>
          <w:szCs w:val="20"/>
        </w:rPr>
        <w:t> </w:t>
      </w:r>
      <w:r w:rsidRPr="00AF011D">
        <w:rPr>
          <w:rFonts w:cs="Arial"/>
          <w:szCs w:val="20"/>
        </w:rPr>
        <w:t>%.</w:t>
      </w:r>
    </w:p>
    <w:p w14:paraId="08140A30" w14:textId="55250966" w:rsidR="000C176D" w:rsidRDefault="000C176D" w:rsidP="000C176D">
      <w:pPr>
        <w:spacing w:before="240" w:after="240"/>
        <w:rPr>
          <w:rFonts w:cs="Arial"/>
          <w:szCs w:val="20"/>
        </w:rPr>
      </w:pPr>
      <w:r w:rsidRPr="00E50E52">
        <w:rPr>
          <w:rFonts w:cs="Arial"/>
          <w:b/>
          <w:szCs w:val="20"/>
        </w:rPr>
        <w:lastRenderedPageBreak/>
        <w:t>Celková zaměstnanost</w:t>
      </w:r>
      <w:r w:rsidRPr="00E50E52">
        <w:rPr>
          <w:rStyle w:val="Znakapoznpodarou"/>
          <w:rFonts w:cs="Arial"/>
          <w:szCs w:val="20"/>
        </w:rPr>
        <w:footnoteReference w:id="4"/>
      </w:r>
      <w:r w:rsidRPr="00E50E52">
        <w:rPr>
          <w:rFonts w:cs="Arial"/>
          <w:szCs w:val="20"/>
        </w:rPr>
        <w:t xml:space="preserve"> </w:t>
      </w:r>
      <w:r w:rsidR="00BB2E58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v </w:t>
      </w:r>
      <w:r w:rsidRPr="006C6198">
        <w:t>porovnání s předchozím čtvrtletím</w:t>
      </w:r>
      <w:r>
        <w:t xml:space="preserve"> </w:t>
      </w:r>
      <w:r w:rsidR="00BB2E58">
        <w:t>nezměnila</w:t>
      </w:r>
      <w:r>
        <w:t xml:space="preserve"> a</w:t>
      </w:r>
      <w:r w:rsidRPr="00E50E52">
        <w:rPr>
          <w:rFonts w:cs="Arial"/>
          <w:szCs w:val="20"/>
        </w:rPr>
        <w:t xml:space="preserve"> meziročně</w:t>
      </w:r>
      <w:r w:rsidR="001B51EA">
        <w:rPr>
          <w:rFonts w:cs="Arial"/>
          <w:szCs w:val="20"/>
        </w:rPr>
        <w:t xml:space="preserve"> vzrostla o </w:t>
      </w:r>
      <w:r w:rsidR="00BB2E58">
        <w:rPr>
          <w:rFonts w:cs="Arial"/>
          <w:szCs w:val="20"/>
        </w:rPr>
        <w:t>1</w:t>
      </w:r>
      <w:r w:rsidR="001B51EA">
        <w:rPr>
          <w:rFonts w:cs="Arial"/>
          <w:szCs w:val="20"/>
        </w:rPr>
        <w:t>,</w:t>
      </w:r>
      <w:r w:rsidR="00BB2E58">
        <w:rPr>
          <w:rFonts w:cs="Arial"/>
          <w:szCs w:val="20"/>
        </w:rPr>
        <w:t>0</w:t>
      </w:r>
      <w:r>
        <w:rPr>
          <w:rFonts w:cs="Arial"/>
          <w:szCs w:val="20"/>
        </w:rPr>
        <w:t xml:space="preserve"> %. </w:t>
      </w:r>
      <w:r w:rsidR="001B51EA">
        <w:t>Počet celkových odpracovaných hodin</w:t>
      </w:r>
      <w:r w:rsidR="00BB2E58">
        <w:t xml:space="preserve"> vzrostl </w:t>
      </w:r>
      <w:r w:rsidR="001B51EA">
        <w:t>mezičtvrtletně</w:t>
      </w:r>
      <w:r w:rsidR="00BB2E58">
        <w:t xml:space="preserve"> o 1,2 % a</w:t>
      </w:r>
      <w:r w:rsidR="001B51EA">
        <w:t xml:space="preserve"> </w:t>
      </w:r>
      <w:r>
        <w:t xml:space="preserve">meziročně </w:t>
      </w:r>
      <w:r w:rsidR="000F6F0F">
        <w:t>o </w:t>
      </w:r>
      <w:r w:rsidR="00BB2E58">
        <w:t>2</w:t>
      </w:r>
      <w:r w:rsidRPr="00031121">
        <w:t>,</w:t>
      </w:r>
      <w:r w:rsidR="00BB2E58">
        <w:t>9</w:t>
      </w:r>
      <w:r w:rsidR="008C441B">
        <w:t> </w:t>
      </w:r>
      <w:r w:rsidRPr="00031121">
        <w:t>%</w:t>
      </w:r>
      <w:r>
        <w:t>.</w:t>
      </w:r>
    </w:p>
    <w:p w14:paraId="03D78D36" w14:textId="77777777" w:rsidR="00125116" w:rsidRDefault="00125116" w:rsidP="000C176D">
      <w:pPr>
        <w:pStyle w:val="Podtitulek"/>
        <w:spacing w:after="120"/>
        <w:rPr>
          <w:sz w:val="20"/>
          <w:szCs w:val="20"/>
        </w:rPr>
      </w:pPr>
    </w:p>
    <w:p w14:paraId="7F5105D0" w14:textId="6724E184" w:rsidR="000C176D" w:rsidRPr="00AD7489" w:rsidRDefault="000C176D" w:rsidP="000C176D">
      <w:pPr>
        <w:pStyle w:val="Podtitulek"/>
        <w:spacing w:after="120"/>
        <w:rPr>
          <w:sz w:val="20"/>
          <w:szCs w:val="20"/>
        </w:rPr>
      </w:pPr>
      <w:r w:rsidRPr="00AD7489">
        <w:rPr>
          <w:sz w:val="20"/>
          <w:szCs w:val="20"/>
        </w:rPr>
        <w:t>Tvorba a užití HDP v roce 202</w:t>
      </w:r>
      <w:r w:rsidR="00786C5D">
        <w:rPr>
          <w:sz w:val="20"/>
          <w:szCs w:val="20"/>
        </w:rPr>
        <w:t>5</w:t>
      </w:r>
    </w:p>
    <w:p w14:paraId="6258FB6A" w14:textId="22182F11" w:rsidR="000C176D" w:rsidRDefault="000C176D" w:rsidP="000C176D">
      <w:pPr>
        <w:spacing w:before="240" w:after="240"/>
      </w:pPr>
      <w:r w:rsidRPr="133754CC">
        <w:rPr>
          <w:b/>
          <w:bCs/>
        </w:rPr>
        <w:t>HDP za rok 202</w:t>
      </w:r>
      <w:r w:rsidR="00786C5D">
        <w:rPr>
          <w:b/>
          <w:bCs/>
        </w:rPr>
        <w:t>5</w:t>
      </w:r>
      <w:r>
        <w:t xml:space="preserve"> byl </w:t>
      </w:r>
      <w:r w:rsidRPr="133754CC">
        <w:rPr>
          <w:b/>
          <w:bCs/>
        </w:rPr>
        <w:t xml:space="preserve">o </w:t>
      </w:r>
      <w:r w:rsidR="00AE4235">
        <w:rPr>
          <w:b/>
          <w:bCs/>
        </w:rPr>
        <w:t>2</w:t>
      </w:r>
      <w:r w:rsidRPr="133754CC">
        <w:rPr>
          <w:b/>
          <w:bCs/>
        </w:rPr>
        <w:t>,</w:t>
      </w:r>
      <w:r w:rsidR="00AE4235">
        <w:rPr>
          <w:b/>
          <w:bCs/>
        </w:rPr>
        <w:t>6</w:t>
      </w:r>
      <w:r w:rsidRPr="133754CC">
        <w:rPr>
          <w:b/>
          <w:bCs/>
        </w:rPr>
        <w:t> %</w:t>
      </w:r>
      <w:r>
        <w:t xml:space="preserve"> </w:t>
      </w:r>
      <w:r w:rsidR="00A64FDE">
        <w:t>vyšší</w:t>
      </w:r>
      <w:r>
        <w:t xml:space="preserve"> než v roce 202</w:t>
      </w:r>
      <w:r w:rsidR="00786C5D">
        <w:t>4</w:t>
      </w:r>
      <w:r>
        <w:t xml:space="preserve">. Celoroční </w:t>
      </w:r>
      <w:r w:rsidR="006F738A">
        <w:t>růst pozitivně ovlivnil</w:t>
      </w:r>
      <w:r w:rsidR="00AE4235">
        <w:t>a jak domácí</w:t>
      </w:r>
      <w:r w:rsidR="007B755E">
        <w:t xml:space="preserve">, </w:t>
      </w:r>
      <w:r w:rsidR="00AE4235">
        <w:t>tak zahraniční poptávka. V</w:t>
      </w:r>
      <w:r>
        <w:t>ýdaje n</w:t>
      </w:r>
      <w:r w:rsidR="006F738A">
        <w:t xml:space="preserve">a konečnou spotřebu domácností </w:t>
      </w:r>
      <w:r w:rsidR="00AE4235">
        <w:t xml:space="preserve">přispěly </w:t>
      </w:r>
      <w:r w:rsidR="006F738A">
        <w:t>+</w:t>
      </w:r>
      <w:r>
        <w:t>1,</w:t>
      </w:r>
      <w:r w:rsidR="00AE4235">
        <w:t>1</w:t>
      </w:r>
      <w:r>
        <w:t xml:space="preserve"> p. b</w:t>
      </w:r>
      <w:r w:rsidR="00A231AB">
        <w:t>.</w:t>
      </w:r>
      <w:r w:rsidR="00AE4235">
        <w:t>,</w:t>
      </w:r>
      <w:r>
        <w:t xml:space="preserve"> </w:t>
      </w:r>
      <w:r w:rsidR="006F738A">
        <w:t>výdaje na konečnou spotřebu vládních institucí +0,</w:t>
      </w:r>
      <w:r w:rsidR="00AE4235">
        <w:t>4</w:t>
      </w:r>
      <w:r w:rsidR="006F738A">
        <w:t> p. b.</w:t>
      </w:r>
      <w:r w:rsidR="00AE4235">
        <w:t>, tvorba hrubého kapitálu +1,0 p. b.</w:t>
      </w:r>
      <w:r>
        <w:t xml:space="preserve"> </w:t>
      </w:r>
      <w:r w:rsidR="00AE4235">
        <w:t xml:space="preserve">a saldo zahraničního obchodu </w:t>
      </w:r>
      <w:r w:rsidR="00955A46">
        <w:t>+0,1</w:t>
      </w:r>
      <w:r w:rsidR="00AE4235">
        <w:t xml:space="preserve"> p. b.</w:t>
      </w:r>
    </w:p>
    <w:p w14:paraId="0AB1FF48" w14:textId="3975D0F7" w:rsidR="000C176D" w:rsidRPr="00F901B5" w:rsidRDefault="000C176D" w:rsidP="000C176D">
      <w:pPr>
        <w:spacing w:before="240"/>
      </w:pPr>
      <w:r w:rsidRPr="007C66DD">
        <w:t xml:space="preserve">Výdaje na konečnou spotřebu domácností </w:t>
      </w:r>
      <w:r w:rsidR="009D092F">
        <w:t>vzrostly</w:t>
      </w:r>
      <w:r w:rsidRPr="007C66DD">
        <w:t xml:space="preserve"> o </w:t>
      </w:r>
      <w:r w:rsidR="00585920">
        <w:t>3</w:t>
      </w:r>
      <w:r w:rsidRPr="007C66DD">
        <w:t>,</w:t>
      </w:r>
      <w:r w:rsidR="00585920">
        <w:t>0</w:t>
      </w:r>
      <w:r w:rsidRPr="007C66DD">
        <w:t xml:space="preserve"> %</w:t>
      </w:r>
      <w:r w:rsidR="00280CC2">
        <w:t>,</w:t>
      </w:r>
      <w:r w:rsidRPr="007C66DD">
        <w:t xml:space="preserve"> </w:t>
      </w:r>
      <w:r w:rsidR="00280CC2">
        <w:t>v</w:t>
      </w:r>
      <w:r w:rsidRPr="007C66DD">
        <w:t>ýdaje na konečnou spotřebu vládních institucí vzrostly</w:t>
      </w:r>
      <w:r>
        <w:t xml:space="preserve"> </w:t>
      </w:r>
      <w:r w:rsidRPr="007C66DD">
        <w:t xml:space="preserve">o </w:t>
      </w:r>
      <w:r w:rsidR="00280CC2">
        <w:t>2</w:t>
      </w:r>
      <w:r w:rsidRPr="007C66DD">
        <w:t>,</w:t>
      </w:r>
      <w:r w:rsidR="00280CC2">
        <w:t>2</w:t>
      </w:r>
      <w:r w:rsidRPr="007C66DD">
        <w:t xml:space="preserve"> %</w:t>
      </w:r>
      <w:r w:rsidR="00280CC2">
        <w:t xml:space="preserve"> a t</w:t>
      </w:r>
      <w:r w:rsidRPr="007C66DD">
        <w:t>vorba hrubého fixního kapitálu byl</w:t>
      </w:r>
      <w:r w:rsidR="009D092F">
        <w:t>a</w:t>
      </w:r>
      <w:r w:rsidRPr="007C66DD">
        <w:t xml:space="preserve"> </w:t>
      </w:r>
      <w:r w:rsidR="00280CC2">
        <w:t>vyšší</w:t>
      </w:r>
      <w:r>
        <w:t xml:space="preserve"> </w:t>
      </w:r>
      <w:r w:rsidRPr="007C66DD">
        <w:t>o </w:t>
      </w:r>
      <w:r w:rsidR="00280CC2">
        <w:t>2</w:t>
      </w:r>
      <w:r w:rsidRPr="007C66DD">
        <w:t>,</w:t>
      </w:r>
      <w:r w:rsidR="00280CC2">
        <w:t>0</w:t>
      </w:r>
      <w:r w:rsidRPr="007C66DD">
        <w:t xml:space="preserve"> %</w:t>
      </w:r>
      <w:r>
        <w:t>.</w:t>
      </w:r>
      <w:r w:rsidRPr="007C66DD">
        <w:t xml:space="preserve"> Saldo zahraničního obchodu </w:t>
      </w:r>
      <w:r>
        <w:t>vzrostlo</w:t>
      </w:r>
      <w:r w:rsidRPr="00F901B5">
        <w:t xml:space="preserve"> v běžných cenách meziročně o</w:t>
      </w:r>
      <w:r>
        <w:t> </w:t>
      </w:r>
      <w:r w:rsidR="00280CC2">
        <w:t>0</w:t>
      </w:r>
      <w:r>
        <w:t>,</w:t>
      </w:r>
      <w:r w:rsidR="00280CC2">
        <w:t>8</w:t>
      </w:r>
      <w:r w:rsidRPr="00F901B5">
        <w:t xml:space="preserve"> mld. Kč na</w:t>
      </w:r>
      <w:r>
        <w:t> +</w:t>
      </w:r>
      <w:r w:rsidR="009D092F">
        <w:t>5</w:t>
      </w:r>
      <w:r w:rsidR="00280CC2">
        <w:t>04</w:t>
      </w:r>
      <w:r>
        <w:t>,</w:t>
      </w:r>
      <w:r w:rsidR="00280CC2">
        <w:t>2</w:t>
      </w:r>
      <w:r>
        <w:t> </w:t>
      </w:r>
      <w:r w:rsidRPr="00F901B5">
        <w:t>mld. Kč</w:t>
      </w:r>
      <w:r>
        <w:t xml:space="preserve">. </w:t>
      </w:r>
    </w:p>
    <w:p w14:paraId="699B249A" w14:textId="2084E8CB" w:rsidR="000C176D" w:rsidRDefault="000C176D" w:rsidP="000C176D">
      <w:pPr>
        <w:spacing w:before="240"/>
      </w:pPr>
      <w:r w:rsidRPr="00F901B5">
        <w:rPr>
          <w:b/>
        </w:rPr>
        <w:t>HPH se v roce 20</w:t>
      </w:r>
      <w:r>
        <w:rPr>
          <w:b/>
        </w:rPr>
        <w:t>2</w:t>
      </w:r>
      <w:r w:rsidR="00786C5D">
        <w:rPr>
          <w:b/>
        </w:rPr>
        <w:t>5</w:t>
      </w:r>
      <w:r w:rsidRPr="00F901B5">
        <w:t xml:space="preserve"> </w:t>
      </w:r>
      <w:r>
        <w:rPr>
          <w:b/>
        </w:rPr>
        <w:t>zvýšila</w:t>
      </w:r>
      <w:r w:rsidRPr="00F901B5">
        <w:t xml:space="preserve"> v porovnání s předchozím rokem </w:t>
      </w:r>
      <w:r w:rsidRPr="00F901B5">
        <w:rPr>
          <w:b/>
        </w:rPr>
        <w:t xml:space="preserve">o </w:t>
      </w:r>
      <w:r w:rsidR="00AD27CC">
        <w:rPr>
          <w:b/>
        </w:rPr>
        <w:t>2,8</w:t>
      </w:r>
      <w:r w:rsidRPr="00F901B5">
        <w:rPr>
          <w:b/>
        </w:rPr>
        <w:t xml:space="preserve"> %</w:t>
      </w:r>
      <w:r w:rsidRPr="00F901B5">
        <w:t>.</w:t>
      </w:r>
      <w:r>
        <w:t xml:space="preserve"> K růstu HPH</w:t>
      </w:r>
      <w:r w:rsidRPr="001A6D9B">
        <w:t xml:space="preserve"> nejvýrazněji přispěl</w:t>
      </w:r>
      <w:r w:rsidR="00955A46">
        <w:t>a</w:t>
      </w:r>
      <w:r w:rsidR="00AD27CC">
        <w:t xml:space="preserve"> </w:t>
      </w:r>
      <w:r w:rsidR="00955A46">
        <w:t>skupina odvětví obchodu, dopravy, ubytování a pohostinství (+0,7 p. b.)</w:t>
      </w:r>
      <w:r w:rsidR="00955A46">
        <w:t xml:space="preserve">, </w:t>
      </w:r>
      <w:r w:rsidR="00955A46">
        <w:t>informační a komunikační činnosti (+0,6 p. b.)</w:t>
      </w:r>
      <w:r w:rsidR="00955A46">
        <w:t xml:space="preserve"> a</w:t>
      </w:r>
      <w:r w:rsidR="00955A46">
        <w:t xml:space="preserve"> </w:t>
      </w:r>
      <w:r w:rsidR="00AD27CC">
        <w:t>průmysl (+0,4 p. b.)</w:t>
      </w:r>
      <w:r>
        <w:t>.</w:t>
      </w:r>
    </w:p>
    <w:p w14:paraId="7FD811AA" w14:textId="4205BCFF" w:rsidR="000C176D" w:rsidRDefault="000C176D" w:rsidP="000C176D">
      <w:pPr>
        <w:spacing w:before="240"/>
      </w:pPr>
      <w:r w:rsidRPr="0095162E">
        <w:rPr>
          <w:b/>
        </w:rPr>
        <w:t>Celková zaměstnanost</w:t>
      </w:r>
      <w:r w:rsidRPr="0095162E">
        <w:t xml:space="preserve"> </w:t>
      </w:r>
      <w:r>
        <w:t>vzrostla</w:t>
      </w:r>
      <w:r w:rsidRPr="0095162E">
        <w:t xml:space="preserve"> ve srovnání s předchozím rokem o </w:t>
      </w:r>
      <w:r w:rsidR="0046427E">
        <w:t>1</w:t>
      </w:r>
      <w:r w:rsidRPr="0095162E">
        <w:t>,</w:t>
      </w:r>
      <w:r w:rsidR="0046427E">
        <w:t>1</w:t>
      </w:r>
      <w:r w:rsidRPr="0095162E">
        <w:t> % na 5 </w:t>
      </w:r>
      <w:r w:rsidR="0046427E">
        <w:t>5</w:t>
      </w:r>
      <w:r w:rsidR="00CF65A3">
        <w:t>0</w:t>
      </w:r>
      <w:r w:rsidR="0046427E">
        <w:t>9</w:t>
      </w:r>
      <w:r w:rsidRPr="0095162E">
        <w:t xml:space="preserve"> tisíc osob. </w:t>
      </w:r>
      <w:r>
        <w:t xml:space="preserve">Celkem </w:t>
      </w:r>
      <w:r w:rsidRPr="0095162E">
        <w:t xml:space="preserve">bylo </w:t>
      </w:r>
      <w:r>
        <w:t xml:space="preserve">odpracováno </w:t>
      </w:r>
      <w:r w:rsidRPr="0095162E">
        <w:t xml:space="preserve">o </w:t>
      </w:r>
      <w:r w:rsidR="00C02512">
        <w:t>2</w:t>
      </w:r>
      <w:r>
        <w:t>,</w:t>
      </w:r>
      <w:r w:rsidR="00C02512">
        <w:t>3</w:t>
      </w:r>
      <w:r>
        <w:t xml:space="preserve"> % hodin </w:t>
      </w:r>
      <w:r w:rsidR="00C02512">
        <w:t>více</w:t>
      </w:r>
      <w:r w:rsidRPr="0095162E">
        <w:t xml:space="preserve"> než v roce 20</w:t>
      </w:r>
      <w:r>
        <w:t>2</w:t>
      </w:r>
      <w:r w:rsidR="00C02512">
        <w:t>4</w:t>
      </w:r>
      <w:r w:rsidRPr="0095162E">
        <w:t>.</w:t>
      </w:r>
    </w:p>
    <w:p w14:paraId="1F2AB247" w14:textId="77777777" w:rsidR="000C176D" w:rsidRDefault="000C176D" w:rsidP="000C176D">
      <w:pPr>
        <w:pStyle w:val="Poznmky"/>
        <w:tabs>
          <w:tab w:val="left" w:pos="284"/>
        </w:tabs>
        <w:spacing w:before="240"/>
        <w:ind w:left="4253" w:hanging="4253"/>
        <w:rPr>
          <w:i/>
        </w:rPr>
      </w:pPr>
      <w:r>
        <w:rPr>
          <w:i/>
        </w:rPr>
        <w:t>Poznámky:</w:t>
      </w:r>
    </w:p>
    <w:p w14:paraId="440609A9" w14:textId="77777777" w:rsidR="000C176D" w:rsidRPr="004E3EF6" w:rsidRDefault="000C176D" w:rsidP="001A1483">
      <w:pPr>
        <w:pStyle w:val="Poznmky"/>
        <w:tabs>
          <w:tab w:val="left" w:pos="284"/>
        </w:tabs>
        <w:spacing w:before="240"/>
        <w:ind w:left="4111" w:hanging="4111"/>
        <w:rPr>
          <w:i/>
        </w:rPr>
      </w:pPr>
      <w:r w:rsidRPr="004E3EF6">
        <w:rPr>
          <w:i/>
        </w:rPr>
        <w:t>Zodpovědný vedoucí pracovník:</w:t>
      </w:r>
      <w:r w:rsidRPr="004E3EF6">
        <w:rPr>
          <w:i/>
        </w:rPr>
        <w:tab/>
      </w:r>
      <w:r>
        <w:rPr>
          <w:i/>
        </w:rPr>
        <w:t>Ing. Vladimír Kermiet, ředitel o</w:t>
      </w:r>
      <w:r w:rsidRPr="004E3EF6">
        <w:rPr>
          <w:i/>
        </w:rPr>
        <w:t>dboru národních účtů, tel. 274 054 247, e</w:t>
      </w:r>
      <w:r w:rsidRPr="004E3EF6">
        <w:rPr>
          <w:i/>
        </w:rPr>
        <w:noBreakHyphen/>
        <w:t>mail: </w:t>
      </w:r>
      <w:hyperlink r:id="rId8" w:history="1">
        <w:r w:rsidR="00975A6A" w:rsidRPr="00C93B18">
          <w:rPr>
            <w:rStyle w:val="Hypertextovodkaz"/>
            <w:i/>
          </w:rPr>
          <w:t>vladimir.kermiet@csu.gov.cz</w:t>
        </w:r>
      </w:hyperlink>
      <w:r w:rsidRPr="004E3EF6">
        <w:rPr>
          <w:i/>
        </w:rPr>
        <w:t xml:space="preserve"> </w:t>
      </w:r>
    </w:p>
    <w:p w14:paraId="36AD7741" w14:textId="77777777" w:rsidR="000C176D" w:rsidRPr="004E3EF6" w:rsidRDefault="000C176D" w:rsidP="001A1483">
      <w:pPr>
        <w:pStyle w:val="Poznamkytexty"/>
        <w:spacing w:before="120"/>
        <w:ind w:left="4111" w:hanging="4111"/>
        <w:jc w:val="left"/>
      </w:pPr>
      <w:r w:rsidRPr="004E3EF6">
        <w:t>Kontaktní osoba:</w:t>
      </w:r>
      <w:r w:rsidRPr="004E3EF6">
        <w:tab/>
      </w:r>
      <w:r w:rsidRPr="005F6D4D">
        <w:t>Ing. Jan</w:t>
      </w:r>
      <w:r>
        <w:t xml:space="preserve"> Benedikt</w:t>
      </w:r>
      <w:r w:rsidRPr="00315471">
        <w:t xml:space="preserve">, </w:t>
      </w:r>
      <w:r>
        <w:t>oddělení čtvrtletních odhadů</w:t>
      </w:r>
      <w:r w:rsidRPr="004E3EF6">
        <w:t>, tel. </w:t>
      </w:r>
      <w:r w:rsidRPr="00315471">
        <w:t>274 052 750, e</w:t>
      </w:r>
      <w:r w:rsidRPr="00315471">
        <w:noBreakHyphen/>
        <w:t>mail</w:t>
      </w:r>
      <w:r w:rsidR="00975A6A">
        <w:t xml:space="preserve">: </w:t>
      </w:r>
      <w:hyperlink r:id="rId9" w:history="1">
        <w:r w:rsidR="00975A6A" w:rsidRPr="00C93B18">
          <w:rPr>
            <w:rStyle w:val="Hypertextovodkaz"/>
          </w:rPr>
          <w:t>jan.benedikt@csu.gov.cz</w:t>
        </w:r>
      </w:hyperlink>
      <w:r w:rsidRPr="004E3EF6">
        <w:t xml:space="preserve"> </w:t>
      </w:r>
    </w:p>
    <w:p w14:paraId="37C4D0CE" w14:textId="4ED6CE35" w:rsidR="000C176D" w:rsidRPr="004E3EF6" w:rsidRDefault="000C176D" w:rsidP="001A1483">
      <w:pPr>
        <w:pStyle w:val="Poznamkytexty"/>
        <w:spacing w:before="120"/>
        <w:ind w:left="4111" w:hanging="4111"/>
      </w:pPr>
      <w:r w:rsidRPr="004E3EF6">
        <w:t>Aktuálnost použitých datových zdrojů:</w:t>
      </w:r>
      <w:r w:rsidRPr="004E3EF6">
        <w:tab/>
        <w:t>2</w:t>
      </w:r>
      <w:r w:rsidR="00786C5D">
        <w:t>5</w:t>
      </w:r>
      <w:r w:rsidRPr="004E3EF6">
        <w:t>.</w:t>
      </w:r>
      <w:r>
        <w:t xml:space="preserve"> února 202</w:t>
      </w:r>
      <w:r w:rsidR="00786C5D">
        <w:t>6</w:t>
      </w:r>
    </w:p>
    <w:p w14:paraId="148B40A9" w14:textId="77777777" w:rsidR="000C176D" w:rsidRDefault="000C176D" w:rsidP="001A1483">
      <w:pPr>
        <w:pStyle w:val="Poznamkytexty"/>
        <w:spacing w:before="120"/>
        <w:ind w:left="4111" w:hanging="4111"/>
        <w:rPr>
          <w:rStyle w:val="Hypertextovodkaz"/>
        </w:rPr>
      </w:pPr>
      <w:r w:rsidRPr="00FE1D62">
        <w:t>Časové řady:</w:t>
      </w:r>
      <w:r w:rsidRPr="00FE1D62">
        <w:tab/>
      </w:r>
      <w:hyperlink r:id="rId10" w:history="1">
        <w:r>
          <w:rPr>
            <w:rStyle w:val="Hypertextovodkaz"/>
          </w:rPr>
          <w:t>https://apl.czso.cz/pll/rocenka/</w:t>
        </w:r>
      </w:hyperlink>
    </w:p>
    <w:p w14:paraId="3D3C545C" w14:textId="77777777" w:rsidR="000C176D" w:rsidRPr="00424047" w:rsidRDefault="000C176D" w:rsidP="001A1483">
      <w:pPr>
        <w:pStyle w:val="Poznamkytexty"/>
        <w:spacing w:before="120"/>
        <w:ind w:left="4111" w:hanging="4111"/>
        <w:rPr>
          <w:highlight w:val="yellow"/>
        </w:rPr>
      </w:pPr>
      <w:r w:rsidRPr="00FE1D62">
        <w:t>Internetové stránky RI:</w:t>
      </w:r>
      <w:r w:rsidRPr="00FE1D62">
        <w:tab/>
      </w:r>
      <w:hyperlink r:id="rId11" w:history="1">
        <w:r w:rsidR="00975A6A">
          <w:rPr>
            <w:rStyle w:val="Hypertextovodkaz"/>
            <w:iCs/>
          </w:rPr>
          <w:t>https://csu.gov.cz/ctvrtletni-odhady-hdp</w:t>
        </w:r>
      </w:hyperlink>
    </w:p>
    <w:p w14:paraId="4E7D1368" w14:textId="5AA734F7" w:rsidR="000C176D" w:rsidRDefault="000C176D" w:rsidP="001A1483">
      <w:pPr>
        <w:pStyle w:val="Poznamkytexty"/>
        <w:spacing w:before="120"/>
        <w:ind w:left="4111" w:hanging="4111"/>
        <w:jc w:val="left"/>
      </w:pPr>
      <w:r w:rsidRPr="00FE1D62">
        <w:t>Termín zveřejnění další RI:</w:t>
      </w:r>
      <w:r w:rsidRPr="00FE1D62">
        <w:tab/>
      </w:r>
      <w:r>
        <w:t>30</w:t>
      </w:r>
      <w:r w:rsidRPr="00FE1D62">
        <w:t xml:space="preserve">. </w:t>
      </w:r>
      <w:r>
        <w:t>dubna 202</w:t>
      </w:r>
      <w:r w:rsidR="00786C5D">
        <w:t>6</w:t>
      </w:r>
      <w:r w:rsidRPr="00FE1D62">
        <w:t xml:space="preserve"> </w:t>
      </w:r>
      <w:r w:rsidRPr="00FE1D62">
        <w:br/>
        <w:t xml:space="preserve">(Předběžný odhad HDP za </w:t>
      </w:r>
      <w:r>
        <w:t>1</w:t>
      </w:r>
      <w:r w:rsidRPr="00FE1D62">
        <w:t>. čtvrtletí 20</w:t>
      </w:r>
      <w:r>
        <w:t>2</w:t>
      </w:r>
      <w:r w:rsidR="00786C5D">
        <w:t>6</w:t>
      </w:r>
      <w:r w:rsidRPr="00FE1D62">
        <w:t>)</w:t>
      </w:r>
    </w:p>
    <w:p w14:paraId="2F5E4949" w14:textId="77777777" w:rsidR="000C176D" w:rsidRPr="00981D35" w:rsidRDefault="000C176D" w:rsidP="000C176D"/>
    <w:p w14:paraId="4F2E3A74" w14:textId="77777777" w:rsidR="00D209A7" w:rsidRPr="000C176D" w:rsidRDefault="00D209A7" w:rsidP="000C176D"/>
    <w:sectPr w:rsidR="00D209A7" w:rsidRPr="000C176D" w:rsidSect="008C7F0F">
      <w:headerReference w:type="default" r:id="rId12"/>
      <w:footerReference w:type="default" r:id="rId13"/>
      <w:pgSz w:w="11907" w:h="16839" w:code="9"/>
      <w:pgMar w:top="2835" w:right="1417" w:bottom="1843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5BE5" w14:textId="77777777" w:rsidR="002F140E" w:rsidRDefault="002F140E" w:rsidP="00BA6370">
      <w:r>
        <w:separator/>
      </w:r>
    </w:p>
  </w:endnote>
  <w:endnote w:type="continuationSeparator" w:id="0">
    <w:p w14:paraId="628393E0" w14:textId="77777777" w:rsidR="002F140E" w:rsidRDefault="002F140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AAC4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C28A4C" wp14:editId="6140588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38C3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3B5F5A9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D644C8" w:rsidRPr="009E3E1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D644C8" w:rsidRPr="009E3E19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37CB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8A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9D38C3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3B5F5A9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D644C8" w:rsidRPr="009E3E1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D644C8" w:rsidRPr="009E3E19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37CB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C921C58" wp14:editId="0C56573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39FE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F93E" w14:textId="77777777" w:rsidR="002F140E" w:rsidRDefault="002F140E" w:rsidP="00BA6370">
      <w:r>
        <w:separator/>
      </w:r>
    </w:p>
  </w:footnote>
  <w:footnote w:type="continuationSeparator" w:id="0">
    <w:p w14:paraId="2E3F2F08" w14:textId="77777777" w:rsidR="002F140E" w:rsidRDefault="002F140E" w:rsidP="00BA6370">
      <w:r>
        <w:continuationSeparator/>
      </w:r>
    </w:p>
  </w:footnote>
  <w:footnote w:id="1">
    <w:p w14:paraId="675D1E44" w14:textId="77777777" w:rsidR="000C176D" w:rsidRPr="00247C5D" w:rsidRDefault="000C176D" w:rsidP="000C176D">
      <w:pPr>
        <w:pStyle w:val="Textpoznpodarou"/>
        <w:spacing w:after="60"/>
        <w:jc w:val="both"/>
        <w:rPr>
          <w:rFonts w:ascii="Arial" w:hAnsi="Arial" w:cs="Arial"/>
          <w:i/>
          <w:sz w:val="18"/>
          <w:szCs w:val="18"/>
        </w:rPr>
      </w:pPr>
      <w:r w:rsidRPr="00652020">
        <w:rPr>
          <w:rStyle w:val="Znakapoznpodarou"/>
          <w:rFonts w:ascii="Arial" w:hAnsi="Arial" w:cs="Arial"/>
          <w:i/>
        </w:rPr>
        <w:footnoteRef/>
      </w:r>
      <w:r w:rsidRPr="00652020">
        <w:rPr>
          <w:rFonts w:ascii="Arial" w:hAnsi="Arial" w:cs="Arial"/>
          <w:i/>
        </w:rPr>
        <w:t xml:space="preserve"> </w:t>
      </w:r>
      <w:r w:rsidRPr="00652020">
        <w:rPr>
          <w:rFonts w:ascii="Arial" w:hAnsi="Arial" w:cs="Arial"/>
          <w:i/>
          <w:sz w:val="18"/>
          <w:szCs w:val="18"/>
        </w:rPr>
        <w:t>Pokud není uvedeno jinak, jsou všechny uváděné údaje očištěny o změny cen, sezónní vlivy a nestejný počet pracovních dnů</w:t>
      </w:r>
      <w:r>
        <w:rPr>
          <w:rFonts w:ascii="Arial" w:hAnsi="Arial" w:cs="Arial"/>
          <w:i/>
          <w:sz w:val="18"/>
          <w:szCs w:val="18"/>
        </w:rPr>
        <w:t>.</w:t>
      </w:r>
    </w:p>
  </w:footnote>
  <w:footnote w:id="2">
    <w:p w14:paraId="7A5EFA81" w14:textId="77777777" w:rsidR="007A4AC1" w:rsidRPr="00403FFD" w:rsidRDefault="007A4AC1" w:rsidP="007A4AC1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</w:rPr>
      </w:pPr>
      <w:r w:rsidRPr="00403FFD">
        <w:rPr>
          <w:rStyle w:val="Znakapoznpodarou"/>
          <w:rFonts w:ascii="Arial" w:hAnsi="Arial" w:cs="Arial"/>
          <w:i/>
        </w:rPr>
        <w:footnoteRef/>
      </w:r>
      <w:r w:rsidRPr="00403FFD">
        <w:rPr>
          <w:rFonts w:ascii="Arial" w:hAnsi="Arial" w:cs="Arial"/>
          <w:i/>
        </w:rPr>
        <w:t xml:space="preserve"> </w:t>
      </w:r>
      <w:r w:rsidRPr="00403FFD">
        <w:rPr>
          <w:rFonts w:ascii="Arial" w:hAnsi="Arial" w:cs="Arial"/>
          <w:i/>
          <w:sz w:val="18"/>
          <w:szCs w:val="18"/>
        </w:rPr>
        <w:t xml:space="preserve">Příspěvky k růstu </w:t>
      </w:r>
      <w:r>
        <w:rPr>
          <w:rFonts w:ascii="Arial" w:hAnsi="Arial" w:cs="Arial"/>
          <w:i/>
          <w:sz w:val="18"/>
          <w:szCs w:val="18"/>
        </w:rPr>
        <w:t xml:space="preserve">HDP </w:t>
      </w:r>
      <w:r w:rsidRPr="00403FFD">
        <w:rPr>
          <w:rFonts w:ascii="Arial" w:hAnsi="Arial" w:cs="Arial"/>
          <w:i/>
          <w:sz w:val="18"/>
          <w:szCs w:val="18"/>
        </w:rPr>
        <w:t xml:space="preserve">po vyloučení dovozu </w:t>
      </w:r>
      <w:r>
        <w:rPr>
          <w:rFonts w:ascii="Arial" w:hAnsi="Arial" w:cs="Arial"/>
          <w:i/>
          <w:sz w:val="18"/>
          <w:szCs w:val="18"/>
        </w:rPr>
        <w:t>pro konečné užití, pokud není uvedeno jinak.</w:t>
      </w:r>
    </w:p>
  </w:footnote>
  <w:footnote w:id="3">
    <w:p w14:paraId="28BD24F8" w14:textId="77777777" w:rsidR="000C176D" w:rsidRDefault="000C176D" w:rsidP="000C176D">
      <w:pPr>
        <w:pStyle w:val="Textpoznpodarou"/>
      </w:pPr>
      <w:r w:rsidRPr="00DA73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DA73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 běžných cenách, neočištěno o sezónní vlivy.</w:t>
      </w:r>
    </w:p>
  </w:footnote>
  <w:footnote w:id="4">
    <w:p w14:paraId="632E1127" w14:textId="77777777" w:rsidR="000C176D" w:rsidRPr="00877248" w:rsidRDefault="000C176D" w:rsidP="000C176D">
      <w:pPr>
        <w:pStyle w:val="Textpoznpodarou"/>
        <w:spacing w:line="288" w:lineRule="auto"/>
        <w:rPr>
          <w:rFonts w:ascii="Arial" w:hAnsi="Arial" w:cs="Arial"/>
          <w:i/>
          <w:sz w:val="22"/>
        </w:rPr>
      </w:pPr>
      <w:r w:rsidRPr="00877248">
        <w:rPr>
          <w:rStyle w:val="Znakapoznpodarou"/>
          <w:rFonts w:ascii="Arial" w:hAnsi="Arial" w:cs="Arial"/>
          <w:i/>
          <w:sz w:val="18"/>
        </w:rPr>
        <w:footnoteRef/>
      </w:r>
      <w:r w:rsidRPr="00877248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Počet osob v</w:t>
      </w:r>
      <w:r w:rsidRPr="00877248">
        <w:rPr>
          <w:rFonts w:ascii="Arial" w:hAnsi="Arial" w:cs="Arial"/>
          <w:i/>
          <w:sz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94B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4942825" wp14:editId="32D4E0D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389D8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C"/>
    <w:rsid w:val="00004ED1"/>
    <w:rsid w:val="00013AEC"/>
    <w:rsid w:val="000164FC"/>
    <w:rsid w:val="000370A3"/>
    <w:rsid w:val="00041CDA"/>
    <w:rsid w:val="00042727"/>
    <w:rsid w:val="00043BF4"/>
    <w:rsid w:val="00047F44"/>
    <w:rsid w:val="000671A9"/>
    <w:rsid w:val="0007013C"/>
    <w:rsid w:val="000727CB"/>
    <w:rsid w:val="000754C2"/>
    <w:rsid w:val="000843A5"/>
    <w:rsid w:val="0008539B"/>
    <w:rsid w:val="000910DA"/>
    <w:rsid w:val="00094E4D"/>
    <w:rsid w:val="00095A78"/>
    <w:rsid w:val="00096D6C"/>
    <w:rsid w:val="00097BDD"/>
    <w:rsid w:val="000A4194"/>
    <w:rsid w:val="000A53F1"/>
    <w:rsid w:val="000B1E8A"/>
    <w:rsid w:val="000B6F63"/>
    <w:rsid w:val="000C176D"/>
    <w:rsid w:val="000D093F"/>
    <w:rsid w:val="000D11AB"/>
    <w:rsid w:val="000D3E39"/>
    <w:rsid w:val="000E43CC"/>
    <w:rsid w:val="000E6D72"/>
    <w:rsid w:val="000F553A"/>
    <w:rsid w:val="000F6F0F"/>
    <w:rsid w:val="001058D6"/>
    <w:rsid w:val="00113C34"/>
    <w:rsid w:val="00113CB6"/>
    <w:rsid w:val="00125116"/>
    <w:rsid w:val="00131641"/>
    <w:rsid w:val="001322E7"/>
    <w:rsid w:val="00132ED4"/>
    <w:rsid w:val="0013442D"/>
    <w:rsid w:val="00135DCB"/>
    <w:rsid w:val="001404AB"/>
    <w:rsid w:val="0014138A"/>
    <w:rsid w:val="001511B3"/>
    <w:rsid w:val="00152BAF"/>
    <w:rsid w:val="0017231D"/>
    <w:rsid w:val="00180256"/>
    <w:rsid w:val="001810DC"/>
    <w:rsid w:val="0018562D"/>
    <w:rsid w:val="00187632"/>
    <w:rsid w:val="001A1483"/>
    <w:rsid w:val="001A1B04"/>
    <w:rsid w:val="001A672F"/>
    <w:rsid w:val="001B51EA"/>
    <w:rsid w:val="001B607F"/>
    <w:rsid w:val="001B781A"/>
    <w:rsid w:val="001D369A"/>
    <w:rsid w:val="001D6E63"/>
    <w:rsid w:val="001F08B3"/>
    <w:rsid w:val="001F2FE0"/>
    <w:rsid w:val="00200854"/>
    <w:rsid w:val="002070FB"/>
    <w:rsid w:val="00213729"/>
    <w:rsid w:val="00214096"/>
    <w:rsid w:val="0022697A"/>
    <w:rsid w:val="002406FA"/>
    <w:rsid w:val="00254511"/>
    <w:rsid w:val="0026107B"/>
    <w:rsid w:val="002706EF"/>
    <w:rsid w:val="002746B7"/>
    <w:rsid w:val="00275DF8"/>
    <w:rsid w:val="002764DE"/>
    <w:rsid w:val="00276DA1"/>
    <w:rsid w:val="00280CC2"/>
    <w:rsid w:val="00283787"/>
    <w:rsid w:val="00284C2C"/>
    <w:rsid w:val="002A1C1E"/>
    <w:rsid w:val="002A5342"/>
    <w:rsid w:val="002B2E47"/>
    <w:rsid w:val="002B4FBC"/>
    <w:rsid w:val="002C7ACE"/>
    <w:rsid w:val="002D2649"/>
    <w:rsid w:val="002D3020"/>
    <w:rsid w:val="002D44FD"/>
    <w:rsid w:val="002D7F4F"/>
    <w:rsid w:val="002E7611"/>
    <w:rsid w:val="002F0383"/>
    <w:rsid w:val="002F140E"/>
    <w:rsid w:val="002F39C6"/>
    <w:rsid w:val="002F7308"/>
    <w:rsid w:val="002F7D31"/>
    <w:rsid w:val="00300E45"/>
    <w:rsid w:val="00306013"/>
    <w:rsid w:val="00307EEE"/>
    <w:rsid w:val="00310EEB"/>
    <w:rsid w:val="003213FA"/>
    <w:rsid w:val="00324416"/>
    <w:rsid w:val="003301A3"/>
    <w:rsid w:val="0033213B"/>
    <w:rsid w:val="00332268"/>
    <w:rsid w:val="0034625E"/>
    <w:rsid w:val="003650BF"/>
    <w:rsid w:val="0036777B"/>
    <w:rsid w:val="003734EA"/>
    <w:rsid w:val="0038282A"/>
    <w:rsid w:val="003968D1"/>
    <w:rsid w:val="00397580"/>
    <w:rsid w:val="00397BB1"/>
    <w:rsid w:val="003A44E0"/>
    <w:rsid w:val="003A45C8"/>
    <w:rsid w:val="003B617F"/>
    <w:rsid w:val="003C2DCF"/>
    <w:rsid w:val="003C435F"/>
    <w:rsid w:val="003C4F7B"/>
    <w:rsid w:val="003C7544"/>
    <w:rsid w:val="003C7FE7"/>
    <w:rsid w:val="003D0499"/>
    <w:rsid w:val="003D2AB9"/>
    <w:rsid w:val="003D3576"/>
    <w:rsid w:val="003D529B"/>
    <w:rsid w:val="003D5617"/>
    <w:rsid w:val="003E185A"/>
    <w:rsid w:val="003F50CE"/>
    <w:rsid w:val="003F526A"/>
    <w:rsid w:val="00400818"/>
    <w:rsid w:val="00400A7D"/>
    <w:rsid w:val="004024B2"/>
    <w:rsid w:val="00403F66"/>
    <w:rsid w:val="00404316"/>
    <w:rsid w:val="00405244"/>
    <w:rsid w:val="004154C7"/>
    <w:rsid w:val="00427005"/>
    <w:rsid w:val="00436230"/>
    <w:rsid w:val="004436EE"/>
    <w:rsid w:val="00446EE9"/>
    <w:rsid w:val="0045221B"/>
    <w:rsid w:val="00452F05"/>
    <w:rsid w:val="0045547F"/>
    <w:rsid w:val="00456751"/>
    <w:rsid w:val="0046427E"/>
    <w:rsid w:val="00464C5D"/>
    <w:rsid w:val="00471DEF"/>
    <w:rsid w:val="00472310"/>
    <w:rsid w:val="0047390F"/>
    <w:rsid w:val="00484911"/>
    <w:rsid w:val="004861D9"/>
    <w:rsid w:val="00491C33"/>
    <w:rsid w:val="004920AD"/>
    <w:rsid w:val="004A0ED5"/>
    <w:rsid w:val="004A5A0E"/>
    <w:rsid w:val="004B4606"/>
    <w:rsid w:val="004C1216"/>
    <w:rsid w:val="004C1BBB"/>
    <w:rsid w:val="004C4C12"/>
    <w:rsid w:val="004D05B3"/>
    <w:rsid w:val="004D2BD2"/>
    <w:rsid w:val="004D5716"/>
    <w:rsid w:val="004E031A"/>
    <w:rsid w:val="004E1D54"/>
    <w:rsid w:val="004E479E"/>
    <w:rsid w:val="004E4DF5"/>
    <w:rsid w:val="004F07B0"/>
    <w:rsid w:val="004F134E"/>
    <w:rsid w:val="004F5758"/>
    <w:rsid w:val="004F686C"/>
    <w:rsid w:val="004F78E6"/>
    <w:rsid w:val="0050420E"/>
    <w:rsid w:val="00506146"/>
    <w:rsid w:val="00510C70"/>
    <w:rsid w:val="00512D99"/>
    <w:rsid w:val="0051757B"/>
    <w:rsid w:val="005202CD"/>
    <w:rsid w:val="00520D4F"/>
    <w:rsid w:val="005211E4"/>
    <w:rsid w:val="00531DBB"/>
    <w:rsid w:val="00556923"/>
    <w:rsid w:val="00560EDA"/>
    <w:rsid w:val="0056248F"/>
    <w:rsid w:val="00573994"/>
    <w:rsid w:val="00585920"/>
    <w:rsid w:val="00585F13"/>
    <w:rsid w:val="005900ED"/>
    <w:rsid w:val="005924FB"/>
    <w:rsid w:val="00595DD3"/>
    <w:rsid w:val="005B7AB6"/>
    <w:rsid w:val="005C27D6"/>
    <w:rsid w:val="005C4F31"/>
    <w:rsid w:val="005C55CA"/>
    <w:rsid w:val="005C7BC8"/>
    <w:rsid w:val="005D19AD"/>
    <w:rsid w:val="005D3CA4"/>
    <w:rsid w:val="005D5C91"/>
    <w:rsid w:val="005E3820"/>
    <w:rsid w:val="005E5E4C"/>
    <w:rsid w:val="005E7011"/>
    <w:rsid w:val="005F170D"/>
    <w:rsid w:val="005F79FB"/>
    <w:rsid w:val="00600F42"/>
    <w:rsid w:val="00604406"/>
    <w:rsid w:val="00605168"/>
    <w:rsid w:val="00605F4A"/>
    <w:rsid w:val="00607822"/>
    <w:rsid w:val="006103AA"/>
    <w:rsid w:val="00612A8C"/>
    <w:rsid w:val="0061342F"/>
    <w:rsid w:val="00613BBF"/>
    <w:rsid w:val="00620F54"/>
    <w:rsid w:val="00622B80"/>
    <w:rsid w:val="0064139A"/>
    <w:rsid w:val="006506A5"/>
    <w:rsid w:val="0065078A"/>
    <w:rsid w:val="00654048"/>
    <w:rsid w:val="00654784"/>
    <w:rsid w:val="00665744"/>
    <w:rsid w:val="006707F8"/>
    <w:rsid w:val="00680927"/>
    <w:rsid w:val="006830BD"/>
    <w:rsid w:val="00683455"/>
    <w:rsid w:val="00683F5C"/>
    <w:rsid w:val="00692211"/>
    <w:rsid w:val="006931CF"/>
    <w:rsid w:val="006952AB"/>
    <w:rsid w:val="00696C6E"/>
    <w:rsid w:val="006A33BF"/>
    <w:rsid w:val="006C05CC"/>
    <w:rsid w:val="006C0678"/>
    <w:rsid w:val="006D21EB"/>
    <w:rsid w:val="006E024F"/>
    <w:rsid w:val="006E1B12"/>
    <w:rsid w:val="006E4E81"/>
    <w:rsid w:val="006F45FD"/>
    <w:rsid w:val="006F738A"/>
    <w:rsid w:val="006F779E"/>
    <w:rsid w:val="00707F7D"/>
    <w:rsid w:val="007154FE"/>
    <w:rsid w:val="00716267"/>
    <w:rsid w:val="00717EC5"/>
    <w:rsid w:val="00732690"/>
    <w:rsid w:val="00734E3E"/>
    <w:rsid w:val="00740083"/>
    <w:rsid w:val="007454AE"/>
    <w:rsid w:val="0075316B"/>
    <w:rsid w:val="00754C20"/>
    <w:rsid w:val="007567E3"/>
    <w:rsid w:val="00765B84"/>
    <w:rsid w:val="007700EE"/>
    <w:rsid w:val="007842A3"/>
    <w:rsid w:val="0078480D"/>
    <w:rsid w:val="00786C5D"/>
    <w:rsid w:val="00792CDC"/>
    <w:rsid w:val="007932AC"/>
    <w:rsid w:val="007A2048"/>
    <w:rsid w:val="007A4AC1"/>
    <w:rsid w:val="007A57F2"/>
    <w:rsid w:val="007B1333"/>
    <w:rsid w:val="007B755E"/>
    <w:rsid w:val="007C6FC5"/>
    <w:rsid w:val="007C771E"/>
    <w:rsid w:val="007D2AB2"/>
    <w:rsid w:val="007D74DC"/>
    <w:rsid w:val="007F4AEB"/>
    <w:rsid w:val="007F6684"/>
    <w:rsid w:val="007F75B2"/>
    <w:rsid w:val="0080309E"/>
    <w:rsid w:val="00803993"/>
    <w:rsid w:val="00803B60"/>
    <w:rsid w:val="008043C4"/>
    <w:rsid w:val="00810B85"/>
    <w:rsid w:val="00815031"/>
    <w:rsid w:val="00817ADC"/>
    <w:rsid w:val="00825C45"/>
    <w:rsid w:val="0083196C"/>
    <w:rsid w:val="00831B1B"/>
    <w:rsid w:val="00834831"/>
    <w:rsid w:val="00840406"/>
    <w:rsid w:val="00844154"/>
    <w:rsid w:val="008524F7"/>
    <w:rsid w:val="00855891"/>
    <w:rsid w:val="00855FB3"/>
    <w:rsid w:val="00857FFE"/>
    <w:rsid w:val="00861D0E"/>
    <w:rsid w:val="00862A04"/>
    <w:rsid w:val="00863BD5"/>
    <w:rsid w:val="0086470B"/>
    <w:rsid w:val="008662BB"/>
    <w:rsid w:val="00867569"/>
    <w:rsid w:val="00870B17"/>
    <w:rsid w:val="00882882"/>
    <w:rsid w:val="00882A58"/>
    <w:rsid w:val="00884917"/>
    <w:rsid w:val="00896680"/>
    <w:rsid w:val="008976A5"/>
    <w:rsid w:val="008A750A"/>
    <w:rsid w:val="008B3970"/>
    <w:rsid w:val="008B70AA"/>
    <w:rsid w:val="008B7326"/>
    <w:rsid w:val="008C384C"/>
    <w:rsid w:val="008C441B"/>
    <w:rsid w:val="008C6961"/>
    <w:rsid w:val="008C7BEE"/>
    <w:rsid w:val="008C7F0F"/>
    <w:rsid w:val="008D0F11"/>
    <w:rsid w:val="008D2206"/>
    <w:rsid w:val="008D5290"/>
    <w:rsid w:val="008D7206"/>
    <w:rsid w:val="008E0951"/>
    <w:rsid w:val="008E44ED"/>
    <w:rsid w:val="008E44FA"/>
    <w:rsid w:val="008E49DD"/>
    <w:rsid w:val="008E6211"/>
    <w:rsid w:val="008F24E5"/>
    <w:rsid w:val="008F73B4"/>
    <w:rsid w:val="00900141"/>
    <w:rsid w:val="00904B72"/>
    <w:rsid w:val="009056D5"/>
    <w:rsid w:val="00914B56"/>
    <w:rsid w:val="00923A81"/>
    <w:rsid w:val="00931641"/>
    <w:rsid w:val="00937513"/>
    <w:rsid w:val="00942FFA"/>
    <w:rsid w:val="0094322B"/>
    <w:rsid w:val="00946707"/>
    <w:rsid w:val="0095440C"/>
    <w:rsid w:val="00955A46"/>
    <w:rsid w:val="00957983"/>
    <w:rsid w:val="00962D73"/>
    <w:rsid w:val="00973EDD"/>
    <w:rsid w:val="00975A6A"/>
    <w:rsid w:val="00981D35"/>
    <w:rsid w:val="009866A9"/>
    <w:rsid w:val="00986DD7"/>
    <w:rsid w:val="009B55B1"/>
    <w:rsid w:val="009B62A7"/>
    <w:rsid w:val="009D092F"/>
    <w:rsid w:val="009E6678"/>
    <w:rsid w:val="009F56D1"/>
    <w:rsid w:val="00A00C19"/>
    <w:rsid w:val="00A01234"/>
    <w:rsid w:val="00A025F9"/>
    <w:rsid w:val="00A054A5"/>
    <w:rsid w:val="00A06238"/>
    <w:rsid w:val="00A0762A"/>
    <w:rsid w:val="00A1095E"/>
    <w:rsid w:val="00A15612"/>
    <w:rsid w:val="00A16A1F"/>
    <w:rsid w:val="00A231AB"/>
    <w:rsid w:val="00A40E2F"/>
    <w:rsid w:val="00A4343D"/>
    <w:rsid w:val="00A502F1"/>
    <w:rsid w:val="00A54EBD"/>
    <w:rsid w:val="00A56CA1"/>
    <w:rsid w:val="00A64FDE"/>
    <w:rsid w:val="00A70046"/>
    <w:rsid w:val="00A70A83"/>
    <w:rsid w:val="00A711D2"/>
    <w:rsid w:val="00A81EB3"/>
    <w:rsid w:val="00A9050F"/>
    <w:rsid w:val="00A93A53"/>
    <w:rsid w:val="00A955BC"/>
    <w:rsid w:val="00AB0E17"/>
    <w:rsid w:val="00AB3410"/>
    <w:rsid w:val="00AB4504"/>
    <w:rsid w:val="00AD04BF"/>
    <w:rsid w:val="00AD27CC"/>
    <w:rsid w:val="00AD6F81"/>
    <w:rsid w:val="00AD7489"/>
    <w:rsid w:val="00AE38BA"/>
    <w:rsid w:val="00AE4235"/>
    <w:rsid w:val="00AE43CA"/>
    <w:rsid w:val="00AF217C"/>
    <w:rsid w:val="00AF7010"/>
    <w:rsid w:val="00B00A6D"/>
    <w:rsid w:val="00B00C1D"/>
    <w:rsid w:val="00B01F86"/>
    <w:rsid w:val="00B04043"/>
    <w:rsid w:val="00B324A2"/>
    <w:rsid w:val="00B420BD"/>
    <w:rsid w:val="00B42158"/>
    <w:rsid w:val="00B42933"/>
    <w:rsid w:val="00B45720"/>
    <w:rsid w:val="00B469BD"/>
    <w:rsid w:val="00B53A5F"/>
    <w:rsid w:val="00B55375"/>
    <w:rsid w:val="00B557E3"/>
    <w:rsid w:val="00B60B7E"/>
    <w:rsid w:val="00B632CC"/>
    <w:rsid w:val="00B72C19"/>
    <w:rsid w:val="00B72D52"/>
    <w:rsid w:val="00B91260"/>
    <w:rsid w:val="00B92579"/>
    <w:rsid w:val="00B96276"/>
    <w:rsid w:val="00BA12F1"/>
    <w:rsid w:val="00BA439F"/>
    <w:rsid w:val="00BA6370"/>
    <w:rsid w:val="00BA6648"/>
    <w:rsid w:val="00BB0B5A"/>
    <w:rsid w:val="00BB2E58"/>
    <w:rsid w:val="00BB5EEE"/>
    <w:rsid w:val="00BC5640"/>
    <w:rsid w:val="00BF71BB"/>
    <w:rsid w:val="00BF7B16"/>
    <w:rsid w:val="00C009CE"/>
    <w:rsid w:val="00C02512"/>
    <w:rsid w:val="00C0255E"/>
    <w:rsid w:val="00C04E83"/>
    <w:rsid w:val="00C269D4"/>
    <w:rsid w:val="00C3178F"/>
    <w:rsid w:val="00C31AFC"/>
    <w:rsid w:val="00C31C8E"/>
    <w:rsid w:val="00C3443F"/>
    <w:rsid w:val="00C35900"/>
    <w:rsid w:val="00C37ADB"/>
    <w:rsid w:val="00C4160D"/>
    <w:rsid w:val="00C4378F"/>
    <w:rsid w:val="00C44A2C"/>
    <w:rsid w:val="00C45750"/>
    <w:rsid w:val="00C54FD3"/>
    <w:rsid w:val="00C561FD"/>
    <w:rsid w:val="00C56D08"/>
    <w:rsid w:val="00C627D2"/>
    <w:rsid w:val="00C64849"/>
    <w:rsid w:val="00C64866"/>
    <w:rsid w:val="00C74411"/>
    <w:rsid w:val="00C75D24"/>
    <w:rsid w:val="00C8406E"/>
    <w:rsid w:val="00C93B18"/>
    <w:rsid w:val="00C97C4C"/>
    <w:rsid w:val="00CA2DB0"/>
    <w:rsid w:val="00CB2709"/>
    <w:rsid w:val="00CB6F89"/>
    <w:rsid w:val="00CB736F"/>
    <w:rsid w:val="00CC0AE9"/>
    <w:rsid w:val="00CC152A"/>
    <w:rsid w:val="00CC46AF"/>
    <w:rsid w:val="00CC4EAE"/>
    <w:rsid w:val="00CD18D7"/>
    <w:rsid w:val="00CD618A"/>
    <w:rsid w:val="00CE13A2"/>
    <w:rsid w:val="00CE228C"/>
    <w:rsid w:val="00CE71D9"/>
    <w:rsid w:val="00CF29EE"/>
    <w:rsid w:val="00CF545B"/>
    <w:rsid w:val="00CF58E0"/>
    <w:rsid w:val="00CF65A3"/>
    <w:rsid w:val="00D05395"/>
    <w:rsid w:val="00D07F7F"/>
    <w:rsid w:val="00D10C5A"/>
    <w:rsid w:val="00D209A7"/>
    <w:rsid w:val="00D224A3"/>
    <w:rsid w:val="00D253B4"/>
    <w:rsid w:val="00D256D4"/>
    <w:rsid w:val="00D27D69"/>
    <w:rsid w:val="00D33658"/>
    <w:rsid w:val="00D34DBC"/>
    <w:rsid w:val="00D3597A"/>
    <w:rsid w:val="00D361D5"/>
    <w:rsid w:val="00D372FD"/>
    <w:rsid w:val="00D37CB8"/>
    <w:rsid w:val="00D422F9"/>
    <w:rsid w:val="00D448C2"/>
    <w:rsid w:val="00D45424"/>
    <w:rsid w:val="00D508F9"/>
    <w:rsid w:val="00D54208"/>
    <w:rsid w:val="00D644C8"/>
    <w:rsid w:val="00D660AA"/>
    <w:rsid w:val="00D666C3"/>
    <w:rsid w:val="00D67AAE"/>
    <w:rsid w:val="00D73063"/>
    <w:rsid w:val="00D7317E"/>
    <w:rsid w:val="00D73288"/>
    <w:rsid w:val="00D7458C"/>
    <w:rsid w:val="00D84750"/>
    <w:rsid w:val="00D84946"/>
    <w:rsid w:val="00D86D98"/>
    <w:rsid w:val="00D9189F"/>
    <w:rsid w:val="00DA1A35"/>
    <w:rsid w:val="00DA2311"/>
    <w:rsid w:val="00DB6C01"/>
    <w:rsid w:val="00DB7F9A"/>
    <w:rsid w:val="00DC014F"/>
    <w:rsid w:val="00DD3C78"/>
    <w:rsid w:val="00DD6F49"/>
    <w:rsid w:val="00DD726A"/>
    <w:rsid w:val="00DD79B8"/>
    <w:rsid w:val="00DF0E94"/>
    <w:rsid w:val="00DF3030"/>
    <w:rsid w:val="00DF35EE"/>
    <w:rsid w:val="00DF47FE"/>
    <w:rsid w:val="00E0156A"/>
    <w:rsid w:val="00E04B94"/>
    <w:rsid w:val="00E079A9"/>
    <w:rsid w:val="00E13264"/>
    <w:rsid w:val="00E13CC9"/>
    <w:rsid w:val="00E16687"/>
    <w:rsid w:val="00E224CD"/>
    <w:rsid w:val="00E2474A"/>
    <w:rsid w:val="00E256DA"/>
    <w:rsid w:val="00E26704"/>
    <w:rsid w:val="00E31980"/>
    <w:rsid w:val="00E330D1"/>
    <w:rsid w:val="00E40B9F"/>
    <w:rsid w:val="00E505BF"/>
    <w:rsid w:val="00E5152B"/>
    <w:rsid w:val="00E613A5"/>
    <w:rsid w:val="00E6423C"/>
    <w:rsid w:val="00E7148B"/>
    <w:rsid w:val="00E779D9"/>
    <w:rsid w:val="00E80C64"/>
    <w:rsid w:val="00E84B20"/>
    <w:rsid w:val="00E85388"/>
    <w:rsid w:val="00E86932"/>
    <w:rsid w:val="00E9031C"/>
    <w:rsid w:val="00E93830"/>
    <w:rsid w:val="00E93E0E"/>
    <w:rsid w:val="00EA10D8"/>
    <w:rsid w:val="00EA1AF5"/>
    <w:rsid w:val="00EB1ED3"/>
    <w:rsid w:val="00EC6232"/>
    <w:rsid w:val="00ED25DD"/>
    <w:rsid w:val="00EF239E"/>
    <w:rsid w:val="00F01BE4"/>
    <w:rsid w:val="00F12A29"/>
    <w:rsid w:val="00F25501"/>
    <w:rsid w:val="00F56864"/>
    <w:rsid w:val="00F60747"/>
    <w:rsid w:val="00F60982"/>
    <w:rsid w:val="00F641C9"/>
    <w:rsid w:val="00F668E9"/>
    <w:rsid w:val="00F75F2A"/>
    <w:rsid w:val="00F847A6"/>
    <w:rsid w:val="00F93E94"/>
    <w:rsid w:val="00FA04D3"/>
    <w:rsid w:val="00FA18C6"/>
    <w:rsid w:val="00FB20BA"/>
    <w:rsid w:val="00FB687C"/>
    <w:rsid w:val="00FC5BB8"/>
    <w:rsid w:val="00FD3810"/>
    <w:rsid w:val="00FE604C"/>
    <w:rsid w:val="00FF37CD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C5C4ABF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140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50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ctvrtletni-odhady-hdp?pocet=10&amp;start=0&amp;podskupiny=051&amp;razeni=-datumVydan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l.czso.cz/pll/rocenka/rocenka.indexnu_kvart?mylang=CZ&amp;co=Q_HDP_Z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4Q\T60\Graf_P&#345;&#237;sp&#283;vky_T60_&#382;iv&#283;_25_4Q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35711942257218E-2"/>
          <c:y val="0.12358680923780517"/>
          <c:w val="0.91932872673952459"/>
          <c:h val="0.569201492496942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data!$D$4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0071BC"/>
            </a:solidFill>
          </c:spPr>
          <c:invertIfNegative val="0"/>
          <c:cat>
            <c:multiLvlStrRef>
              <c:f>data!$B$93:$C$124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data!$D$93:$D$124</c:f>
              <c:numCache>
                <c:formatCode>#\ ##0.0</c:formatCode>
                <c:ptCount val="32"/>
                <c:pt idx="0">
                  <c:v>1.5299129300355345</c:v>
                </c:pt>
                <c:pt idx="1">
                  <c:v>1.2135284912955122</c:v>
                </c:pt>
                <c:pt idx="2">
                  <c:v>0.84444173432580727</c:v>
                </c:pt>
                <c:pt idx="3">
                  <c:v>0.87181005551574786</c:v>
                </c:pt>
                <c:pt idx="4">
                  <c:v>1.1010233961673581</c:v>
                </c:pt>
                <c:pt idx="5">
                  <c:v>1.3394652599971182</c:v>
                </c:pt>
                <c:pt idx="6">
                  <c:v>1.2776803964121961</c:v>
                </c:pt>
                <c:pt idx="7">
                  <c:v>1.2180446467865569</c:v>
                </c:pt>
                <c:pt idx="8">
                  <c:v>-0.20652462785548492</c:v>
                </c:pt>
                <c:pt idx="9">
                  <c:v>-3.1846278495284714</c:v>
                </c:pt>
                <c:pt idx="10">
                  <c:v>-1.7932936482460928</c:v>
                </c:pt>
                <c:pt idx="11">
                  <c:v>-4.1601529367988528</c:v>
                </c:pt>
                <c:pt idx="12">
                  <c:v>-2.7114582495040898</c:v>
                </c:pt>
                <c:pt idx="13">
                  <c:v>3.0643008969551713</c:v>
                </c:pt>
                <c:pt idx="14">
                  <c:v>1.9670161927809442</c:v>
                </c:pt>
                <c:pt idx="15">
                  <c:v>3.8180993600086053</c:v>
                </c:pt>
                <c:pt idx="16">
                  <c:v>3.31386782283117</c:v>
                </c:pt>
                <c:pt idx="17">
                  <c:v>0.16881001369198514</c:v>
                </c:pt>
                <c:pt idx="18">
                  <c:v>-1.3101813511687193</c:v>
                </c:pt>
                <c:pt idx="19">
                  <c:v>-2.089708487125038</c:v>
                </c:pt>
                <c:pt idx="20">
                  <c:v>-2.6013321896959831</c:v>
                </c:pt>
                <c:pt idx="21">
                  <c:v>-1.7057384010523833</c:v>
                </c:pt>
                <c:pt idx="22">
                  <c:v>-1.1009050834144585</c:v>
                </c:pt>
                <c:pt idx="23">
                  <c:v>0.28178742175377886</c:v>
                </c:pt>
                <c:pt idx="24">
                  <c:v>1.0137894571059509</c:v>
                </c:pt>
                <c:pt idx="25">
                  <c:v>0.32301326056167923</c:v>
                </c:pt>
                <c:pt idx="26">
                  <c:v>0.74204257138144858</c:v>
                </c:pt>
                <c:pt idx="27">
                  <c:v>0.97184134487184903</c:v>
                </c:pt>
                <c:pt idx="28">
                  <c:v>0.70181007938438944</c:v>
                </c:pt>
                <c:pt idx="29">
                  <c:v>1.2324382827855747</c:v>
                </c:pt>
                <c:pt idx="30">
                  <c:v>1.1283868796699228</c:v>
                </c:pt>
                <c:pt idx="31">
                  <c:v>1.140433516521199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E-42CF-B0C2-2B6AE78DBBE7}"/>
            </c:ext>
          </c:extLst>
        </c:ser>
        <c:ser>
          <c:idx val="1"/>
          <c:order val="1"/>
          <c:tx>
            <c:strRef>
              <c:f>data!$E$4</c:f>
              <c:strCache>
                <c:ptCount val="1"/>
                <c:pt idx="0">
                  <c:v>Výdaje na konečnou spotřebu vládních institucí, vč. NISD **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data!$B$93:$C$124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data!$E$93:$E$124</c:f>
              <c:numCache>
                <c:formatCode>#\ ##0.0</c:formatCode>
                <c:ptCount val="32"/>
                <c:pt idx="0">
                  <c:v>0.55668142050337299</c:v>
                </c:pt>
                <c:pt idx="1">
                  <c:v>0.63163582838331955</c:v>
                </c:pt>
                <c:pt idx="2">
                  <c:v>0.90155425355053065</c:v>
                </c:pt>
                <c:pt idx="3">
                  <c:v>0.86189655398296161</c:v>
                </c:pt>
                <c:pt idx="4">
                  <c:v>0.57966211876738105</c:v>
                </c:pt>
                <c:pt idx="5">
                  <c:v>0.59030437121918655</c:v>
                </c:pt>
                <c:pt idx="6">
                  <c:v>0.57877798850570639</c:v>
                </c:pt>
                <c:pt idx="7">
                  <c:v>0.31826984187848484</c:v>
                </c:pt>
                <c:pt idx="8">
                  <c:v>0.88576269782772921</c:v>
                </c:pt>
                <c:pt idx="9">
                  <c:v>0.59093741398101518</c:v>
                </c:pt>
                <c:pt idx="10">
                  <c:v>0.31456360974097469</c:v>
                </c:pt>
                <c:pt idx="11">
                  <c:v>1.4281681307910981</c:v>
                </c:pt>
                <c:pt idx="12">
                  <c:v>-5.2420703577954933E-2</c:v>
                </c:pt>
                <c:pt idx="13">
                  <c:v>-1.2059059442811285E-2</c:v>
                </c:pt>
                <c:pt idx="14">
                  <c:v>1.0683662980420261</c:v>
                </c:pt>
                <c:pt idx="15">
                  <c:v>0.18369588682679042</c:v>
                </c:pt>
                <c:pt idx="16">
                  <c:v>0.48347239214157861</c:v>
                </c:pt>
                <c:pt idx="17">
                  <c:v>0.65587071524306262</c:v>
                </c:pt>
                <c:pt idx="18">
                  <c:v>-0.26038905193295536</c:v>
                </c:pt>
                <c:pt idx="19">
                  <c:v>-0.26917620667768249</c:v>
                </c:pt>
                <c:pt idx="20">
                  <c:v>0.63661815389840026</c:v>
                </c:pt>
                <c:pt idx="21">
                  <c:v>0.49546078067023686</c:v>
                </c:pt>
                <c:pt idx="22">
                  <c:v>0.62380447333485767</c:v>
                </c:pt>
                <c:pt idx="23">
                  <c:v>0.75858752419650832</c:v>
                </c:pt>
                <c:pt idx="24">
                  <c:v>0.62704146227845081</c:v>
                </c:pt>
                <c:pt idx="25">
                  <c:v>0.85097630763664189</c:v>
                </c:pt>
                <c:pt idx="26">
                  <c:v>0.77631171007952537</c:v>
                </c:pt>
                <c:pt idx="27">
                  <c:v>0.66808694811721514</c:v>
                </c:pt>
                <c:pt idx="28">
                  <c:v>0.37440188779865818</c:v>
                </c:pt>
                <c:pt idx="29">
                  <c:v>0.45993093609512192</c:v>
                </c:pt>
                <c:pt idx="30">
                  <c:v>0.44456780237899396</c:v>
                </c:pt>
                <c:pt idx="31">
                  <c:v>0.53420842721150474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8E-42CF-B0C2-2B6AE78DBBE7}"/>
            </c:ext>
          </c:extLst>
        </c:ser>
        <c:ser>
          <c:idx val="2"/>
          <c:order val="2"/>
          <c:tx>
            <c:strRef>
              <c:f>data!$F$4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multiLvlStrRef>
              <c:f>data!$B$93:$C$124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data!$F$93:$F$124</c:f>
              <c:numCache>
                <c:formatCode>#\ ##0.0</c:formatCode>
                <c:ptCount val="32"/>
                <c:pt idx="0">
                  <c:v>2.4702583793884942</c:v>
                </c:pt>
                <c:pt idx="1">
                  <c:v>1.128109402456837</c:v>
                </c:pt>
                <c:pt idx="2">
                  <c:v>1.4204403050828212</c:v>
                </c:pt>
                <c:pt idx="3">
                  <c:v>0.43038773765691851</c:v>
                </c:pt>
                <c:pt idx="4">
                  <c:v>1.8069526725966982</c:v>
                </c:pt>
                <c:pt idx="5">
                  <c:v>0.25085541272450729</c:v>
                </c:pt>
                <c:pt idx="6">
                  <c:v>0.47808885739127649</c:v>
                </c:pt>
                <c:pt idx="7">
                  <c:v>2.7609264761854275</c:v>
                </c:pt>
                <c:pt idx="8">
                  <c:v>-0.692354384953354</c:v>
                </c:pt>
                <c:pt idx="9">
                  <c:v>0.6421688938449196</c:v>
                </c:pt>
                <c:pt idx="10">
                  <c:v>-2.3194938796983746</c:v>
                </c:pt>
                <c:pt idx="11">
                  <c:v>-3.4013603006682582</c:v>
                </c:pt>
                <c:pt idx="12">
                  <c:v>0.48944515182568482</c:v>
                </c:pt>
                <c:pt idx="13">
                  <c:v>0.63283866480078799</c:v>
                </c:pt>
                <c:pt idx="14">
                  <c:v>4.5755586286955792</c:v>
                </c:pt>
                <c:pt idx="15">
                  <c:v>3.5359731894684057</c:v>
                </c:pt>
                <c:pt idx="16">
                  <c:v>2.8346832024102784</c:v>
                </c:pt>
                <c:pt idx="17">
                  <c:v>3.2029462451102155</c:v>
                </c:pt>
                <c:pt idx="18">
                  <c:v>0.17477334386100191</c:v>
                </c:pt>
                <c:pt idx="19">
                  <c:v>1.7533996208010143</c:v>
                </c:pt>
                <c:pt idx="20">
                  <c:v>0.83810255836271785</c:v>
                </c:pt>
                <c:pt idx="21">
                  <c:v>-0.65682769100425831</c:v>
                </c:pt>
                <c:pt idx="22">
                  <c:v>0.26435379325584157</c:v>
                </c:pt>
                <c:pt idx="23">
                  <c:v>-2.4911911303735623</c:v>
                </c:pt>
                <c:pt idx="24">
                  <c:v>-2.5053336537489885</c:v>
                </c:pt>
                <c:pt idx="25">
                  <c:v>-1.1930844404346836</c:v>
                </c:pt>
                <c:pt idx="26">
                  <c:v>-0.70390554253181914</c:v>
                </c:pt>
                <c:pt idx="27">
                  <c:v>1.3068840684992775</c:v>
                </c:pt>
                <c:pt idx="28">
                  <c:v>1.3750035866487935</c:v>
                </c:pt>
                <c:pt idx="29">
                  <c:v>1.2796425581685968</c:v>
                </c:pt>
                <c:pt idx="30">
                  <c:v>0.98470474830747268</c:v>
                </c:pt>
                <c:pt idx="31">
                  <c:v>0.21200017095041263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8E-42CF-B0C2-2B6AE78DBBE7}"/>
            </c:ext>
          </c:extLst>
        </c:ser>
        <c:ser>
          <c:idx val="4"/>
          <c:order val="3"/>
          <c:tx>
            <c:strRef>
              <c:f>data!$G$4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multiLvlStrRef>
              <c:f>data!$B$93:$C$124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data!$G$93:$G$124</c:f>
              <c:numCache>
                <c:formatCode>#\ ##0.0</c:formatCode>
                <c:ptCount val="32"/>
                <c:pt idx="0">
                  <c:v>-9.9166719553262617E-2</c:v>
                </c:pt>
                <c:pt idx="1">
                  <c:v>-0.71838725701340334</c:v>
                </c:pt>
                <c:pt idx="2">
                  <c:v>-1.0395720566907687</c:v>
                </c:pt>
                <c:pt idx="3">
                  <c:v>0.31116958850434373</c:v>
                </c:pt>
                <c:pt idx="4">
                  <c:v>-4.1191168554018609E-2</c:v>
                </c:pt>
                <c:pt idx="5">
                  <c:v>1.4597690179959091</c:v>
                </c:pt>
                <c:pt idx="6">
                  <c:v>1.3480919366052735</c:v>
                </c:pt>
                <c:pt idx="7">
                  <c:v>-1.0351889665620999</c:v>
                </c:pt>
                <c:pt idx="8">
                  <c:v>-1.5220098818172303</c:v>
                </c:pt>
                <c:pt idx="9">
                  <c:v>-8.6080644896923371</c:v>
                </c:pt>
                <c:pt idx="10">
                  <c:v>-0.87113777913486379</c:v>
                </c:pt>
                <c:pt idx="11">
                  <c:v>1.614021737138305</c:v>
                </c:pt>
                <c:pt idx="12">
                  <c:v>1.00806823267428</c:v>
                </c:pt>
                <c:pt idx="13">
                  <c:v>6.0445409199098634</c:v>
                </c:pt>
                <c:pt idx="14">
                  <c:v>-3.6147534072472292</c:v>
                </c:pt>
                <c:pt idx="15">
                  <c:v>-3.6138200235464661</c:v>
                </c:pt>
                <c:pt idx="16">
                  <c:v>-1.7829602338092709</c:v>
                </c:pt>
                <c:pt idx="17">
                  <c:v>-0.36779214215191103</c:v>
                </c:pt>
                <c:pt idx="18">
                  <c:v>3.4250247402899241</c:v>
                </c:pt>
                <c:pt idx="19">
                  <c:v>1.5571662732257714</c:v>
                </c:pt>
                <c:pt idx="20">
                  <c:v>1.389081636710952</c:v>
                </c:pt>
                <c:pt idx="21">
                  <c:v>2.0848251500495598</c:v>
                </c:pt>
                <c:pt idx="22">
                  <c:v>-6.9193170333818277E-2</c:v>
                </c:pt>
                <c:pt idx="23">
                  <c:v>1.9371733646297469</c:v>
                </c:pt>
                <c:pt idx="24">
                  <c:v>1.3656021569064456</c:v>
                </c:pt>
                <c:pt idx="25">
                  <c:v>0.55718364150554223</c:v>
                </c:pt>
                <c:pt idx="26">
                  <c:v>0.70240933543370643</c:v>
                </c:pt>
                <c:pt idx="27">
                  <c:v>-0.99272856503726026</c:v>
                </c:pt>
                <c:pt idx="28">
                  <c:v>-1.7593788662101151E-2</c:v>
                </c:pt>
                <c:pt idx="29">
                  <c:v>-0.37568878287551799</c:v>
                </c:pt>
                <c:pt idx="30">
                  <c:v>0.22560583536934153</c:v>
                </c:pt>
                <c:pt idx="31">
                  <c:v>0.67080215712061486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8E-42CF-B0C2-2B6AE78DB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191680"/>
        <c:axId val="44617664"/>
      </c:barChart>
      <c:lineChart>
        <c:grouping val="standard"/>
        <c:varyColors val="0"/>
        <c:ser>
          <c:idx val="3"/>
          <c:order val="4"/>
          <c:tx>
            <c:strRef>
              <c:f>data!$H$4</c:f>
              <c:strCache>
                <c:ptCount val="1"/>
                <c:pt idx="0">
                  <c:v>HDP - meziroční reálná změna, sezónně očištěno (v %)</c:v>
                </c:pt>
              </c:strCache>
            </c:strRef>
          </c:tx>
          <c:spPr>
            <a:ln w="15875">
              <a:solidFill>
                <a:srgbClr val="7030A0"/>
              </a:solidFill>
            </a:ln>
          </c:spPr>
          <c:marker>
            <c:symbol val="none"/>
          </c:marker>
          <c:cat>
            <c:multiLvlStrRef>
              <c:f>data!$B$93:$C$124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data!$H$93:$H$124</c:f>
              <c:numCache>
                <c:formatCode>#\ ##0.0</c:formatCode>
                <c:ptCount val="32"/>
                <c:pt idx="0">
                  <c:v>4.4576506984236062</c:v>
                </c:pt>
                <c:pt idx="1">
                  <c:v>2.2548926998005925</c:v>
                </c:pt>
                <c:pt idx="2">
                  <c:v>2.1268294884820591</c:v>
                </c:pt>
                <c:pt idx="3">
                  <c:v>2.475282084132985</c:v>
                </c:pt>
                <c:pt idx="4">
                  <c:v>3.4464511615954336</c:v>
                </c:pt>
                <c:pt idx="5">
                  <c:v>3.6403136966874712</c:v>
                </c:pt>
                <c:pt idx="6">
                  <c:v>3.6826809238740879</c:v>
                </c:pt>
                <c:pt idx="7">
                  <c:v>3.2619979363906992</c:v>
                </c:pt>
                <c:pt idx="8">
                  <c:v>-1.5351861916054617</c:v>
                </c:pt>
                <c:pt idx="9">
                  <c:v>-10.559587702388853</c:v>
                </c:pt>
                <c:pt idx="10">
                  <c:v>-4.6694083752601188</c:v>
                </c:pt>
                <c:pt idx="11">
                  <c:v>-4.5192273145153194</c:v>
                </c:pt>
                <c:pt idx="12">
                  <c:v>-1.2664124847114806</c:v>
                </c:pt>
                <c:pt idx="13">
                  <c:v>9.7297062446547216</c:v>
                </c:pt>
                <c:pt idx="14">
                  <c:v>3.9961916951869227</c:v>
                </c:pt>
                <c:pt idx="15">
                  <c:v>3.9239124588274592</c:v>
                </c:pt>
                <c:pt idx="16">
                  <c:v>4.8491281313959291</c:v>
                </c:pt>
                <c:pt idx="17">
                  <c:v>3.6598190972935782</c:v>
                </c:pt>
                <c:pt idx="18">
                  <c:v>2.0291799214766684</c:v>
                </c:pt>
                <c:pt idx="19">
                  <c:v>0.95170963681438536</c:v>
                </c:pt>
                <c:pt idx="20">
                  <c:v>0.26248598087539676</c:v>
                </c:pt>
                <c:pt idx="21">
                  <c:v>0.21777400207922426</c:v>
                </c:pt>
                <c:pt idx="22">
                  <c:v>-0.2818883582691285</c:v>
                </c:pt>
                <c:pt idx="23">
                  <c:v>0.48633188147042006</c:v>
                </c:pt>
                <c:pt idx="24">
                  <c:v>0.50112217790925229</c:v>
                </c:pt>
                <c:pt idx="25">
                  <c:v>0.53795436954789011</c:v>
                </c:pt>
                <c:pt idx="26">
                  <c:v>1.5167845788735406</c:v>
                </c:pt>
                <c:pt idx="27">
                  <c:v>1.9540450586190872</c:v>
                </c:pt>
                <c:pt idx="28">
                  <c:v>2.4336347581521522</c:v>
                </c:pt>
                <c:pt idx="29">
                  <c:v>2.5962890487377024</c:v>
                </c:pt>
                <c:pt idx="30">
                  <c:v>2.7833123155343031</c:v>
                </c:pt>
                <c:pt idx="31">
                  <c:v>2.5574982004102083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88E-42CF-B0C2-2B6AE78DB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191680"/>
        <c:axId val="44617664"/>
      </c:lineChart>
      <c:catAx>
        <c:axId val="197191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00" baseline="0"/>
                </a:pPr>
                <a:r>
                  <a:rPr lang="cs-CZ" sz="600" baseline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9221538713910762"/>
              <c:y val="0.77998391927443889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500" baseline="0"/>
            </a:pPr>
            <a:endParaRPr lang="cs-CZ"/>
          </a:p>
        </c:txPr>
        <c:crossAx val="44617664"/>
        <c:crosses val="autoZero"/>
        <c:auto val="1"/>
        <c:lblAlgn val="ctr"/>
        <c:lblOffset val="100"/>
        <c:noMultiLvlLbl val="0"/>
      </c:catAx>
      <c:valAx>
        <c:axId val="44617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Procentní body</a:t>
                </a:r>
              </a:p>
            </c:rich>
          </c:tx>
          <c:layout>
            <c:manualLayout>
              <c:xMode val="edge"/>
              <c:yMode val="edge"/>
              <c:x val="1.5790775385046481E-2"/>
              <c:y val="0.3134385682381002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9719168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6787442585301836E-2"/>
          <c:y val="0.82667719059046463"/>
          <c:w val="0.95976603510498693"/>
          <c:h val="0.10819985520972079"/>
        </c:manualLayout>
      </c:layout>
      <c:overlay val="0"/>
      <c:spPr>
        <a:solidFill>
          <a:schemeClr val="bg1">
            <a:lumMod val="95000"/>
          </a:schemeClr>
        </a:solidFill>
      </c:spPr>
      <c:txPr>
        <a:bodyPr/>
        <a:lstStyle/>
        <a:p>
          <a:pPr>
            <a:defRPr sz="550" baseline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0.01609</cdr:x>
      <cdr:y>0.02262</cdr:y>
    </cdr:from>
    <cdr:to>
      <cdr:x>0.9889</cdr:x>
      <cdr:y>0.10114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56935" y="112908"/>
          <a:ext cx="9488400" cy="39191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cs-CZ" sz="1000" b="1" i="0" cap="none" baseline="0">
              <a:latin typeface="Arial" pitchFamily="34" charset="0"/>
              <a:ea typeface="+mn-ea"/>
              <a:cs typeface="Arial" pitchFamily="34" charset="0"/>
            </a:rPr>
            <a:t>Příspěvky* k meziročnímu reálnému růstu HDP – sezónně očištěno</a:t>
          </a:r>
        </a:p>
      </cdr:txBody>
    </cdr:sp>
  </cdr:relSizeAnchor>
  <cdr:relSizeAnchor xmlns:cdr="http://schemas.openxmlformats.org/drawingml/2006/chartDrawing">
    <cdr:from>
      <cdr:x>0.02734</cdr:x>
      <cdr:y>0.94497</cdr:y>
    </cdr:from>
    <cdr:to>
      <cdr:x>0.98872</cdr:x>
      <cdr:y>0.98982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6663" y="4743449"/>
          <a:ext cx="9376916" cy="225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18288" tIns="22860" rIns="0" bIns="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lnSpc>
              <a:spcPct val="114000"/>
            </a:lnSpc>
            <a:defRPr sz="1000"/>
          </a:pPr>
          <a:r>
            <a:rPr lang="cs-CZ" sz="550" b="1" i="0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      * Příspěvky po vyloučení dovozu pro konečné užití.                                              </a:t>
          </a:r>
          <a:r>
            <a:rPr lang="cs-CZ" sz="550" b="0" i="1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** </a:t>
          </a:r>
          <a:r>
            <a:rPr kumimoji="0" lang="cs-CZ" sz="550" b="1" i="0" u="none" strike="noStrike" kern="0" cap="none" spc="0" normalizeH="0" baseline="0" noProof="0">
              <a:ln>
                <a:noFill/>
              </a:ln>
              <a:solidFill>
                <a:prstClr val="black">
                  <a:lumMod val="75000"/>
                  <a:lumOff val="25000"/>
                </a:prstClr>
              </a:solidFill>
              <a:effectLst/>
              <a:uLnTx/>
              <a:uFillTx/>
              <a:latin typeface="Arial"/>
              <a:ea typeface="+mn-ea"/>
              <a:cs typeface="Arial"/>
            </a:rPr>
            <a:t>Neziskové instituce sloužící domácnostem.</a:t>
          </a:r>
          <a:endParaRPr lang="cs-CZ" sz="550" b="0" i="1" u="none" strike="noStrike" baseline="0">
            <a:solidFill>
              <a:schemeClr val="tx1">
                <a:lumMod val="75000"/>
                <a:lumOff val="25000"/>
              </a:schemeClr>
            </a:solidFill>
            <a:latin typeface="Arial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B4D06-80D8-464F-BAF0-ADE011F7D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32D36-12B2-4AB7-9588-1DCC5275C674}"/>
</file>

<file path=customXml/itemProps3.xml><?xml version="1.0" encoding="utf-8"?>
<ds:datastoreItem xmlns:ds="http://schemas.openxmlformats.org/officeDocument/2006/customXml" ds:itemID="{36D5B0B6-4A22-458B-B834-E43A9D278E6D}"/>
</file>

<file path=customXml/itemProps4.xml><?xml version="1.0" encoding="utf-8"?>
<ds:datastoreItem xmlns:ds="http://schemas.openxmlformats.org/officeDocument/2006/customXml" ds:itemID="{247517B2-B0F2-42BB-92AA-852E07EB1BE0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25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4919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Kermiet Vladimír</cp:lastModifiedBy>
  <cp:revision>3</cp:revision>
  <dcterms:created xsi:type="dcterms:W3CDTF">2026-03-02T07:16:00Z</dcterms:created>
  <dcterms:modified xsi:type="dcterms:W3CDTF">2026-03-02T07:22:00Z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-782555252</vt:i4>
  </property>
  <property fmtid="{D5CDD505-2E9C-101B-9397-08002B2CF9AE}" pid="3" name="GrammarlyDocumentId">
    <vt:lpwstr>63d46221-1dd5-4096-bc06-c6f50469c92b</vt:lpwstr>
  </property>
  <property fmtid="{D5CDD505-2E9C-101B-9397-08002B2CF9AE}" pid="4" name="ContentTypeId">
    <vt:lpwstr>0x0101001BE00E32D9964647925B05BE21A1B4C5</vt:lpwstr>
  </property>
</Properties>
</file>