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4F" w:rsidRPr="001F1109" w:rsidRDefault="00364E2A" w:rsidP="0018024F">
      <w:pPr>
        <w:pStyle w:val="datum0"/>
        <w:spacing w:line="276" w:lineRule="auto"/>
        <w:rPr>
          <w:lang w:val="cs-CZ"/>
        </w:rPr>
      </w:pPr>
      <w:bookmarkStart w:id="0" w:name="_GoBack"/>
      <w:bookmarkEnd w:id="0"/>
      <w:r w:rsidRPr="001F1109">
        <w:t>6 August 2024</w:t>
      </w:r>
    </w:p>
    <w:p w:rsidR="0018024F" w:rsidRPr="001F1109" w:rsidRDefault="0018024F" w:rsidP="0018024F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1F1109">
        <w:rPr>
          <w:color w:val="BD1B21"/>
          <w:sz w:val="32"/>
          <w:szCs w:val="32"/>
        </w:rPr>
        <w:t xml:space="preserve">Construction output in the first </w:t>
      </w:r>
      <w:r w:rsidR="00365F79" w:rsidRPr="001F1109">
        <w:rPr>
          <w:color w:val="BD1B21"/>
          <w:sz w:val="32"/>
          <w:szCs w:val="32"/>
        </w:rPr>
        <w:t>half-year of 2024 decreased by 5.4</w:t>
      </w:r>
      <w:r w:rsidRPr="001F1109">
        <w:rPr>
          <w:color w:val="BD1B21"/>
          <w:sz w:val="32"/>
          <w:szCs w:val="32"/>
        </w:rPr>
        <w:t xml:space="preserve">% </w:t>
      </w:r>
    </w:p>
    <w:p w:rsidR="0018024F" w:rsidRPr="001F1109" w:rsidRDefault="0018024F" w:rsidP="0018024F">
      <w:pPr>
        <w:pStyle w:val="Podtitulek"/>
      </w:pPr>
      <w:r w:rsidRPr="001F1109">
        <w:t xml:space="preserve">Supplementary information to the news release on construction – </w:t>
      </w:r>
      <w:r w:rsidR="00365F79" w:rsidRPr="001F1109">
        <w:t>June</w:t>
      </w:r>
      <w:r w:rsidRPr="001F1109">
        <w:t xml:space="preserve"> 2024</w:t>
      </w:r>
    </w:p>
    <w:p w:rsidR="00C8681A" w:rsidRPr="001F1109" w:rsidRDefault="0018024F" w:rsidP="0018024F">
      <w:pPr>
        <w:rPr>
          <w:bCs/>
          <w:lang w:val="en-GB"/>
        </w:rPr>
      </w:pPr>
      <w:r w:rsidRPr="001F1109">
        <w:rPr>
          <w:rFonts w:cs="Arial"/>
          <w:lang w:val="en-GB"/>
        </w:rPr>
        <w:t xml:space="preserve">Construction output </w:t>
      </w:r>
      <w:r w:rsidR="00C8681A" w:rsidRPr="001F1109">
        <w:rPr>
          <w:rFonts w:cs="Arial"/>
          <w:lang w:val="en-GB"/>
        </w:rPr>
        <w:t>in the first half-year of 2024 decreased by 5.4</w:t>
      </w:r>
      <w:r w:rsidRPr="001F1109">
        <w:rPr>
          <w:rFonts w:cs="Arial"/>
          <w:lang w:val="en-GB"/>
        </w:rPr>
        <w:t xml:space="preserve">%, year-on-year. </w:t>
      </w:r>
      <w:r w:rsidR="00416773" w:rsidRPr="001F1109">
        <w:rPr>
          <w:rFonts w:cs="Arial"/>
          <w:lang w:val="en-GB"/>
        </w:rPr>
        <w:t xml:space="preserve">Mainly </w:t>
      </w:r>
      <w:r w:rsidR="00416773" w:rsidRPr="001F1109">
        <w:rPr>
          <w:lang w:val="en-GB"/>
        </w:rPr>
        <w:t>building construction, which decreased by 7.1%, y-o-y (with a contribution of -4.9 percentage points (p. p.)), contributed to that. P</w:t>
      </w:r>
      <w:r w:rsidR="00416773" w:rsidRPr="001F1109">
        <w:rPr>
          <w:rFonts w:cs="Arial"/>
          <w:lang w:val="en-GB"/>
        </w:rPr>
        <w:t xml:space="preserve">roduction in </w:t>
      </w:r>
      <w:r w:rsidR="00416773" w:rsidRPr="001F1109">
        <w:rPr>
          <w:bCs/>
          <w:lang w:val="en-GB"/>
        </w:rPr>
        <w:t xml:space="preserve">civil engineering construction decreased by 1.7% (-0.5 p. p.). In the Q1, the resulting production of both segments was also influenced by the height of the comparison basis. </w:t>
      </w:r>
      <w:r w:rsidR="009B2BDF" w:rsidRPr="001F1109">
        <w:rPr>
          <w:bCs/>
          <w:lang w:val="en-GB"/>
        </w:rPr>
        <w:t xml:space="preserve">In </w:t>
      </w:r>
      <w:r w:rsidR="009B2BDF" w:rsidRPr="001F1109">
        <w:rPr>
          <w:lang w:val="en-GB"/>
        </w:rPr>
        <w:t xml:space="preserve">building construction, </w:t>
      </w:r>
      <w:r w:rsidR="0001673F">
        <w:rPr>
          <w:lang w:val="en-GB"/>
        </w:rPr>
        <w:t>it supported a decrease by 7.5%, whereas</w:t>
      </w:r>
      <w:r w:rsidR="009B2BDF" w:rsidRPr="001F1109">
        <w:rPr>
          <w:lang w:val="en-GB"/>
        </w:rPr>
        <w:t xml:space="preserve"> </w:t>
      </w:r>
      <w:r w:rsidR="009B2BDF" w:rsidRPr="001F1109">
        <w:rPr>
          <w:bCs/>
          <w:lang w:val="en-GB"/>
        </w:rPr>
        <w:t>civil engineering construction increased by 4.8%. In the Q2, the year-on-year decrease in both the segments was not different that much and the whole construction output decreased by 6.1%.</w:t>
      </w:r>
      <w:r w:rsidR="00E463DA" w:rsidRPr="001F1109">
        <w:rPr>
          <w:bCs/>
          <w:lang w:val="en-GB"/>
        </w:rPr>
        <w:t xml:space="preserve"> In a quarter-on-quarter comparison, a rather huge decrease by 3.6% was recorded.</w:t>
      </w:r>
    </w:p>
    <w:p w:rsidR="0018024F" w:rsidRPr="001F1109" w:rsidRDefault="0018024F" w:rsidP="0018024F">
      <w:pPr>
        <w:spacing w:before="120"/>
        <w:rPr>
          <w:lang w:val="en-GB"/>
        </w:rPr>
      </w:pPr>
      <w:r w:rsidRPr="001F1109">
        <w:rPr>
          <w:rFonts w:cs="Arial"/>
          <w:lang w:val="en-GB"/>
        </w:rPr>
        <w:t>Construction enterprises with 50+ employees c</w:t>
      </w:r>
      <w:r w:rsidR="00F74F81" w:rsidRPr="001F1109">
        <w:rPr>
          <w:rFonts w:cs="Arial"/>
          <w:lang w:val="en-GB"/>
        </w:rPr>
        <w:t>oncluded in the Czech Republic 3</w:t>
      </w:r>
      <w:r w:rsidRPr="001F1109">
        <w:rPr>
          <w:rFonts w:cs="Arial"/>
          <w:lang w:val="en-GB"/>
        </w:rPr>
        <w:t>8 9</w:t>
      </w:r>
      <w:r w:rsidR="00F74F81" w:rsidRPr="001F1109">
        <w:rPr>
          <w:rFonts w:cs="Arial"/>
          <w:lang w:val="en-GB"/>
        </w:rPr>
        <w:t>37</w:t>
      </w:r>
      <w:r w:rsidRPr="001F1109">
        <w:rPr>
          <w:rFonts w:cs="Arial"/>
          <w:lang w:val="en-GB"/>
        </w:rPr>
        <w:t xml:space="preserve"> construction orders in the </w:t>
      </w:r>
      <w:r w:rsidR="00F74F81" w:rsidRPr="001F1109">
        <w:rPr>
          <w:rFonts w:cs="Arial"/>
          <w:lang w:val="en-GB"/>
        </w:rPr>
        <w:t>first half-year of</w:t>
      </w:r>
      <w:r w:rsidRPr="001F1109">
        <w:rPr>
          <w:rFonts w:cs="Arial"/>
          <w:lang w:val="en-GB"/>
        </w:rPr>
        <w:t xml:space="preserve"> 2024 and, in the year-on-year compari</w:t>
      </w:r>
      <w:r w:rsidR="00F74F81" w:rsidRPr="001F1109">
        <w:rPr>
          <w:rFonts w:cs="Arial"/>
          <w:lang w:val="en-GB"/>
        </w:rPr>
        <w:t>son, the number increased by 6.0</w:t>
      </w:r>
      <w:r w:rsidRPr="001F1109">
        <w:rPr>
          <w:rFonts w:cs="Arial"/>
          <w:lang w:val="en-GB"/>
        </w:rPr>
        <w:t>%. The total value</w:t>
      </w:r>
      <w:r w:rsidR="00195280" w:rsidRPr="001F1109">
        <w:rPr>
          <w:rFonts w:cs="Arial"/>
          <w:lang w:val="en-GB"/>
        </w:rPr>
        <w:t xml:space="preserve"> of these orders increased by 29.3</w:t>
      </w:r>
      <w:r w:rsidRPr="001F1109">
        <w:rPr>
          <w:rFonts w:cs="Arial"/>
          <w:lang w:val="en-GB"/>
        </w:rPr>
        <w:t>%, year-on-year, and amounted to CZK </w:t>
      </w:r>
      <w:r w:rsidR="00195280" w:rsidRPr="001F1109">
        <w:rPr>
          <w:rFonts w:cs="Arial"/>
          <w:lang w:val="en-GB"/>
        </w:rPr>
        <w:t>190.4</w:t>
      </w:r>
      <w:r w:rsidRPr="001F1109">
        <w:rPr>
          <w:rFonts w:cs="Arial"/>
          <w:lang w:val="en-GB"/>
        </w:rPr>
        <w:t xml:space="preserve"> billion at current prices. New construction orders in the </w:t>
      </w:r>
      <w:r w:rsidRPr="001F1109">
        <w:rPr>
          <w:lang w:val="en-GB"/>
        </w:rPr>
        <w:t>building construc</w:t>
      </w:r>
      <w:r w:rsidR="0026127C" w:rsidRPr="001F1109">
        <w:rPr>
          <w:lang w:val="en-GB"/>
        </w:rPr>
        <w:t>tion reached the value of CZK 97.0 billion and increased by 38.9</w:t>
      </w:r>
      <w:r w:rsidRPr="001F1109">
        <w:rPr>
          <w:lang w:val="en-GB"/>
        </w:rPr>
        <w:t xml:space="preserve">%, year-on-year. The </w:t>
      </w:r>
      <w:r w:rsidRPr="001F1109">
        <w:rPr>
          <w:bCs/>
          <w:lang w:val="en-GB"/>
        </w:rPr>
        <w:t>civil engineering construction increased by 2</w:t>
      </w:r>
      <w:r w:rsidR="00BC37D5" w:rsidRPr="001F1109">
        <w:rPr>
          <w:bCs/>
          <w:lang w:val="en-GB"/>
        </w:rPr>
        <w:t>0.7</w:t>
      </w:r>
      <w:r w:rsidRPr="001F1109">
        <w:rPr>
          <w:bCs/>
          <w:lang w:val="en-GB"/>
        </w:rPr>
        <w:t>% (CZK </w:t>
      </w:r>
      <w:r w:rsidR="00BC37D5" w:rsidRPr="001F1109">
        <w:rPr>
          <w:bCs/>
          <w:lang w:val="en-GB"/>
        </w:rPr>
        <w:t>93.4</w:t>
      </w:r>
      <w:r w:rsidRPr="001F1109">
        <w:rPr>
          <w:bCs/>
          <w:lang w:val="en-GB"/>
        </w:rPr>
        <w:t> billion). The average value of a newly concluded construction order amounted to CZK 4.</w:t>
      </w:r>
      <w:r w:rsidR="005B341A" w:rsidRPr="001F1109">
        <w:rPr>
          <w:bCs/>
          <w:lang w:val="en-GB"/>
        </w:rPr>
        <w:t>9</w:t>
      </w:r>
      <w:r w:rsidRPr="001F1109">
        <w:rPr>
          <w:bCs/>
          <w:lang w:val="en-GB"/>
        </w:rPr>
        <w:t xml:space="preserve"> million in the </w:t>
      </w:r>
      <w:r w:rsidR="005B341A" w:rsidRPr="001F1109">
        <w:rPr>
          <w:bCs/>
          <w:lang w:val="en-GB"/>
        </w:rPr>
        <w:t>first half-year of</w:t>
      </w:r>
      <w:r w:rsidRPr="001F1109">
        <w:rPr>
          <w:bCs/>
          <w:lang w:val="en-GB"/>
        </w:rPr>
        <w:t> 2024 and it was by 2</w:t>
      </w:r>
      <w:r w:rsidR="005B341A" w:rsidRPr="001F1109">
        <w:rPr>
          <w:bCs/>
          <w:lang w:val="en-GB"/>
        </w:rPr>
        <w:t>2.0</w:t>
      </w:r>
      <w:r w:rsidRPr="001F1109">
        <w:rPr>
          <w:bCs/>
          <w:lang w:val="en-GB"/>
        </w:rPr>
        <w:t xml:space="preserve">% higher, year-on-year.   </w:t>
      </w:r>
      <w:r w:rsidRPr="001F1109">
        <w:rPr>
          <w:rFonts w:cs="Arial"/>
          <w:lang w:val="en-GB"/>
        </w:rPr>
        <w:t xml:space="preserve">  </w:t>
      </w:r>
    </w:p>
    <w:p w:rsidR="00E558FC" w:rsidRPr="001F1109" w:rsidRDefault="0018024F" w:rsidP="0018024F">
      <w:pPr>
        <w:spacing w:before="120"/>
        <w:rPr>
          <w:rFonts w:cs="Arial"/>
          <w:szCs w:val="20"/>
          <w:lang w:val="en-GB"/>
        </w:rPr>
      </w:pPr>
      <w:r w:rsidRPr="001F1109">
        <w:rPr>
          <w:bCs/>
          <w:lang w:val="en-GB"/>
        </w:rPr>
        <w:t xml:space="preserve">The approximate value of constructions permitted in the </w:t>
      </w:r>
      <w:r w:rsidR="00DE4DB8" w:rsidRPr="001F1109">
        <w:rPr>
          <w:bCs/>
          <w:lang w:val="en-GB"/>
        </w:rPr>
        <w:t>first half-year of 2024 reached CZK 279.7 billion and decreased by 2.5</w:t>
      </w:r>
      <w:r w:rsidRPr="001F1109">
        <w:rPr>
          <w:bCs/>
          <w:lang w:val="en-GB"/>
        </w:rPr>
        <w:t xml:space="preserve">%, year-on-year (at current prices). </w:t>
      </w:r>
      <w:r w:rsidR="001C567E" w:rsidRPr="001F1109">
        <w:rPr>
          <w:bCs/>
          <w:lang w:val="en-GB"/>
        </w:rPr>
        <w:t>Results in the Q2 contributed to the decrease; in the Q1, a year-on-year growth was reported.</w:t>
      </w:r>
      <w:r w:rsidR="001F1109" w:rsidRPr="001F1109">
        <w:rPr>
          <w:bCs/>
          <w:lang w:val="en-GB"/>
        </w:rPr>
        <w:t xml:space="preserve"> </w:t>
      </w:r>
      <w:r w:rsidRPr="001F1109">
        <w:rPr>
          <w:bCs/>
          <w:lang w:val="en-GB"/>
        </w:rPr>
        <w:t xml:space="preserve">In the </w:t>
      </w:r>
      <w:r w:rsidR="001C567E" w:rsidRPr="001F1109">
        <w:rPr>
          <w:bCs/>
          <w:lang w:val="en-GB"/>
        </w:rPr>
        <w:t>first half-year of</w:t>
      </w:r>
      <w:r w:rsidRPr="001F1109">
        <w:rPr>
          <w:bCs/>
          <w:lang w:val="en-GB"/>
        </w:rPr>
        <w:t xml:space="preserve"> 2024, </w:t>
      </w:r>
      <w:r w:rsidR="001C567E" w:rsidRPr="001F1109">
        <w:rPr>
          <w:bCs/>
          <w:lang w:val="en-GB"/>
        </w:rPr>
        <w:t>1</w:t>
      </w:r>
      <w:r w:rsidRPr="001F1109">
        <w:rPr>
          <w:bCs/>
          <w:lang w:val="en-GB"/>
        </w:rPr>
        <w:t>9 constructions for CZK over 1 billion</w:t>
      </w:r>
      <w:r w:rsidR="001C567E" w:rsidRPr="001F1109">
        <w:rPr>
          <w:bCs/>
          <w:lang w:val="en-GB"/>
        </w:rPr>
        <w:t xml:space="preserve"> each were permitted for CZK 55.7</w:t>
      </w:r>
      <w:r w:rsidRPr="001F1109">
        <w:rPr>
          <w:bCs/>
          <w:lang w:val="en-GB"/>
        </w:rPr>
        <w:t> billion in total and</w:t>
      </w:r>
      <w:r w:rsidR="001C567E" w:rsidRPr="001F1109">
        <w:rPr>
          <w:bCs/>
          <w:lang w:val="en-GB"/>
        </w:rPr>
        <w:t xml:space="preserve"> almost</w:t>
      </w:r>
      <w:r w:rsidRPr="001F1109">
        <w:rPr>
          <w:bCs/>
          <w:lang w:val="en-GB"/>
        </w:rPr>
        <w:t xml:space="preserve"> all of the building permits were for new constructions. An increase was recorded as for the value of new constructions (+</w:t>
      </w:r>
      <w:r w:rsidR="001F1109" w:rsidRPr="001F1109">
        <w:rPr>
          <w:bCs/>
          <w:lang w:val="en-GB"/>
        </w:rPr>
        <w:t>5</w:t>
      </w:r>
      <w:r w:rsidRPr="001F1109">
        <w:rPr>
          <w:bCs/>
          <w:lang w:val="en-GB"/>
        </w:rPr>
        <w:t>.9%) in almost all construction categories (types); a year-on-year decrease</w:t>
      </w:r>
      <w:r w:rsidR="001F1109" w:rsidRPr="001F1109">
        <w:rPr>
          <w:bCs/>
          <w:lang w:val="en-GB"/>
        </w:rPr>
        <w:t xml:space="preserve"> by a third</w:t>
      </w:r>
      <w:r w:rsidRPr="001F1109">
        <w:rPr>
          <w:bCs/>
          <w:lang w:val="en-GB"/>
        </w:rPr>
        <w:t xml:space="preserve"> occurred in transport constructions. M</w:t>
      </w:r>
      <w:r w:rsidRPr="001F1109">
        <w:rPr>
          <w:lang w:val="en-GB"/>
        </w:rPr>
        <w:t xml:space="preserve">odifications to completed buildings decreased by a </w:t>
      </w:r>
      <w:r w:rsidR="00E558FC" w:rsidRPr="001F1109">
        <w:rPr>
          <w:lang w:val="en-GB"/>
        </w:rPr>
        <w:t>fifth</w:t>
      </w:r>
      <w:r w:rsidRPr="001F1109">
        <w:rPr>
          <w:lang w:val="en-GB"/>
        </w:rPr>
        <w:t>, year-on-year (-</w:t>
      </w:r>
      <w:r w:rsidR="00E558FC" w:rsidRPr="001F1109">
        <w:rPr>
          <w:lang w:val="en-GB"/>
        </w:rPr>
        <w:t>18.5</w:t>
      </w:r>
      <w:r w:rsidRPr="001F1109">
        <w:rPr>
          <w:lang w:val="en-GB"/>
        </w:rPr>
        <w:t xml:space="preserve">%), namely in almost all </w:t>
      </w:r>
      <w:r w:rsidR="00E558FC" w:rsidRPr="001F1109">
        <w:rPr>
          <w:lang w:val="en-GB"/>
        </w:rPr>
        <w:t xml:space="preserve">main </w:t>
      </w:r>
      <w:r w:rsidRPr="001F1109">
        <w:rPr>
          <w:lang w:val="en-GB"/>
        </w:rPr>
        <w:t xml:space="preserve">construction categories (types). </w:t>
      </w:r>
      <w:r w:rsidRPr="001F1109">
        <w:rPr>
          <w:bCs/>
          <w:lang w:val="en-GB"/>
        </w:rPr>
        <w:t xml:space="preserve">Higher investments have been planned in the </w:t>
      </w:r>
      <w:r w:rsidRPr="001F1109">
        <w:rPr>
          <w:rFonts w:cs="Arial"/>
          <w:i/>
          <w:szCs w:val="20"/>
          <w:lang w:val="en-GB"/>
        </w:rPr>
        <w:t>Středočeský</w:t>
      </w:r>
      <w:r w:rsidRPr="001F1109">
        <w:rPr>
          <w:rFonts w:cs="Arial"/>
          <w:szCs w:val="20"/>
          <w:lang w:val="en-GB"/>
        </w:rPr>
        <w:t xml:space="preserve"> Region, </w:t>
      </w:r>
      <w:r w:rsidR="00E558FC" w:rsidRPr="001F1109">
        <w:rPr>
          <w:rFonts w:cs="Arial"/>
          <w:szCs w:val="20"/>
          <w:lang w:val="en-GB"/>
        </w:rPr>
        <w:t xml:space="preserve">in the </w:t>
      </w:r>
      <w:r w:rsidR="00E558FC" w:rsidRPr="001F1109">
        <w:rPr>
          <w:rFonts w:cs="Arial"/>
          <w:i/>
          <w:szCs w:val="20"/>
          <w:lang w:val="en-GB"/>
        </w:rPr>
        <w:t>Moravskoslezský</w:t>
      </w:r>
      <w:r w:rsidR="00E558FC" w:rsidRPr="001F1109">
        <w:rPr>
          <w:rFonts w:cs="Arial"/>
          <w:szCs w:val="20"/>
          <w:lang w:val="en-GB"/>
        </w:rPr>
        <w:t xml:space="preserve"> Region, and in the </w:t>
      </w:r>
      <w:r w:rsidR="00E558FC" w:rsidRPr="001F1109">
        <w:rPr>
          <w:rFonts w:cs="Arial"/>
          <w:i/>
          <w:szCs w:val="20"/>
          <w:lang w:val="en-GB"/>
        </w:rPr>
        <w:t xml:space="preserve">Jihomoravský </w:t>
      </w:r>
      <w:r w:rsidR="00E558FC" w:rsidRPr="001F1109">
        <w:rPr>
          <w:rFonts w:cs="Arial"/>
          <w:szCs w:val="20"/>
          <w:lang w:val="en-GB"/>
        </w:rPr>
        <w:t xml:space="preserve">Region. </w:t>
      </w:r>
    </w:p>
    <w:p w:rsidR="0018024F" w:rsidRPr="001F1109" w:rsidRDefault="00C8681A" w:rsidP="0018024F">
      <w:pPr>
        <w:spacing w:before="120"/>
        <w:rPr>
          <w:lang w:val="en-GB"/>
        </w:rPr>
      </w:pPr>
      <w:r w:rsidRPr="001F1109">
        <w:rPr>
          <w:lang w:val="en-GB"/>
        </w:rPr>
        <w:t>In the first half-year of 2024</w:t>
      </w:r>
      <w:r w:rsidR="0018024F" w:rsidRPr="001F1109">
        <w:rPr>
          <w:lang w:val="en-GB"/>
        </w:rPr>
        <w:t xml:space="preserve">, construction of </w:t>
      </w:r>
      <w:r w:rsidR="0065409F" w:rsidRPr="001F1109">
        <w:rPr>
          <w:lang w:val="en-GB"/>
        </w:rPr>
        <w:t>17 230 </w:t>
      </w:r>
      <w:r w:rsidR="0018024F" w:rsidRPr="001F1109">
        <w:rPr>
          <w:lang w:val="en-GB"/>
        </w:rPr>
        <w:t xml:space="preserve">dwellings started and the number decreased by </w:t>
      </w:r>
      <w:r w:rsidR="0065409F" w:rsidRPr="001F1109">
        <w:rPr>
          <w:lang w:val="en-GB"/>
        </w:rPr>
        <w:t>4.8</w:t>
      </w:r>
      <w:r w:rsidR="0018024F" w:rsidRPr="001F1109">
        <w:rPr>
          <w:lang w:val="en-GB"/>
        </w:rPr>
        <w:t>%, year-on-year.</w:t>
      </w:r>
      <w:r w:rsidR="00050504" w:rsidRPr="001F1109">
        <w:rPr>
          <w:lang w:val="en-GB"/>
        </w:rPr>
        <w:t xml:space="preserve"> I</w:t>
      </w:r>
      <w:r w:rsidR="0018024F" w:rsidRPr="001F1109">
        <w:rPr>
          <w:lang w:val="en-GB"/>
        </w:rPr>
        <w:t xml:space="preserve">n family houses, the number of dwellings started from January to the end of </w:t>
      </w:r>
      <w:r w:rsidR="00E5359D" w:rsidRPr="001F1109">
        <w:rPr>
          <w:lang w:val="en-GB"/>
        </w:rPr>
        <w:t>June</w:t>
      </w:r>
      <w:r w:rsidR="0018024F" w:rsidRPr="001F1109">
        <w:rPr>
          <w:lang w:val="en-GB"/>
        </w:rPr>
        <w:t xml:space="preserve"> decreased by 1</w:t>
      </w:r>
      <w:r w:rsidR="00E5359D" w:rsidRPr="001F1109">
        <w:rPr>
          <w:lang w:val="en-GB"/>
        </w:rPr>
        <w:t>3.9</w:t>
      </w:r>
      <w:r w:rsidR="0018024F" w:rsidRPr="001F1109">
        <w:rPr>
          <w:lang w:val="en-GB"/>
        </w:rPr>
        <w:t xml:space="preserve">%, y-o-y, and the development was similar </w:t>
      </w:r>
      <w:r w:rsidR="005E6BF5" w:rsidRPr="001F1109">
        <w:rPr>
          <w:lang w:val="en-GB"/>
        </w:rPr>
        <w:t xml:space="preserve">during the first five months; however, in June, a year-on-year growth was recorded. </w:t>
      </w:r>
      <w:r w:rsidR="0018024F" w:rsidRPr="001F1109">
        <w:rPr>
          <w:lang w:val="en-GB"/>
        </w:rPr>
        <w:t xml:space="preserve">The numbers of dwellings started in multi-dwelling buildings </w:t>
      </w:r>
      <w:r w:rsidR="005E6BF5" w:rsidRPr="001F1109">
        <w:rPr>
          <w:lang w:val="en-GB"/>
        </w:rPr>
        <w:t>increased by a quarter,</w:t>
      </w:r>
      <w:r w:rsidR="0018024F" w:rsidRPr="001F1109">
        <w:rPr>
          <w:lang w:val="en-GB"/>
        </w:rPr>
        <w:t xml:space="preserve"> year-on-year (+</w:t>
      </w:r>
      <w:r w:rsidR="005E6BF5" w:rsidRPr="001F1109">
        <w:rPr>
          <w:lang w:val="en-GB"/>
        </w:rPr>
        <w:t>24.1</w:t>
      </w:r>
      <w:r w:rsidR="0018024F" w:rsidRPr="001F1109">
        <w:rPr>
          <w:lang w:val="en-GB"/>
        </w:rPr>
        <w:t>%)</w:t>
      </w:r>
      <w:r w:rsidR="00050504" w:rsidRPr="001F1109">
        <w:rPr>
          <w:lang w:val="en-GB"/>
        </w:rPr>
        <w:t xml:space="preserve"> and the growth took place in both quarters. </w:t>
      </w:r>
      <w:r w:rsidR="0018024F" w:rsidRPr="001F1109">
        <w:rPr>
          <w:lang w:val="en-GB"/>
        </w:rPr>
        <w:t>A y-o-y decrease</w:t>
      </w:r>
      <w:r w:rsidR="00050504" w:rsidRPr="001F1109">
        <w:rPr>
          <w:lang w:val="en-GB"/>
        </w:rPr>
        <w:t xml:space="preserve"> was recorded in the first half-year </w:t>
      </w:r>
      <w:r w:rsidR="0018024F" w:rsidRPr="001F1109">
        <w:rPr>
          <w:lang w:val="en-GB"/>
        </w:rPr>
        <w:t>as for conversions of both family hous</w:t>
      </w:r>
      <w:r w:rsidR="00050504" w:rsidRPr="001F1109">
        <w:rPr>
          <w:lang w:val="en-GB"/>
        </w:rPr>
        <w:t>es and multi-dwelling buildings as well as</w:t>
      </w:r>
      <w:r w:rsidR="0018024F" w:rsidRPr="001F1109">
        <w:rPr>
          <w:lang w:val="en-GB"/>
        </w:rPr>
        <w:t xml:space="preserve"> dwellings started in non-residential buildings</w:t>
      </w:r>
      <w:r w:rsidR="00050504" w:rsidRPr="001F1109">
        <w:rPr>
          <w:lang w:val="en-GB"/>
        </w:rPr>
        <w:t xml:space="preserve">. </w:t>
      </w:r>
      <w:r w:rsidR="0018024F" w:rsidRPr="001F1109">
        <w:rPr>
          <w:lang w:val="en-GB"/>
        </w:rPr>
        <w:t xml:space="preserve">The highest number of dwellings started was in </w:t>
      </w:r>
      <w:r w:rsidR="0018024F" w:rsidRPr="001F1109">
        <w:rPr>
          <w:rFonts w:cs="Arial"/>
          <w:szCs w:val="20"/>
          <w:lang w:val="en-GB"/>
        </w:rPr>
        <w:t>Prague (</w:t>
      </w:r>
      <w:r w:rsidR="0018024F" w:rsidRPr="001F1109">
        <w:rPr>
          <w:lang w:val="en-GB"/>
        </w:rPr>
        <w:t>multi-dwelling buildings), in the</w:t>
      </w:r>
      <w:r w:rsidR="00050504" w:rsidRPr="001F1109">
        <w:rPr>
          <w:lang w:val="en-GB"/>
        </w:rPr>
        <w:t xml:space="preserve"> </w:t>
      </w:r>
      <w:r w:rsidR="00050504" w:rsidRPr="001F1109">
        <w:rPr>
          <w:rFonts w:cs="Arial"/>
          <w:i/>
          <w:szCs w:val="20"/>
          <w:lang w:val="en-GB"/>
        </w:rPr>
        <w:lastRenderedPageBreak/>
        <w:t>Jihomoravský</w:t>
      </w:r>
      <w:r w:rsidR="00050504" w:rsidRPr="001F1109">
        <w:rPr>
          <w:rFonts w:cs="Arial"/>
          <w:szCs w:val="20"/>
          <w:lang w:val="en-GB"/>
        </w:rPr>
        <w:t xml:space="preserve"> Region (predominantly family houses and also multi-dwelling buildings), and in the </w:t>
      </w:r>
      <w:r w:rsidR="0018024F" w:rsidRPr="001F1109">
        <w:rPr>
          <w:rFonts w:cs="Arial"/>
          <w:i/>
          <w:szCs w:val="20"/>
          <w:lang w:val="en-GB"/>
        </w:rPr>
        <w:t>Středočeský</w:t>
      </w:r>
      <w:r w:rsidR="0018024F" w:rsidRPr="001F1109">
        <w:rPr>
          <w:rFonts w:cs="Arial"/>
          <w:szCs w:val="20"/>
          <w:lang w:val="en-GB"/>
        </w:rPr>
        <w:t xml:space="preserve"> Region, where mainly family houses were started.</w:t>
      </w:r>
    </w:p>
    <w:p w:rsidR="0018024F" w:rsidRPr="001F1109" w:rsidRDefault="0018024F" w:rsidP="0018024F">
      <w:pPr>
        <w:spacing w:before="120"/>
        <w:rPr>
          <w:lang w:val="en-GB"/>
        </w:rPr>
      </w:pPr>
      <w:r w:rsidRPr="001F1109">
        <w:rPr>
          <w:lang w:val="en-GB"/>
        </w:rPr>
        <w:t xml:space="preserve">In the Q1 2024, construction of </w:t>
      </w:r>
      <w:r w:rsidR="004A3F10" w:rsidRPr="001F1109">
        <w:rPr>
          <w:lang w:val="en-GB"/>
        </w:rPr>
        <w:t>17 554 </w:t>
      </w:r>
      <w:r w:rsidRPr="001F1109">
        <w:rPr>
          <w:lang w:val="en-GB"/>
        </w:rPr>
        <w:t xml:space="preserve">dwellings was completed and the number decreased by </w:t>
      </w:r>
      <w:r w:rsidR="004A3F10" w:rsidRPr="001F1109">
        <w:rPr>
          <w:lang w:val="en-GB"/>
        </w:rPr>
        <w:t>1.9</w:t>
      </w:r>
      <w:r w:rsidRPr="001F1109">
        <w:rPr>
          <w:lang w:val="en-GB"/>
        </w:rPr>
        <w:t>%, year-on-year. A year-on-year decrease in the number of completed dwellings mainly occurred in th</w:t>
      </w:r>
      <w:r w:rsidR="00E7657D" w:rsidRPr="001F1109">
        <w:rPr>
          <w:lang w:val="en-GB"/>
        </w:rPr>
        <w:t>e category of family houses (-5</w:t>
      </w:r>
      <w:r w:rsidRPr="001F1109">
        <w:rPr>
          <w:lang w:val="en-GB"/>
        </w:rPr>
        <w:t xml:space="preserve">.7%); in multi-dwelling buildings, there was an increase by </w:t>
      </w:r>
      <w:r w:rsidR="00F95A96" w:rsidRPr="001F1109">
        <w:rPr>
          <w:lang w:val="en-GB"/>
        </w:rPr>
        <w:t>4.2%, namely in the Q1.</w:t>
      </w:r>
      <w:r w:rsidR="00454B28" w:rsidRPr="001F1109">
        <w:rPr>
          <w:lang w:val="en-GB"/>
        </w:rPr>
        <w:t xml:space="preserve"> I</w:t>
      </w:r>
      <w:r w:rsidRPr="001F1109">
        <w:rPr>
          <w:lang w:val="en-GB"/>
        </w:rPr>
        <w:t xml:space="preserve">n non-residential buildings, the number of completed dwellings </w:t>
      </w:r>
      <w:r w:rsidR="00454B28" w:rsidRPr="001F1109">
        <w:rPr>
          <w:lang w:val="en-GB"/>
        </w:rPr>
        <w:t>de</w:t>
      </w:r>
      <w:r w:rsidRPr="001F1109">
        <w:rPr>
          <w:lang w:val="en-GB"/>
        </w:rPr>
        <w:t>creased, y-o-y</w:t>
      </w:r>
      <w:r w:rsidR="00454B28" w:rsidRPr="001F1109">
        <w:rPr>
          <w:lang w:val="en-GB"/>
        </w:rPr>
        <w:t>, for the time being</w:t>
      </w:r>
      <w:r w:rsidRPr="001F1109">
        <w:rPr>
          <w:lang w:val="en-GB"/>
        </w:rPr>
        <w:t xml:space="preserve"> (</w:t>
      </w:r>
      <w:r w:rsidR="00C223F9" w:rsidRPr="001F1109">
        <w:rPr>
          <w:lang w:val="en-GB"/>
        </w:rPr>
        <w:t xml:space="preserve">-1.0%) due to the development in the Q2. </w:t>
      </w:r>
      <w:r w:rsidRPr="001F1109">
        <w:rPr>
          <w:lang w:val="en-GB"/>
        </w:rPr>
        <w:t>The highest number of completions was</w:t>
      </w:r>
      <w:r w:rsidRPr="001F1109">
        <w:rPr>
          <w:rFonts w:cs="Arial"/>
          <w:szCs w:val="20"/>
          <w:lang w:val="en-GB"/>
        </w:rPr>
        <w:t xml:space="preserve"> in Prague,</w:t>
      </w:r>
      <w:r w:rsidRPr="001F1109">
        <w:rPr>
          <w:lang w:val="en-GB"/>
        </w:rPr>
        <w:t xml:space="preserve"> in the </w:t>
      </w:r>
      <w:r w:rsidRPr="001F1109">
        <w:rPr>
          <w:rFonts w:cs="Arial"/>
          <w:i/>
          <w:szCs w:val="20"/>
          <w:lang w:val="en-GB"/>
        </w:rPr>
        <w:t>Středočeský</w:t>
      </w:r>
      <w:r w:rsidRPr="001F1109">
        <w:rPr>
          <w:rFonts w:cs="Arial"/>
          <w:szCs w:val="20"/>
          <w:lang w:val="en-GB"/>
        </w:rPr>
        <w:t xml:space="preserve"> Region, and in the </w:t>
      </w:r>
      <w:r w:rsidRPr="001F1109">
        <w:rPr>
          <w:rFonts w:cs="Arial"/>
          <w:i/>
          <w:szCs w:val="20"/>
          <w:lang w:val="en-GB"/>
        </w:rPr>
        <w:t>Jihomoravský</w:t>
      </w:r>
      <w:r w:rsidRPr="001F1109">
        <w:rPr>
          <w:rFonts w:cs="Arial"/>
          <w:szCs w:val="20"/>
          <w:lang w:val="en-GB"/>
        </w:rPr>
        <w:t xml:space="preserve"> Region.  </w:t>
      </w:r>
    </w:p>
    <w:p w:rsidR="0018024F" w:rsidRPr="001F1109" w:rsidRDefault="0018024F" w:rsidP="0018024F">
      <w:pPr>
        <w:spacing w:before="120"/>
        <w:rPr>
          <w:rFonts w:cs="Arial"/>
          <w:szCs w:val="20"/>
        </w:rPr>
      </w:pPr>
    </w:p>
    <w:p w:rsidR="0018024F" w:rsidRPr="001F1109" w:rsidRDefault="0018024F" w:rsidP="0018024F">
      <w:pPr>
        <w:pStyle w:val="Poznmky0"/>
        <w:pBdr>
          <w:top w:val="single" w:sz="4" w:space="1" w:color="auto"/>
        </w:pBdr>
        <w:spacing w:before="120" w:line="242" w:lineRule="auto"/>
        <w:rPr>
          <w:i w:val="0"/>
          <w:lang w:val="cs-CZ"/>
        </w:rPr>
      </w:pPr>
      <w:r w:rsidRPr="001F1109">
        <w:rPr>
          <w:lang w:val="cs-CZ"/>
        </w:rPr>
        <w:t xml:space="preserve">Notes: </w:t>
      </w:r>
      <w:r w:rsidRPr="001F1109">
        <w:rPr>
          <w:iCs/>
        </w:rPr>
        <w:t>The year-on-year development of construction output (production) has been adjusted for working days. Quarter-on-quarter rates have been seasonally adjusted, too</w:t>
      </w:r>
      <w:r w:rsidRPr="001F1109">
        <w:rPr>
          <w:iCs/>
          <w:lang w:val="cs-CZ"/>
        </w:rPr>
        <w:t xml:space="preserve">. </w:t>
      </w:r>
    </w:p>
    <w:p w:rsidR="0018024F" w:rsidRPr="001F1109" w:rsidRDefault="0018024F" w:rsidP="0018024F">
      <w:pPr>
        <w:pStyle w:val="Poznmky0"/>
        <w:pBdr>
          <w:top w:val="none" w:sz="0" w:space="0" w:color="auto"/>
        </w:pBdr>
        <w:spacing w:before="0" w:line="244" w:lineRule="auto"/>
        <w:rPr>
          <w:iCs/>
        </w:rPr>
      </w:pPr>
      <w:r w:rsidRPr="001F1109">
        <w:rPr>
          <w:iCs/>
        </w:rPr>
        <w:t xml:space="preserve">Methodology: </w:t>
      </w:r>
      <w:hyperlink r:id="rId10" w:history="1">
        <w:r w:rsidR="00960CFB" w:rsidRPr="001F1109">
          <w:rPr>
            <w:rStyle w:val="Hypertextovodkaz"/>
          </w:rPr>
          <w:t>https://csu.gov.cz/sta_m</w:t>
        </w:r>
      </w:hyperlink>
      <w:r w:rsidRPr="001F1109">
        <w:rPr>
          <w:iCs/>
        </w:rPr>
        <w:t xml:space="preserve"> </w:t>
      </w:r>
    </w:p>
    <w:p w:rsidR="0018024F" w:rsidRPr="001F1109" w:rsidRDefault="0018024F" w:rsidP="0018024F">
      <w:pPr>
        <w:pStyle w:val="Poznmky"/>
        <w:pBdr>
          <w:top w:val="none" w:sz="0" w:space="0" w:color="auto"/>
        </w:pBdr>
        <w:spacing w:before="0" w:line="244" w:lineRule="auto"/>
        <w:ind w:left="2694" w:hanging="2694"/>
        <w:jc w:val="both"/>
        <w:rPr>
          <w:rFonts w:ascii="ArialMT" w:hAnsi="ArialMT"/>
          <w:i/>
        </w:rPr>
      </w:pPr>
      <w:r w:rsidRPr="001F1109">
        <w:rPr>
          <w:i/>
          <w:color w:val="auto"/>
          <w:lang w:val="en-GB"/>
        </w:rPr>
        <w:t>Contact person</w:t>
      </w:r>
      <w:r w:rsidRPr="001F1109">
        <w:rPr>
          <w:i/>
        </w:rPr>
        <w:t>:</w:t>
      </w:r>
      <w:r w:rsidRPr="001F1109">
        <w:rPr>
          <w:i/>
        </w:rPr>
        <w:tab/>
        <w:t xml:space="preserve">Petra Cuřínová, </w:t>
      </w:r>
      <w:r w:rsidRPr="001F1109">
        <w:rPr>
          <w:i/>
          <w:color w:val="auto"/>
          <w:lang w:val="en-GB"/>
        </w:rPr>
        <w:t xml:space="preserve">Head of the Construction Statistics Unit, phone number: (+420) </w:t>
      </w:r>
      <w:r w:rsidRPr="001F1109">
        <w:rPr>
          <w:i/>
        </w:rPr>
        <w:t xml:space="preserve">737 280 494, e-mail: </w:t>
      </w:r>
      <w:hyperlink r:id="rId11" w:history="1">
        <w:r w:rsidR="00543CBC" w:rsidRPr="001F1109">
          <w:rPr>
            <w:rStyle w:val="Hypertextovodkaz"/>
            <w:rFonts w:cs="Arial"/>
            <w:i/>
          </w:rPr>
          <w:t>petra.curinova@csu.gov.cz</w:t>
        </w:r>
      </w:hyperlink>
      <w:r w:rsidRPr="001F1109">
        <w:rPr>
          <w:rFonts w:ascii="ArialMT" w:hAnsi="ArialMT"/>
          <w:i/>
        </w:rPr>
        <w:t xml:space="preserve"> </w:t>
      </w:r>
    </w:p>
    <w:p w:rsidR="00960CFB" w:rsidRPr="001F1109" w:rsidRDefault="0018024F" w:rsidP="0018024F">
      <w:pPr>
        <w:pStyle w:val="Poznmky"/>
        <w:pBdr>
          <w:top w:val="none" w:sz="0" w:space="0" w:color="auto"/>
        </w:pBdr>
        <w:spacing w:before="0" w:line="244" w:lineRule="auto"/>
        <w:ind w:left="2694" w:hanging="2694"/>
        <w:jc w:val="both"/>
        <w:rPr>
          <w:rStyle w:val="Hypertextovodkaz"/>
          <w:i/>
          <w:lang w:val="en-GB"/>
        </w:rPr>
      </w:pPr>
      <w:r w:rsidRPr="001F1109">
        <w:rPr>
          <w:i/>
          <w:color w:val="auto"/>
          <w:lang w:val="en-GB"/>
        </w:rPr>
        <w:t>Related outputs</w:t>
      </w:r>
      <w:r w:rsidRPr="001F1109">
        <w:rPr>
          <w:i/>
          <w:color w:val="auto"/>
        </w:rPr>
        <w:t>:</w:t>
      </w:r>
      <w:r w:rsidRPr="001F1109">
        <w:rPr>
          <w:i/>
          <w:color w:val="auto"/>
        </w:rPr>
        <w:tab/>
      </w:r>
      <w:hyperlink r:id="rId12" w:history="1">
        <w:r w:rsidR="00960CFB" w:rsidRPr="001F1109">
          <w:rPr>
            <w:rStyle w:val="Hypertextovodkaz"/>
            <w:i/>
            <w:lang w:val="en-GB"/>
          </w:rPr>
          <w:t>https://csu.gov.cz/produkty/sta_ts</w:t>
        </w:r>
      </w:hyperlink>
    </w:p>
    <w:p w:rsidR="0018024F" w:rsidRPr="001F1109" w:rsidRDefault="009A0A53" w:rsidP="00960CFB">
      <w:pPr>
        <w:pStyle w:val="Poznmky"/>
        <w:pBdr>
          <w:top w:val="none" w:sz="0" w:space="0" w:color="auto"/>
        </w:pBdr>
        <w:spacing w:before="0" w:line="244" w:lineRule="auto"/>
        <w:ind w:left="2694"/>
        <w:jc w:val="both"/>
        <w:rPr>
          <w:i/>
        </w:rPr>
      </w:pPr>
      <w:hyperlink r:id="rId13" w:history="1">
        <w:r w:rsidR="00960CFB" w:rsidRPr="001F1109">
          <w:rPr>
            <w:rStyle w:val="Hypertextovodkaz"/>
            <w:i/>
            <w:lang w:val="en-GB"/>
          </w:rPr>
          <w:t>https://csu.gov.cz/produkty/bvz_ts</w:t>
        </w:r>
      </w:hyperlink>
    </w:p>
    <w:p w:rsidR="0018024F" w:rsidRDefault="0018024F" w:rsidP="0018024F">
      <w:pPr>
        <w:pStyle w:val="Poznmky"/>
        <w:pBdr>
          <w:top w:val="none" w:sz="0" w:space="0" w:color="auto"/>
        </w:pBdr>
        <w:spacing w:before="0" w:line="244" w:lineRule="auto"/>
        <w:ind w:left="2694" w:hanging="2694"/>
        <w:jc w:val="both"/>
        <w:rPr>
          <w:i/>
        </w:rPr>
      </w:pPr>
      <w:r w:rsidRPr="001F1109">
        <w:rPr>
          <w:i/>
        </w:rPr>
        <w:tab/>
      </w:r>
      <w:r w:rsidRPr="001F1109">
        <w:rPr>
          <w:i/>
          <w:color w:val="auto"/>
          <w:lang w:val="fr-FR"/>
        </w:rPr>
        <w:t>international comparison in EU countries</w:t>
      </w:r>
      <w:r w:rsidRPr="001F1109">
        <w:rPr>
          <w:i/>
          <w:color w:val="auto"/>
        </w:rPr>
        <w:t xml:space="preserve">: </w:t>
      </w:r>
      <w:hyperlink r:id="rId14" w:history="1">
        <w:r w:rsidRPr="001F1109">
          <w:rPr>
            <w:rStyle w:val="Hypertextovodkaz"/>
            <w:i/>
          </w:rPr>
          <w:t>Eurostat</w:t>
        </w:r>
      </w:hyperlink>
    </w:p>
    <w:p w:rsidR="0018024F" w:rsidRDefault="0018024F" w:rsidP="0018024F"/>
    <w:p w:rsidR="001758AD" w:rsidRPr="0018024F" w:rsidRDefault="001758AD" w:rsidP="0018024F"/>
    <w:sectPr w:rsidR="001758AD" w:rsidRPr="0018024F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53" w:rsidRDefault="009A0A53" w:rsidP="00BA6370">
      <w:r>
        <w:separator/>
      </w:r>
    </w:p>
  </w:endnote>
  <w:endnote w:type="continuationSeparator" w:id="0">
    <w:p w:rsidR="009A0A53" w:rsidRDefault="009A0A5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932D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D19D06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EA4798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:rsidR="00380178" w:rsidRPr="007B590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7B5907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7B5907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7B5907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="00EA4798" w:rsidRPr="007B5907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fr-FR"/>
                              </w:rPr>
                              <w:t>infoservis@csu.gov.cz</w:t>
                            </w:r>
                          </w:hyperlink>
                          <w:r w:rsidRPr="007B5907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B5907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932D6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19D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EA4798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:rsidR="00380178" w:rsidRPr="007B590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7B5907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7B5907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7B5907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="00EA4798" w:rsidRPr="007B5907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fr-FR"/>
                        </w:rPr>
                        <w:t>infoservis@csu.gov.cz</w:t>
                      </w:r>
                    </w:hyperlink>
                    <w:r w:rsidRPr="007B5907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B5907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932D6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D19D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F68EDF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53" w:rsidRDefault="009A0A53" w:rsidP="00BA6370">
      <w:r>
        <w:separator/>
      </w:r>
    </w:p>
  </w:footnote>
  <w:footnote w:type="continuationSeparator" w:id="0">
    <w:p w:rsidR="009A0A53" w:rsidRDefault="009A0A5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932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4D19D05">
          <wp:simplePos x="0" y="0"/>
          <wp:positionH relativeFrom="column">
            <wp:posOffset>-882015</wp:posOffset>
          </wp:positionH>
          <wp:positionV relativeFrom="paragraph">
            <wp:posOffset>100965</wp:posOffset>
          </wp:positionV>
          <wp:extent cx="6429375" cy="1018540"/>
          <wp:effectExtent l="0" t="0" r="0" b="0"/>
          <wp:wrapNone/>
          <wp:docPr id="48" name="obrázek 48" descr="Záhlaví_News Release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Záhlaví_News Release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EE"/>
    <w:rsid w:val="0001673F"/>
    <w:rsid w:val="00043BF4"/>
    <w:rsid w:val="00050504"/>
    <w:rsid w:val="000560A0"/>
    <w:rsid w:val="000748A5"/>
    <w:rsid w:val="000843A5"/>
    <w:rsid w:val="00091722"/>
    <w:rsid w:val="000B6773"/>
    <w:rsid w:val="000B6F63"/>
    <w:rsid w:val="00116ED1"/>
    <w:rsid w:val="00123849"/>
    <w:rsid w:val="0013242C"/>
    <w:rsid w:val="001404AB"/>
    <w:rsid w:val="0017231D"/>
    <w:rsid w:val="001758AD"/>
    <w:rsid w:val="00176E26"/>
    <w:rsid w:val="0018024F"/>
    <w:rsid w:val="0018061F"/>
    <w:rsid w:val="001810DC"/>
    <w:rsid w:val="00194E50"/>
    <w:rsid w:val="00195280"/>
    <w:rsid w:val="001B607F"/>
    <w:rsid w:val="001C567E"/>
    <w:rsid w:val="001C71FD"/>
    <w:rsid w:val="001D369A"/>
    <w:rsid w:val="001F08B3"/>
    <w:rsid w:val="001F1109"/>
    <w:rsid w:val="002070FB"/>
    <w:rsid w:val="00213729"/>
    <w:rsid w:val="002406FA"/>
    <w:rsid w:val="002550C4"/>
    <w:rsid w:val="0026127C"/>
    <w:rsid w:val="00297900"/>
    <w:rsid w:val="002B2E47"/>
    <w:rsid w:val="002D37F5"/>
    <w:rsid w:val="002D44CF"/>
    <w:rsid w:val="002F3110"/>
    <w:rsid w:val="003141A5"/>
    <w:rsid w:val="0032398D"/>
    <w:rsid w:val="003301A3"/>
    <w:rsid w:val="00364E2A"/>
    <w:rsid w:val="00365F79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F526A"/>
    <w:rsid w:val="00405244"/>
    <w:rsid w:val="00416773"/>
    <w:rsid w:val="00436D82"/>
    <w:rsid w:val="004436EE"/>
    <w:rsid w:val="00454B28"/>
    <w:rsid w:val="0045547F"/>
    <w:rsid w:val="004920AD"/>
    <w:rsid w:val="00497635"/>
    <w:rsid w:val="004A378C"/>
    <w:rsid w:val="004A3F10"/>
    <w:rsid w:val="004D05B3"/>
    <w:rsid w:val="004E479E"/>
    <w:rsid w:val="004F78E6"/>
    <w:rsid w:val="00512D99"/>
    <w:rsid w:val="00531DBB"/>
    <w:rsid w:val="00543CBC"/>
    <w:rsid w:val="00564213"/>
    <w:rsid w:val="005909A6"/>
    <w:rsid w:val="005B341A"/>
    <w:rsid w:val="005E6BF5"/>
    <w:rsid w:val="005F79FB"/>
    <w:rsid w:val="00601A79"/>
    <w:rsid w:val="00604406"/>
    <w:rsid w:val="00605F4A"/>
    <w:rsid w:val="00607822"/>
    <w:rsid w:val="006103AA"/>
    <w:rsid w:val="00613BBF"/>
    <w:rsid w:val="00615493"/>
    <w:rsid w:val="00622B80"/>
    <w:rsid w:val="00626A4F"/>
    <w:rsid w:val="0064139A"/>
    <w:rsid w:val="0065409F"/>
    <w:rsid w:val="006D5C60"/>
    <w:rsid w:val="006E024F"/>
    <w:rsid w:val="006E4E81"/>
    <w:rsid w:val="006F199A"/>
    <w:rsid w:val="00707F7D"/>
    <w:rsid w:val="00717EC5"/>
    <w:rsid w:val="00752CAB"/>
    <w:rsid w:val="00755D8B"/>
    <w:rsid w:val="00763787"/>
    <w:rsid w:val="00784615"/>
    <w:rsid w:val="00793D5F"/>
    <w:rsid w:val="007A0CA5"/>
    <w:rsid w:val="007A57F2"/>
    <w:rsid w:val="007B1333"/>
    <w:rsid w:val="007B5907"/>
    <w:rsid w:val="007C1CFB"/>
    <w:rsid w:val="007D45B0"/>
    <w:rsid w:val="007F4AEB"/>
    <w:rsid w:val="007F75B2"/>
    <w:rsid w:val="008015FC"/>
    <w:rsid w:val="008043C4"/>
    <w:rsid w:val="00820480"/>
    <w:rsid w:val="00831B1B"/>
    <w:rsid w:val="00855FB3"/>
    <w:rsid w:val="00861D0E"/>
    <w:rsid w:val="00867569"/>
    <w:rsid w:val="008764EE"/>
    <w:rsid w:val="00885C0D"/>
    <w:rsid w:val="008A750A"/>
    <w:rsid w:val="008B3970"/>
    <w:rsid w:val="008C384C"/>
    <w:rsid w:val="008D0F11"/>
    <w:rsid w:val="008F73B4"/>
    <w:rsid w:val="009035E8"/>
    <w:rsid w:val="009211A3"/>
    <w:rsid w:val="00953416"/>
    <w:rsid w:val="00960CFB"/>
    <w:rsid w:val="00971374"/>
    <w:rsid w:val="009A0A53"/>
    <w:rsid w:val="009B2BDF"/>
    <w:rsid w:val="009B55B1"/>
    <w:rsid w:val="009C4D55"/>
    <w:rsid w:val="009C4EAF"/>
    <w:rsid w:val="009E39C5"/>
    <w:rsid w:val="00A07BA7"/>
    <w:rsid w:val="00A17409"/>
    <w:rsid w:val="00A206A1"/>
    <w:rsid w:val="00A4343D"/>
    <w:rsid w:val="00A502F1"/>
    <w:rsid w:val="00A70A83"/>
    <w:rsid w:val="00A81EB3"/>
    <w:rsid w:val="00A932D6"/>
    <w:rsid w:val="00A96136"/>
    <w:rsid w:val="00A96E20"/>
    <w:rsid w:val="00AB159E"/>
    <w:rsid w:val="00AB6196"/>
    <w:rsid w:val="00AC3140"/>
    <w:rsid w:val="00B00C1D"/>
    <w:rsid w:val="00B01E24"/>
    <w:rsid w:val="00B60525"/>
    <w:rsid w:val="00B632CC"/>
    <w:rsid w:val="00BA12F1"/>
    <w:rsid w:val="00BA439F"/>
    <w:rsid w:val="00BA6370"/>
    <w:rsid w:val="00BC37D5"/>
    <w:rsid w:val="00BC7F4C"/>
    <w:rsid w:val="00C223F9"/>
    <w:rsid w:val="00C269D4"/>
    <w:rsid w:val="00C4160D"/>
    <w:rsid w:val="00C74BEC"/>
    <w:rsid w:val="00C8406E"/>
    <w:rsid w:val="00C8681A"/>
    <w:rsid w:val="00CB2709"/>
    <w:rsid w:val="00CB6F89"/>
    <w:rsid w:val="00CE228C"/>
    <w:rsid w:val="00CE71D9"/>
    <w:rsid w:val="00CF545B"/>
    <w:rsid w:val="00D012E9"/>
    <w:rsid w:val="00D209A7"/>
    <w:rsid w:val="00D27D69"/>
    <w:rsid w:val="00D448C2"/>
    <w:rsid w:val="00D54BE5"/>
    <w:rsid w:val="00D666C3"/>
    <w:rsid w:val="00D811AB"/>
    <w:rsid w:val="00DE4DB8"/>
    <w:rsid w:val="00DF47FE"/>
    <w:rsid w:val="00E0156A"/>
    <w:rsid w:val="00E02288"/>
    <w:rsid w:val="00E1630A"/>
    <w:rsid w:val="00E26704"/>
    <w:rsid w:val="00E31980"/>
    <w:rsid w:val="00E3662C"/>
    <w:rsid w:val="00E463DA"/>
    <w:rsid w:val="00E5359D"/>
    <w:rsid w:val="00E558FC"/>
    <w:rsid w:val="00E6003A"/>
    <w:rsid w:val="00E6423C"/>
    <w:rsid w:val="00E71483"/>
    <w:rsid w:val="00E757DA"/>
    <w:rsid w:val="00E7657D"/>
    <w:rsid w:val="00E93830"/>
    <w:rsid w:val="00E93E0E"/>
    <w:rsid w:val="00EA4798"/>
    <w:rsid w:val="00EB1A25"/>
    <w:rsid w:val="00EB1D6D"/>
    <w:rsid w:val="00EB1ED3"/>
    <w:rsid w:val="00EE70B7"/>
    <w:rsid w:val="00F10032"/>
    <w:rsid w:val="00F314B7"/>
    <w:rsid w:val="00F3512A"/>
    <w:rsid w:val="00F74F81"/>
    <w:rsid w:val="00F83C49"/>
    <w:rsid w:val="00F95A96"/>
    <w:rsid w:val="00FB687C"/>
    <w:rsid w:val="00FB6A4B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664FE102-E29C-4CBA-9479-E95B2ABB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8024F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table" w:styleId="Mkatabulky">
    <w:name w:val="Table Grid"/>
    <w:basedOn w:val="Normlntabulka"/>
    <w:uiPriority w:val="59"/>
    <w:rsid w:val="0017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758AD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1758A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96E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96E20"/>
    <w:rPr>
      <w:rFonts w:ascii="Arial" w:hAnsi="Arial"/>
      <w:sz w:val="16"/>
      <w:szCs w:val="16"/>
      <w:lang w:val="en-GB" w:eastAsia="en-US"/>
    </w:rPr>
  </w:style>
  <w:style w:type="paragraph" w:customStyle="1" w:styleId="datum0">
    <w:name w:val="datum"/>
    <w:next w:val="Normln"/>
    <w:rsid w:val="00A96E20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A96E20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2550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produkty/bvz_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u.gov.cz/produkty/sta_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curinova@csu.gov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su.gov.cz/sta_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NOV&#201;_FORMUL&#193;&#344;E_RI_apod_MM_13_06_2024\Form_c466_Rychla%20informace_EN_NOV&#193;_DOM&#201;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F386-1110-4510-9CF6-24121DEBA297}"/>
</file>

<file path=customXml/itemProps2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4.xml><?xml version="1.0" encoding="utf-8"?>
<ds:datastoreItem xmlns:ds="http://schemas.openxmlformats.org/officeDocument/2006/customXml" ds:itemID="{B23752B4-8E58-4FD2-A064-831F5C7F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Form_c466_Rychla informace_EN_NOVÁ_DOMÉNA.dotx</Template>
  <TotalTime>0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4756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Matoušová Milada</dc:creator>
  <cp:lastModifiedBy>Cuřínová Petra</cp:lastModifiedBy>
  <cp:revision>2</cp:revision>
  <dcterms:created xsi:type="dcterms:W3CDTF">2024-08-02T10:42:00Z</dcterms:created>
  <dcterms:modified xsi:type="dcterms:W3CDTF">2024-08-02T10:42:00Z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