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88C8" w14:textId="10A159D4" w:rsidR="00B957A6" w:rsidRPr="000533DD" w:rsidRDefault="00507E16" w:rsidP="00B957A6">
      <w:pPr>
        <w:pStyle w:val="datum0"/>
        <w:spacing w:line="276" w:lineRule="auto"/>
        <w:rPr>
          <w:lang w:val="cs-CZ"/>
        </w:rPr>
      </w:pPr>
      <w:r>
        <w:rPr>
          <w:lang w:val="cs-CZ"/>
        </w:rPr>
        <w:t>6</w:t>
      </w:r>
      <w:r w:rsidR="00B957A6" w:rsidRPr="000533DD">
        <w:rPr>
          <w:lang w:val="cs-CZ"/>
        </w:rPr>
        <w:t xml:space="preserve">. </w:t>
      </w:r>
      <w:r>
        <w:rPr>
          <w:lang w:val="cs-CZ"/>
        </w:rPr>
        <w:t>2</w:t>
      </w:r>
      <w:r w:rsidR="00B957A6" w:rsidRPr="000533DD">
        <w:rPr>
          <w:lang w:val="cs-CZ"/>
        </w:rPr>
        <w:t>. 202</w:t>
      </w:r>
      <w:r w:rsidR="002201A2">
        <w:rPr>
          <w:lang w:val="cs-CZ"/>
        </w:rPr>
        <w:t>6</w:t>
      </w:r>
    </w:p>
    <w:p w14:paraId="1F662AEA" w14:textId="2DD43018" w:rsidR="00B957A6" w:rsidRPr="00A85EF5" w:rsidRDefault="00496E70" w:rsidP="00B957A6">
      <w:pPr>
        <w:pStyle w:val="Podtitulek"/>
        <w:spacing w:before="280" w:after="0" w:line="360" w:lineRule="exact"/>
      </w:pPr>
      <w:bookmarkStart w:id="0" w:name="_Hlk213055855"/>
      <w:r w:rsidRPr="00B53285">
        <w:rPr>
          <w:color w:val="BD1B21"/>
          <w:sz w:val="32"/>
          <w:szCs w:val="32"/>
        </w:rPr>
        <w:t xml:space="preserve">Stavební produkce </w:t>
      </w:r>
      <w:r w:rsidR="00A23FBF">
        <w:rPr>
          <w:color w:val="BD1B21"/>
          <w:sz w:val="32"/>
          <w:szCs w:val="32"/>
        </w:rPr>
        <w:t xml:space="preserve">i nadále </w:t>
      </w:r>
      <w:r w:rsidRPr="00B53285">
        <w:rPr>
          <w:color w:val="BD1B21"/>
          <w:sz w:val="32"/>
          <w:szCs w:val="32"/>
        </w:rPr>
        <w:t>rostla</w:t>
      </w:r>
    </w:p>
    <w:bookmarkEnd w:id="0"/>
    <w:p w14:paraId="2D8906B6" w14:textId="26DD3F12" w:rsidR="00B957A6" w:rsidRPr="000533DD" w:rsidRDefault="00B957A6" w:rsidP="00B957A6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507E16">
        <w:t>prosinec</w:t>
      </w:r>
      <w:r w:rsidR="005164FF" w:rsidRPr="00D337E2">
        <w:t xml:space="preserve"> </w:t>
      </w:r>
      <w:r w:rsidRPr="00D337E2">
        <w:t>202</w:t>
      </w:r>
      <w:r w:rsidR="00C56A1B">
        <w:t>5</w:t>
      </w:r>
    </w:p>
    <w:p w14:paraId="7CD33454" w14:textId="00F0F8B3" w:rsidR="00B957A6" w:rsidRDefault="00B957A6" w:rsidP="00D318CD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507E16" w:rsidRPr="00E40673">
        <w:rPr>
          <w:rFonts w:cs="Arial"/>
        </w:rPr>
        <w:t>prosinci</w:t>
      </w:r>
      <w:r w:rsidR="004E5026" w:rsidRPr="000533DD">
        <w:rPr>
          <w:rFonts w:cs="Arial"/>
        </w:rPr>
        <w:t xml:space="preserve"> </w:t>
      </w:r>
      <w:r w:rsidRPr="000533DD">
        <w:rPr>
          <w:rFonts w:cs="Arial"/>
        </w:rPr>
        <w:t xml:space="preserve">meziročně </w:t>
      </w:r>
      <w:r w:rsidR="00CE6732">
        <w:rPr>
          <w:rFonts w:cs="Arial"/>
        </w:rPr>
        <w:t>vzrostla</w:t>
      </w:r>
      <w:r w:rsidR="00F44CE2">
        <w:rPr>
          <w:rFonts w:cs="Arial"/>
        </w:rPr>
        <w:t xml:space="preserve"> </w:t>
      </w:r>
      <w:r w:rsidRPr="000533DD">
        <w:rPr>
          <w:rFonts w:cs="Arial"/>
        </w:rPr>
        <w:t>o</w:t>
      </w:r>
      <w:r w:rsidR="00AC0E39">
        <w:rPr>
          <w:rFonts w:cs="Arial"/>
        </w:rPr>
        <w:t xml:space="preserve"> </w:t>
      </w:r>
      <w:r w:rsidR="00D96695">
        <w:rPr>
          <w:rFonts w:cs="Arial"/>
        </w:rPr>
        <w:t>5,3</w:t>
      </w:r>
      <w:r w:rsidR="00AC0E39">
        <w:rPr>
          <w:rFonts w:cs="Arial"/>
        </w:rPr>
        <w:t xml:space="preserve"> 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D96695">
        <w:rPr>
          <w:rFonts w:cs="Arial"/>
        </w:rPr>
        <w:t>vyšší</w:t>
      </w:r>
      <w:r w:rsidR="008D468C">
        <w:rPr>
          <w:rFonts w:cs="Arial"/>
        </w:rPr>
        <w:t xml:space="preserve"> </w:t>
      </w:r>
      <w:r w:rsidR="009C212F">
        <w:rPr>
          <w:rFonts w:cs="Arial"/>
        </w:rPr>
        <w:t>o </w:t>
      </w:r>
      <w:r w:rsidR="00D96695">
        <w:rPr>
          <w:rFonts w:cs="Arial"/>
        </w:rPr>
        <w:t>1,7</w:t>
      </w:r>
      <w:r>
        <w:rPr>
          <w:rFonts w:cs="Arial"/>
        </w:rPr>
        <w:t> %. Orientační hodnota vydaných stavebních</w:t>
      </w:r>
      <w:r w:rsidRPr="000533DD">
        <w:rPr>
          <w:rFonts w:cs="Arial"/>
        </w:rPr>
        <w:t xml:space="preserve"> povolení </w:t>
      </w:r>
      <w:r w:rsidR="001C415F" w:rsidRPr="009672F3">
        <w:rPr>
          <w:rFonts w:cs="Arial"/>
        </w:rPr>
        <w:t>klesla</w:t>
      </w:r>
      <w:r w:rsidRPr="000533DD">
        <w:rPr>
          <w:rFonts w:cs="Arial"/>
        </w:rPr>
        <w:t xml:space="preserve"> o </w:t>
      </w:r>
      <w:r w:rsidR="001C415F">
        <w:rPr>
          <w:rFonts w:cs="Arial"/>
        </w:rPr>
        <w:t>54</w:t>
      </w:r>
      <w:r>
        <w:rPr>
          <w:rFonts w:cs="Arial"/>
        </w:rPr>
        <w:t>,</w:t>
      </w:r>
      <w:r w:rsidR="001C415F">
        <w:rPr>
          <w:rFonts w:cs="Arial"/>
        </w:rPr>
        <w:t>7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F419B2">
        <w:rPr>
          <w:rFonts w:cs="Arial"/>
        </w:rPr>
        <w:t>11</w:t>
      </w:r>
      <w:r w:rsidRPr="000B0844">
        <w:rPr>
          <w:rFonts w:cs="Arial"/>
        </w:rPr>
        <w:t>,</w:t>
      </w:r>
      <w:r w:rsidR="00F419B2">
        <w:rPr>
          <w:rFonts w:cs="Arial"/>
        </w:rPr>
        <w:t>2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F419B2">
        <w:rPr>
          <w:rFonts w:cs="Arial"/>
        </w:rPr>
        <w:t>méně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5656E4">
        <w:rPr>
          <w:rFonts w:cs="Arial"/>
        </w:rPr>
        <w:t>o </w:t>
      </w:r>
      <w:r w:rsidR="00E21900">
        <w:rPr>
          <w:rFonts w:cs="Arial"/>
        </w:rPr>
        <w:t>56</w:t>
      </w:r>
      <w:r w:rsidRPr="005656E4">
        <w:rPr>
          <w:rFonts w:cs="Arial"/>
        </w:rPr>
        <w:t>,</w:t>
      </w:r>
      <w:r w:rsidR="00E21900">
        <w:rPr>
          <w:rFonts w:cs="Arial"/>
        </w:rPr>
        <w:t>1</w:t>
      </w:r>
      <w:r w:rsidR="00E56465"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A02571">
        <w:rPr>
          <w:rFonts w:cs="Arial"/>
        </w:rPr>
        <w:t>více</w:t>
      </w:r>
      <w:r w:rsidRPr="000533DD">
        <w:rPr>
          <w:rFonts w:cs="Arial"/>
        </w:rPr>
        <w:t>.</w:t>
      </w:r>
    </w:p>
    <w:p w14:paraId="4D8B6DE8" w14:textId="77777777" w:rsidR="00AB473B" w:rsidRDefault="00AB473B" w:rsidP="00AB473B"/>
    <w:p w14:paraId="79042CA1" w14:textId="3E79F3DD" w:rsidR="00B957A6" w:rsidRPr="00896D71" w:rsidRDefault="00432022" w:rsidP="007C69BF">
      <w:pPr>
        <w:rPr>
          <w:szCs w:val="20"/>
        </w:rPr>
      </w:pPr>
      <w:r w:rsidRPr="004B47C1">
        <w:rPr>
          <w:rFonts w:cs="Arial"/>
          <w:i/>
          <w:szCs w:val="20"/>
        </w:rPr>
        <w:t xml:space="preserve">„V prosinci </w:t>
      </w:r>
      <w:r>
        <w:rPr>
          <w:rFonts w:cs="Arial"/>
          <w:i/>
          <w:szCs w:val="20"/>
        </w:rPr>
        <w:t>se stavebnictví dařilo, produkce vzrostla meziročně i meziměsíčně a v růstu bylo jak pozemní, tak inženýrské stavitelství</w:t>
      </w:r>
      <w:r w:rsidRPr="004B47C1">
        <w:rPr>
          <w:rFonts w:cs="Arial"/>
          <w:i/>
          <w:szCs w:val="20"/>
        </w:rPr>
        <w:t>,“</w:t>
      </w:r>
      <w:r w:rsidRPr="004B47C1">
        <w:rPr>
          <w:rFonts w:cs="Arial"/>
          <w:szCs w:val="20"/>
        </w:rPr>
        <w:t xml:space="preserve"> říká Radek Matějka, ředitel odboru statistiky zemědělství a lesnictví, průmyslu, stavebnictví a energetiky</w:t>
      </w:r>
      <w:r>
        <w:rPr>
          <w:rFonts w:cs="Arial"/>
          <w:szCs w:val="20"/>
        </w:rPr>
        <w:t xml:space="preserve"> ČSÚ</w:t>
      </w:r>
      <w:r w:rsidRPr="004B47C1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="00A76E5B">
        <w:rPr>
          <w:rFonts w:cs="Arial"/>
          <w:szCs w:val="20"/>
        </w:rPr>
        <w:t>Stavební produkce byla v </w:t>
      </w:r>
      <w:r w:rsidR="00507E16">
        <w:rPr>
          <w:rFonts w:cs="Arial"/>
          <w:szCs w:val="20"/>
        </w:rPr>
        <w:t>prosinci</w:t>
      </w:r>
      <w:r w:rsidR="00550CA3">
        <w:rPr>
          <w:rFonts w:cs="Arial"/>
          <w:szCs w:val="20"/>
        </w:rPr>
        <w:t xml:space="preserve"> </w:t>
      </w:r>
      <w:r w:rsidR="00A76E5B">
        <w:rPr>
          <w:rFonts w:cs="Arial"/>
          <w:szCs w:val="20"/>
        </w:rPr>
        <w:t xml:space="preserve">meziměsíčně </w:t>
      </w:r>
      <w:r w:rsidR="00D96695">
        <w:rPr>
          <w:rFonts w:cs="Arial"/>
          <w:szCs w:val="20"/>
        </w:rPr>
        <w:t>vyšší</w:t>
      </w:r>
      <w:r w:rsidR="00A76E5B">
        <w:rPr>
          <w:rFonts w:cs="Arial"/>
          <w:szCs w:val="20"/>
        </w:rPr>
        <w:t xml:space="preserve"> o</w:t>
      </w:r>
      <w:r w:rsidR="000245A0">
        <w:rPr>
          <w:rFonts w:cs="Arial"/>
          <w:szCs w:val="20"/>
        </w:rPr>
        <w:t> </w:t>
      </w:r>
      <w:r w:rsidR="00D96695">
        <w:rPr>
          <w:rFonts w:cs="Arial"/>
          <w:szCs w:val="20"/>
        </w:rPr>
        <w:t>1,7</w:t>
      </w:r>
      <w:r w:rsidR="00663502">
        <w:rPr>
          <w:rFonts w:cs="Arial"/>
          <w:szCs w:val="20"/>
        </w:rPr>
        <w:t> </w:t>
      </w:r>
      <w:r w:rsidR="00A76E5B">
        <w:rPr>
          <w:rFonts w:cs="Arial"/>
          <w:szCs w:val="20"/>
        </w:rPr>
        <w:t>%</w:t>
      </w:r>
      <w:r w:rsidR="00A74479">
        <w:rPr>
          <w:rFonts w:cs="Arial"/>
          <w:szCs w:val="20"/>
        </w:rPr>
        <w:t>.</w:t>
      </w:r>
      <w:r w:rsidR="00AC0E39">
        <w:rPr>
          <w:rFonts w:cs="Arial"/>
          <w:szCs w:val="20"/>
        </w:rPr>
        <w:t xml:space="preserve"> </w:t>
      </w:r>
      <w:r w:rsidR="009672F3" w:rsidRPr="009672F3">
        <w:rPr>
          <w:rFonts w:cs="Arial"/>
          <w:szCs w:val="20"/>
        </w:rPr>
        <w:t xml:space="preserve">Meziročně </w:t>
      </w:r>
      <w:r w:rsidR="00D96695">
        <w:rPr>
          <w:rFonts w:cs="Arial"/>
          <w:szCs w:val="20"/>
        </w:rPr>
        <w:t>vzrostla</w:t>
      </w:r>
      <w:r w:rsidR="009672F3" w:rsidRPr="009672F3">
        <w:rPr>
          <w:rFonts w:cs="Arial"/>
          <w:szCs w:val="20"/>
        </w:rPr>
        <w:t xml:space="preserve"> o </w:t>
      </w:r>
      <w:r w:rsidR="00D96695">
        <w:rPr>
          <w:rFonts w:cs="Arial"/>
          <w:szCs w:val="20"/>
        </w:rPr>
        <w:t>5,3</w:t>
      </w:r>
      <w:r w:rsidR="009672F3" w:rsidRPr="009672F3">
        <w:rPr>
          <w:rFonts w:cs="Arial"/>
          <w:szCs w:val="20"/>
        </w:rPr>
        <w:t> %.</w:t>
      </w:r>
      <w:r w:rsidR="009672F3">
        <w:rPr>
          <w:rFonts w:cs="Arial"/>
          <w:szCs w:val="20"/>
        </w:rPr>
        <w:t xml:space="preserve"> </w:t>
      </w:r>
      <w:r w:rsidR="00E00726" w:rsidRPr="00FE40E5">
        <w:rPr>
          <w:rFonts w:cs="Arial"/>
          <w:szCs w:val="20"/>
        </w:rPr>
        <w:t>P</w:t>
      </w:r>
      <w:r w:rsidR="004158C9" w:rsidRPr="00FE40E5">
        <w:rPr>
          <w:rFonts w:cs="Arial"/>
          <w:szCs w:val="20"/>
        </w:rPr>
        <w:t>rodukce v pozemním stavitelství se zvýšila o</w:t>
      </w:r>
      <w:r w:rsidR="00D96695">
        <w:rPr>
          <w:rFonts w:cs="Arial"/>
          <w:szCs w:val="20"/>
        </w:rPr>
        <w:t xml:space="preserve"> 2,3</w:t>
      </w:r>
      <w:r w:rsidR="006B00EA">
        <w:rPr>
          <w:rFonts w:cs="Arial"/>
          <w:szCs w:val="20"/>
        </w:rPr>
        <w:t> </w:t>
      </w:r>
      <w:r w:rsidR="004158C9" w:rsidRPr="00FE40E5">
        <w:rPr>
          <w:rFonts w:cs="Arial"/>
          <w:szCs w:val="20"/>
        </w:rPr>
        <w:t>% a inž</w:t>
      </w:r>
      <w:r w:rsidR="009C212F" w:rsidRPr="00FE40E5">
        <w:rPr>
          <w:rFonts w:cs="Arial"/>
          <w:szCs w:val="20"/>
        </w:rPr>
        <w:t>enýrské stavitelství vzrostlo o </w:t>
      </w:r>
      <w:r w:rsidR="00D96695">
        <w:rPr>
          <w:rFonts w:cs="Arial"/>
          <w:szCs w:val="20"/>
        </w:rPr>
        <w:t>10,9</w:t>
      </w:r>
      <w:r w:rsidR="00AE7B71">
        <w:rPr>
          <w:rFonts w:cs="Arial"/>
          <w:szCs w:val="20"/>
        </w:rPr>
        <w:t> </w:t>
      </w:r>
      <w:r w:rsidR="004158C9" w:rsidRPr="00FE40E5">
        <w:rPr>
          <w:rFonts w:cs="Arial"/>
          <w:szCs w:val="20"/>
        </w:rPr>
        <w:t>%</w:t>
      </w:r>
      <w:r w:rsidR="00FE40E5" w:rsidRPr="00FE40E5">
        <w:rPr>
          <w:rFonts w:cs="Arial"/>
          <w:szCs w:val="20"/>
        </w:rPr>
        <w:t>.</w:t>
      </w:r>
      <w:r w:rsidR="000C5520" w:rsidRPr="00FE40E5">
        <w:rPr>
          <w:rFonts w:cs="Arial"/>
          <w:szCs w:val="20"/>
        </w:rPr>
        <w:t xml:space="preserve"> </w:t>
      </w:r>
    </w:p>
    <w:p w14:paraId="3031040A" w14:textId="5CCEFB63" w:rsidR="00FE40E5" w:rsidRDefault="00D746CF" w:rsidP="00D318CD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Orientační hodnota staveb, na které bylo v </w:t>
      </w:r>
      <w:r w:rsidR="00507E16">
        <w:rPr>
          <w:rFonts w:cs="Arial"/>
          <w:szCs w:val="20"/>
        </w:rPr>
        <w:t>prosinci</w:t>
      </w:r>
      <w:r>
        <w:rPr>
          <w:rFonts w:cs="Arial"/>
          <w:szCs w:val="20"/>
        </w:rPr>
        <w:t xml:space="preserve"> vydáno stavební povolení, dosáhla </w:t>
      </w:r>
      <w:r w:rsidR="001C415F">
        <w:rPr>
          <w:rFonts w:cs="Arial"/>
          <w:szCs w:val="20"/>
        </w:rPr>
        <w:t>36</w:t>
      </w:r>
      <w:r>
        <w:rPr>
          <w:rFonts w:cs="Arial"/>
          <w:szCs w:val="20"/>
        </w:rPr>
        <w:t>,</w:t>
      </w:r>
      <w:r w:rsidR="001C415F">
        <w:rPr>
          <w:rFonts w:cs="Arial"/>
          <w:szCs w:val="20"/>
        </w:rPr>
        <w:t>0</w:t>
      </w:r>
      <w:r>
        <w:rPr>
          <w:rFonts w:cs="Arial"/>
          <w:szCs w:val="20"/>
        </w:rPr>
        <w:t xml:space="preserve"> mld. Kč a meziročně </w:t>
      </w:r>
      <w:r w:rsidR="001C415F" w:rsidRPr="009672F3">
        <w:rPr>
          <w:rFonts w:cs="Arial"/>
          <w:szCs w:val="20"/>
        </w:rPr>
        <w:t>klesla</w:t>
      </w:r>
      <w:r w:rsidR="00F85E9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 </w:t>
      </w:r>
      <w:r w:rsidR="001C415F">
        <w:rPr>
          <w:rFonts w:cs="Arial"/>
          <w:szCs w:val="20"/>
        </w:rPr>
        <w:t>54</w:t>
      </w:r>
      <w:r>
        <w:rPr>
          <w:rFonts w:cs="Arial"/>
          <w:szCs w:val="20"/>
        </w:rPr>
        <w:t>,</w:t>
      </w:r>
      <w:r w:rsidR="001C415F">
        <w:rPr>
          <w:rFonts w:cs="Arial"/>
          <w:szCs w:val="20"/>
        </w:rPr>
        <w:t>7</w:t>
      </w:r>
      <w:r w:rsidR="00663502">
        <w:rPr>
          <w:rFonts w:cs="Arial"/>
          <w:szCs w:val="20"/>
        </w:rPr>
        <w:t> </w:t>
      </w:r>
      <w:r w:rsidR="00FE40E5">
        <w:rPr>
          <w:rFonts w:cs="Arial"/>
          <w:szCs w:val="20"/>
        </w:rPr>
        <w:t>%.</w:t>
      </w:r>
      <w:r w:rsidR="00432022">
        <w:rPr>
          <w:rFonts w:cs="Arial"/>
          <w:szCs w:val="20"/>
        </w:rPr>
        <w:t xml:space="preserve"> </w:t>
      </w:r>
      <w:r w:rsidR="00432022" w:rsidRPr="00980C1D">
        <w:rPr>
          <w:rFonts w:cs="Arial"/>
          <w:i/>
          <w:szCs w:val="20"/>
        </w:rPr>
        <w:t>„</w:t>
      </w:r>
      <w:r w:rsidR="00432022">
        <w:rPr>
          <w:rFonts w:cs="Arial"/>
          <w:i/>
          <w:szCs w:val="20"/>
        </w:rPr>
        <w:t>Meziroční pokles o</w:t>
      </w:r>
      <w:r w:rsidR="00432022" w:rsidRPr="00980C1D">
        <w:rPr>
          <w:rFonts w:cs="Arial"/>
          <w:i/>
          <w:szCs w:val="20"/>
        </w:rPr>
        <w:t>rientační hodnot</w:t>
      </w:r>
      <w:r w:rsidR="00432022">
        <w:rPr>
          <w:rFonts w:cs="Arial"/>
          <w:i/>
          <w:szCs w:val="20"/>
        </w:rPr>
        <w:t xml:space="preserve">y </w:t>
      </w:r>
      <w:r w:rsidR="00D97EA2">
        <w:rPr>
          <w:rFonts w:cs="Arial"/>
          <w:i/>
          <w:szCs w:val="20"/>
        </w:rPr>
        <w:t xml:space="preserve">v prosinci </w:t>
      </w:r>
      <w:r w:rsidR="00432022">
        <w:rPr>
          <w:rFonts w:cs="Arial"/>
          <w:i/>
          <w:szCs w:val="20"/>
        </w:rPr>
        <w:t>povolených</w:t>
      </w:r>
      <w:r w:rsidR="00432022" w:rsidRPr="00980C1D">
        <w:rPr>
          <w:rFonts w:cs="Arial"/>
          <w:i/>
          <w:szCs w:val="20"/>
        </w:rPr>
        <w:t xml:space="preserve"> staveb</w:t>
      </w:r>
      <w:r w:rsidR="00432022">
        <w:rPr>
          <w:rFonts w:cs="Arial"/>
          <w:bCs/>
          <w:i/>
          <w:szCs w:val="20"/>
        </w:rPr>
        <w:t xml:space="preserve"> ovlivnila vysoká srovnávací základna</w:t>
      </w:r>
      <w:r w:rsidR="00432022" w:rsidRPr="00770A10">
        <w:rPr>
          <w:rFonts w:cs="Arial"/>
          <w:i/>
          <w:szCs w:val="20"/>
        </w:rPr>
        <w:t>. Po</w:t>
      </w:r>
      <w:r w:rsidR="00432022">
        <w:rPr>
          <w:rFonts w:cs="Arial"/>
          <w:i/>
          <w:szCs w:val="20"/>
        </w:rPr>
        <w:t xml:space="preserve"> modelovém </w:t>
      </w:r>
      <w:r w:rsidR="00432022" w:rsidRPr="00770A10">
        <w:rPr>
          <w:rFonts w:cs="Arial"/>
          <w:i/>
          <w:szCs w:val="20"/>
        </w:rPr>
        <w:t xml:space="preserve">odečtení </w:t>
      </w:r>
      <w:r w:rsidR="00432022">
        <w:rPr>
          <w:rFonts w:cs="Arial"/>
          <w:bCs/>
          <w:i/>
          <w:szCs w:val="20"/>
        </w:rPr>
        <w:t xml:space="preserve">staveb </w:t>
      </w:r>
      <w:r w:rsidR="00432022" w:rsidRPr="00770A10">
        <w:rPr>
          <w:rFonts w:cs="Arial"/>
          <w:i/>
          <w:szCs w:val="20"/>
        </w:rPr>
        <w:t>s rozpočty nad miliardu korun by</w:t>
      </w:r>
      <w:r w:rsidR="00432022">
        <w:rPr>
          <w:rFonts w:cs="Arial"/>
          <w:i/>
          <w:szCs w:val="20"/>
        </w:rPr>
        <w:t xml:space="preserve"> </w:t>
      </w:r>
      <w:r w:rsidR="00432022" w:rsidRPr="00770A10">
        <w:rPr>
          <w:rFonts w:cs="Arial"/>
          <w:i/>
          <w:szCs w:val="20"/>
        </w:rPr>
        <w:t xml:space="preserve">orientační hodnota </w:t>
      </w:r>
      <w:r w:rsidR="00432022">
        <w:rPr>
          <w:rFonts w:cs="Arial"/>
          <w:i/>
          <w:szCs w:val="20"/>
        </w:rPr>
        <w:t>klesla o desetinu</w:t>
      </w:r>
      <w:r w:rsidR="00432022" w:rsidRPr="00770A10">
        <w:rPr>
          <w:rFonts w:cs="Arial"/>
          <w:i/>
          <w:szCs w:val="20"/>
        </w:rPr>
        <w:t>,</w:t>
      </w:r>
      <w:r w:rsidR="00432022" w:rsidRPr="00100F59">
        <w:rPr>
          <w:rFonts w:cs="Arial"/>
          <w:i/>
          <w:szCs w:val="20"/>
        </w:rPr>
        <w:t>“</w:t>
      </w:r>
      <w:r w:rsidR="00432022">
        <w:rPr>
          <w:rFonts w:cs="Arial"/>
          <w:szCs w:val="20"/>
        </w:rPr>
        <w:t xml:space="preserve"> vysvětluje </w:t>
      </w:r>
      <w:r w:rsidR="00432022" w:rsidRPr="003E31EA">
        <w:rPr>
          <w:rFonts w:cs="Arial"/>
          <w:szCs w:val="20"/>
        </w:rPr>
        <w:t>Petra Cuřínová, vedoucí odd</w:t>
      </w:r>
      <w:r w:rsidR="00432022">
        <w:rPr>
          <w:rFonts w:cs="Arial"/>
          <w:szCs w:val="20"/>
        </w:rPr>
        <w:t>ělení statistiky stavebnictví a </w:t>
      </w:r>
      <w:r w:rsidR="00432022" w:rsidRPr="003E31EA">
        <w:rPr>
          <w:rFonts w:cs="Arial"/>
          <w:szCs w:val="20"/>
        </w:rPr>
        <w:t>bytové výstavby ČSÚ.</w:t>
      </w:r>
    </w:p>
    <w:p w14:paraId="6374CEAB" w14:textId="2D3C85A7" w:rsidR="000D3B0B" w:rsidRPr="00CE7B86" w:rsidRDefault="001B52F5" w:rsidP="00D318CD">
      <w:pPr>
        <w:spacing w:before="120"/>
        <w:rPr>
          <w:rFonts w:cs="Arial"/>
          <w:iCs/>
          <w:szCs w:val="20"/>
        </w:rPr>
      </w:pPr>
      <w:r w:rsidRPr="001B52F5">
        <w:rPr>
          <w:rFonts w:cs="Arial"/>
          <w:bCs/>
          <w:szCs w:val="20"/>
        </w:rPr>
        <w:t>V </w:t>
      </w:r>
      <w:r>
        <w:rPr>
          <w:rFonts w:cs="Arial"/>
          <w:szCs w:val="20"/>
        </w:rPr>
        <w:t>prosinci</w:t>
      </w:r>
      <w:r w:rsidRPr="001B52F5">
        <w:rPr>
          <w:rFonts w:cs="Arial"/>
          <w:bCs/>
          <w:szCs w:val="20"/>
        </w:rPr>
        <w:t xml:space="preserve"> 2025 byla zahájena výstavba </w:t>
      </w:r>
      <w:r w:rsidR="00F419B2" w:rsidRPr="00F419B2">
        <w:rPr>
          <w:rFonts w:cs="Arial"/>
          <w:bCs/>
          <w:szCs w:val="20"/>
        </w:rPr>
        <w:t>2</w:t>
      </w:r>
      <w:r w:rsidR="00AE7B71">
        <w:rPr>
          <w:rFonts w:cs="Arial"/>
          <w:bCs/>
          <w:szCs w:val="20"/>
        </w:rPr>
        <w:t> </w:t>
      </w:r>
      <w:r w:rsidR="00F419B2" w:rsidRPr="00F419B2">
        <w:rPr>
          <w:rFonts w:cs="Arial"/>
          <w:bCs/>
          <w:szCs w:val="20"/>
        </w:rPr>
        <w:t>774</w:t>
      </w:r>
      <w:r w:rsidRPr="001B52F5">
        <w:rPr>
          <w:rFonts w:cs="Arial"/>
          <w:bCs/>
          <w:szCs w:val="20"/>
        </w:rPr>
        <w:t xml:space="preserve"> bytů a tento počet meziročně klesl o </w:t>
      </w:r>
      <w:r w:rsidR="00F419B2">
        <w:rPr>
          <w:rFonts w:cs="Arial"/>
          <w:bCs/>
          <w:szCs w:val="20"/>
        </w:rPr>
        <w:t>11</w:t>
      </w:r>
      <w:r w:rsidRPr="001B52F5">
        <w:rPr>
          <w:rFonts w:cs="Arial"/>
          <w:bCs/>
          <w:szCs w:val="20"/>
        </w:rPr>
        <w:t>,</w:t>
      </w:r>
      <w:r w:rsidR="00F419B2">
        <w:rPr>
          <w:rFonts w:cs="Arial"/>
          <w:bCs/>
          <w:szCs w:val="20"/>
        </w:rPr>
        <w:t>2</w:t>
      </w:r>
      <w:r w:rsidRPr="001B52F5">
        <w:rPr>
          <w:rFonts w:cs="Arial"/>
          <w:bCs/>
          <w:szCs w:val="20"/>
        </w:rPr>
        <w:t> %.</w:t>
      </w:r>
      <w:r w:rsidR="00F85E91" w:rsidRPr="00CE7B86">
        <w:rPr>
          <w:rFonts w:cs="Arial"/>
          <w:i/>
          <w:iCs/>
          <w:szCs w:val="20"/>
        </w:rPr>
        <w:t xml:space="preserve"> </w:t>
      </w:r>
      <w:r w:rsidR="005E627E" w:rsidRPr="00CE7B86">
        <w:rPr>
          <w:rFonts w:cs="Arial"/>
          <w:iCs/>
          <w:szCs w:val="20"/>
        </w:rPr>
        <w:t xml:space="preserve">Dokončeno bylo </w:t>
      </w:r>
      <w:r w:rsidR="00E21900" w:rsidRPr="00E21900">
        <w:rPr>
          <w:rFonts w:cs="Arial"/>
          <w:iCs/>
          <w:szCs w:val="20"/>
        </w:rPr>
        <w:t>2</w:t>
      </w:r>
      <w:r w:rsidR="00AE7B71">
        <w:rPr>
          <w:rFonts w:cs="Arial"/>
          <w:iCs/>
          <w:szCs w:val="20"/>
        </w:rPr>
        <w:t> </w:t>
      </w:r>
      <w:r w:rsidR="00E21900" w:rsidRPr="00E21900">
        <w:rPr>
          <w:rFonts w:cs="Arial"/>
          <w:iCs/>
          <w:szCs w:val="20"/>
        </w:rPr>
        <w:t>988</w:t>
      </w:r>
      <w:r w:rsidR="005E627E" w:rsidRPr="00CE7B86">
        <w:rPr>
          <w:rFonts w:cs="Arial"/>
          <w:iCs/>
          <w:szCs w:val="20"/>
        </w:rPr>
        <w:t xml:space="preserve"> bytů, což znamenalo meziroční růst o </w:t>
      </w:r>
      <w:r w:rsidR="00E21900">
        <w:rPr>
          <w:rFonts w:cs="Arial"/>
          <w:iCs/>
          <w:szCs w:val="20"/>
        </w:rPr>
        <w:t>56</w:t>
      </w:r>
      <w:r w:rsidR="002201A2">
        <w:rPr>
          <w:rFonts w:cs="Arial"/>
          <w:iCs/>
          <w:szCs w:val="20"/>
        </w:rPr>
        <w:t>,</w:t>
      </w:r>
      <w:r w:rsidR="00E21900">
        <w:rPr>
          <w:rFonts w:cs="Arial"/>
          <w:iCs/>
          <w:szCs w:val="20"/>
        </w:rPr>
        <w:t>1</w:t>
      </w:r>
      <w:r w:rsidR="005E627E" w:rsidRPr="00CE7B86">
        <w:rPr>
          <w:rFonts w:cs="Arial"/>
          <w:iCs/>
          <w:szCs w:val="20"/>
        </w:rPr>
        <w:t> %.</w:t>
      </w:r>
    </w:p>
    <w:p w14:paraId="13296A90" w14:textId="44FCAE2C" w:rsidR="00B957A6" w:rsidRDefault="00B957A6" w:rsidP="00D318CD">
      <w:pPr>
        <w:spacing w:before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</w:t>
      </w:r>
      <w:proofErr w:type="spellStart"/>
      <w:r w:rsidRPr="002F2C21">
        <w:rPr>
          <w:rFonts w:cs="Arial"/>
          <w:szCs w:val="20"/>
        </w:rPr>
        <w:t>Eurostatu</w:t>
      </w:r>
      <w:proofErr w:type="spellEnd"/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="00507E16" w:rsidRPr="00B443A9">
        <w:rPr>
          <w:rFonts w:cs="Arial"/>
          <w:szCs w:val="20"/>
        </w:rPr>
        <w:t>listopad</w:t>
      </w:r>
      <w:r w:rsidR="00507E16" w:rsidRPr="00B443A9">
        <w:rPr>
          <w:rFonts w:cs="Arial"/>
          <w:bCs/>
          <w:szCs w:val="20"/>
        </w:rPr>
        <w:t>u</w:t>
      </w:r>
      <w:r w:rsidR="00A80506" w:rsidRPr="002F2C21">
        <w:rPr>
          <w:rFonts w:cs="Arial"/>
          <w:bCs/>
          <w:szCs w:val="20"/>
        </w:rPr>
        <w:t xml:space="preserve"> </w:t>
      </w:r>
      <w:r w:rsidRPr="002F2C21">
        <w:rPr>
          <w:rFonts w:cs="Arial"/>
          <w:bCs/>
          <w:szCs w:val="20"/>
        </w:rPr>
        <w:t>202</w:t>
      </w:r>
      <w:r w:rsidR="001B26E0">
        <w:rPr>
          <w:rFonts w:cs="Arial"/>
          <w:bCs/>
          <w:szCs w:val="20"/>
        </w:rPr>
        <w:t>5</w:t>
      </w:r>
      <w:r w:rsidRPr="002F2C21">
        <w:rPr>
          <w:rFonts w:cs="Arial"/>
          <w:bCs/>
          <w:szCs w:val="20"/>
        </w:rPr>
        <w:t xml:space="preserve"> v EU27 </w:t>
      </w:r>
      <w:r w:rsidRPr="007951E0">
        <w:rPr>
          <w:rFonts w:cs="Arial"/>
          <w:szCs w:val="20"/>
        </w:rPr>
        <w:t xml:space="preserve">meziročně </w:t>
      </w:r>
      <w:r w:rsidR="00D96695">
        <w:rPr>
          <w:rFonts w:cs="Arial"/>
          <w:szCs w:val="20"/>
        </w:rPr>
        <w:t>klesla</w:t>
      </w:r>
      <w:r w:rsidR="005C1CDE">
        <w:rPr>
          <w:rFonts w:cs="Arial"/>
          <w:szCs w:val="20"/>
        </w:rPr>
        <w:t xml:space="preserve"> o</w:t>
      </w:r>
      <w:r w:rsidR="00AE7B71">
        <w:rPr>
          <w:rFonts w:cs="Arial"/>
          <w:szCs w:val="20"/>
        </w:rPr>
        <w:t> </w:t>
      </w:r>
      <w:r w:rsidR="00D96695">
        <w:rPr>
          <w:rFonts w:cs="Arial"/>
          <w:szCs w:val="20"/>
        </w:rPr>
        <w:t>0,4</w:t>
      </w:r>
      <w:r w:rsidR="00AE7B71">
        <w:rPr>
          <w:rFonts w:cs="Arial"/>
          <w:szCs w:val="20"/>
        </w:rPr>
        <w:t> </w:t>
      </w:r>
      <w:r w:rsidR="005C1CDE">
        <w:rPr>
          <w:rFonts w:cs="Arial"/>
          <w:szCs w:val="20"/>
        </w:rPr>
        <w:t>%</w:t>
      </w:r>
      <w:r w:rsidRPr="007951E0">
        <w:rPr>
          <w:rFonts w:cs="Arial"/>
          <w:szCs w:val="20"/>
        </w:rPr>
        <w:t>.</w:t>
      </w:r>
      <w:r w:rsidR="006865C2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507E16" w:rsidRPr="00E65DFB">
        <w:t>prosinec</w:t>
      </w:r>
      <w:r w:rsidR="00507E16" w:rsidRPr="002F2C21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>202</w:t>
      </w:r>
      <w:r w:rsidR="00C56A1B">
        <w:rPr>
          <w:rFonts w:cs="Arial"/>
          <w:szCs w:val="20"/>
        </w:rPr>
        <w:t>5</w:t>
      </w:r>
      <w:r w:rsidRPr="002F2C21">
        <w:rPr>
          <w:rFonts w:cs="Arial"/>
          <w:szCs w:val="20"/>
        </w:rPr>
        <w:t xml:space="preserve"> </w:t>
      </w:r>
      <w:proofErr w:type="spellStart"/>
      <w:r w:rsidRPr="002F2C21">
        <w:rPr>
          <w:rFonts w:cs="Arial"/>
          <w:szCs w:val="20"/>
        </w:rPr>
        <w:t>Eurostat</w:t>
      </w:r>
      <w:proofErr w:type="spellEnd"/>
      <w:r w:rsidRPr="002F2C21">
        <w:rPr>
          <w:rFonts w:cs="Arial"/>
          <w:szCs w:val="20"/>
        </w:rPr>
        <w:t xml:space="preserve"> zveřejní podle předběžného harmonogramu </w:t>
      </w:r>
      <w:r w:rsidRPr="005C1CDE">
        <w:rPr>
          <w:rFonts w:cs="Arial"/>
          <w:szCs w:val="20"/>
        </w:rPr>
        <w:t>dn</w:t>
      </w:r>
      <w:r w:rsidRPr="00AC0E39">
        <w:rPr>
          <w:rFonts w:cs="Arial"/>
          <w:szCs w:val="20"/>
        </w:rPr>
        <w:t xml:space="preserve">e </w:t>
      </w:r>
      <w:r w:rsidR="00D96695" w:rsidRPr="00D96695">
        <w:rPr>
          <w:rFonts w:cs="Arial"/>
          <w:szCs w:val="20"/>
        </w:rPr>
        <w:t>19</w:t>
      </w:r>
      <w:r w:rsidRPr="00D96695">
        <w:rPr>
          <w:rFonts w:cs="Arial"/>
          <w:szCs w:val="20"/>
        </w:rPr>
        <w:t>. </w:t>
      </w:r>
      <w:r w:rsidR="00D96695" w:rsidRPr="00D96695">
        <w:rPr>
          <w:rFonts w:cs="Arial"/>
          <w:szCs w:val="20"/>
        </w:rPr>
        <w:t>2</w:t>
      </w:r>
      <w:r w:rsidRPr="00D96695">
        <w:rPr>
          <w:rFonts w:cs="Arial"/>
          <w:szCs w:val="20"/>
        </w:rPr>
        <w:t>.</w:t>
      </w:r>
      <w:r w:rsidRPr="00AC0E39">
        <w:rPr>
          <w:rFonts w:cs="Arial"/>
          <w:szCs w:val="20"/>
        </w:rPr>
        <w:t> 202</w:t>
      </w:r>
      <w:r w:rsidR="002201A2" w:rsidRPr="00AC0E39">
        <w:rPr>
          <w:rFonts w:cs="Arial"/>
          <w:szCs w:val="20"/>
        </w:rPr>
        <w:t>6</w:t>
      </w:r>
      <w:r w:rsidRPr="00AC0E39">
        <w:rPr>
          <w:rFonts w:cs="Arial"/>
          <w:szCs w:val="20"/>
        </w:rPr>
        <w:t>.</w:t>
      </w:r>
    </w:p>
    <w:p w14:paraId="35C43DAB" w14:textId="2299E90B" w:rsidR="009672F3" w:rsidRDefault="009672F3" w:rsidP="00D318CD">
      <w:pPr>
        <w:spacing w:before="120"/>
        <w:rPr>
          <w:rFonts w:cs="Arial"/>
          <w:szCs w:val="20"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 xml:space="preserve">o vývoji ve stavebnictví </w:t>
      </w:r>
      <w:r w:rsidRPr="00DA6FE5">
        <w:rPr>
          <w:szCs w:val="20"/>
        </w:rPr>
        <w:t>naleznete v </w:t>
      </w:r>
      <w:hyperlink r:id="rId10" w:history="1">
        <w:r w:rsidRPr="005E6A19">
          <w:rPr>
            <w:rStyle w:val="Hypertextovodkaz"/>
          </w:rPr>
          <w:t>doplňující informaci k RI stavebnictví</w:t>
        </w:r>
      </w:hyperlink>
      <w:r w:rsidRPr="00DA6FE5">
        <w:t>.</w:t>
      </w:r>
    </w:p>
    <w:p w14:paraId="437BCA35" w14:textId="77777777" w:rsidR="00B957A6" w:rsidRPr="00C52044" w:rsidRDefault="00B957A6" w:rsidP="0095171B">
      <w:pPr>
        <w:pStyle w:val="Poznmky0"/>
        <w:pBdr>
          <w:top w:val="single" w:sz="4" w:space="1" w:color="auto"/>
        </w:pBdr>
        <w:spacing w:before="0" w:line="240" w:lineRule="auto"/>
      </w:pPr>
      <w:r w:rsidRPr="00C52044">
        <w:t>Poznámky:</w:t>
      </w:r>
    </w:p>
    <w:p w14:paraId="7F093362" w14:textId="77777777" w:rsidR="00B957A6" w:rsidRDefault="00B957A6" w:rsidP="006129F5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očištění o vliv počtu pracovních dnů. Meziměsíční tempa jsou očištěna také o vliv sezónnosti.</w:t>
      </w:r>
    </w:p>
    <w:p w14:paraId="1F3D8884" w14:textId="77777777" w:rsidR="00503395" w:rsidRDefault="00BB58F6" w:rsidP="006129F5">
      <w:pPr>
        <w:spacing w:line="240" w:lineRule="auto"/>
        <w:rPr>
          <w:i/>
          <w:sz w:val="18"/>
          <w:szCs w:val="18"/>
        </w:rPr>
      </w:pPr>
      <w:r w:rsidRPr="00BB58F6">
        <w:rPr>
          <w:i/>
          <w:sz w:val="18"/>
          <w:szCs w:val="18"/>
        </w:rPr>
        <w:t xml:space="preserve">Počínaje daty za leden 2026 dojde ke změně obsahu Rychlé informace. V rámci </w:t>
      </w:r>
      <w:r w:rsidR="00CE5FE1" w:rsidRPr="00CE5FE1">
        <w:rPr>
          <w:i/>
          <w:sz w:val="18"/>
          <w:szCs w:val="18"/>
        </w:rPr>
        <w:t>zlepšení vypovídací schopnosti</w:t>
      </w:r>
      <w:r w:rsidR="00CE5FE1">
        <w:rPr>
          <w:i/>
          <w:sz w:val="18"/>
          <w:szCs w:val="18"/>
        </w:rPr>
        <w:t xml:space="preserve"> ukazatelů</w:t>
      </w:r>
      <w:r w:rsidRPr="00BB58F6">
        <w:rPr>
          <w:i/>
          <w:sz w:val="18"/>
          <w:szCs w:val="18"/>
        </w:rPr>
        <w:t xml:space="preserve"> budou meziměsíční změny produkce komentovány na základě </w:t>
      </w:r>
      <w:proofErr w:type="spellStart"/>
      <w:r w:rsidRPr="00BB58F6">
        <w:rPr>
          <w:i/>
          <w:sz w:val="18"/>
          <w:szCs w:val="18"/>
        </w:rPr>
        <w:t>trendcyklu</w:t>
      </w:r>
      <w:proofErr w:type="spellEnd"/>
      <w:r w:rsidRPr="00BB58F6">
        <w:rPr>
          <w:i/>
          <w:sz w:val="18"/>
          <w:szCs w:val="18"/>
        </w:rPr>
        <w:t xml:space="preserve"> a graf meziročních změn stavební produkce bude publikován bez sezónně očištěn</w:t>
      </w:r>
      <w:r w:rsidR="00EC6E40">
        <w:rPr>
          <w:i/>
          <w:sz w:val="18"/>
          <w:szCs w:val="18"/>
        </w:rPr>
        <w:t>ých údajů</w:t>
      </w:r>
      <w:r w:rsidRPr="00BB58F6">
        <w:rPr>
          <w:i/>
          <w:sz w:val="18"/>
          <w:szCs w:val="18"/>
        </w:rPr>
        <w:t xml:space="preserve">. </w:t>
      </w:r>
      <w:r w:rsidR="00EC6E40">
        <w:rPr>
          <w:i/>
          <w:sz w:val="18"/>
          <w:szCs w:val="18"/>
        </w:rPr>
        <w:t xml:space="preserve">Změny se týkají pouze textu RI a grafické části, časové řady včetně sezónně očištěných dat zůstávají beze změny. </w:t>
      </w:r>
    </w:p>
    <w:p w14:paraId="2AF95596" w14:textId="29B1A617" w:rsidR="006129F5" w:rsidRPr="00B56191" w:rsidRDefault="006129F5" w:rsidP="006129F5">
      <w:pPr>
        <w:spacing w:line="240" w:lineRule="auto"/>
        <w:rPr>
          <w:i/>
          <w:sz w:val="18"/>
          <w:szCs w:val="18"/>
        </w:rPr>
      </w:pPr>
      <w:r w:rsidRPr="00BB58F6">
        <w:rPr>
          <w:i/>
          <w:sz w:val="18"/>
          <w:szCs w:val="18"/>
        </w:rPr>
        <w:t>Na</w:t>
      </w:r>
      <w:r w:rsidR="00EC6E40">
        <w:rPr>
          <w:i/>
          <w:sz w:val="18"/>
          <w:szCs w:val="18"/>
        </w:rPr>
        <w:t> </w:t>
      </w:r>
      <w:r w:rsidRPr="00BB58F6">
        <w:rPr>
          <w:i/>
          <w:sz w:val="18"/>
          <w:szCs w:val="18"/>
        </w:rPr>
        <w:t>základě legislativních změn týkajících se Programu statistických zjišťování</w:t>
      </w:r>
      <w:r w:rsidR="00BB58F6" w:rsidRPr="00BB58F6">
        <w:rPr>
          <w:i/>
          <w:sz w:val="18"/>
          <w:szCs w:val="18"/>
        </w:rPr>
        <w:t xml:space="preserve"> n</w:t>
      </w:r>
      <w:r w:rsidR="004B4C44" w:rsidRPr="00BB58F6">
        <w:rPr>
          <w:i/>
          <w:sz w:val="18"/>
          <w:szCs w:val="18"/>
        </w:rPr>
        <w:t>ebudou k dispozici údaje o</w:t>
      </w:r>
      <w:r w:rsidR="00EC6E40">
        <w:rPr>
          <w:i/>
          <w:sz w:val="18"/>
          <w:szCs w:val="18"/>
        </w:rPr>
        <w:t> </w:t>
      </w:r>
      <w:r w:rsidR="004B4C44" w:rsidRPr="00BB58F6">
        <w:rPr>
          <w:i/>
          <w:sz w:val="18"/>
          <w:szCs w:val="18"/>
        </w:rPr>
        <w:t>orientační hodnotě povolovaných staveb a budou nahrazeny počtem povolených záměrů. Čtvrtletní doplňující informace se rozšíří o vybrané ukazatele dokončené bytové výstavby</w:t>
      </w:r>
      <w:r w:rsidRPr="00BB58F6">
        <w:rPr>
          <w:i/>
          <w:sz w:val="18"/>
          <w:szCs w:val="18"/>
        </w:rPr>
        <w:t>.</w:t>
      </w:r>
    </w:p>
    <w:p w14:paraId="26566BAF" w14:textId="77777777" w:rsidR="00B957A6" w:rsidRDefault="00B957A6" w:rsidP="0095171B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1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14:paraId="5C6DEDD7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627B07">
        <w:rPr>
          <w:i/>
        </w:rPr>
        <w:t>Zodpovědný vedoucí pracovník:</w:t>
      </w:r>
      <w:r w:rsidRPr="00627B07">
        <w:rPr>
          <w:i/>
        </w:rPr>
        <w:tab/>
        <w:t>Ing. Radek Matějka, ředitel odboru statistiky zemědělství a lesnictví, průmyslu, stavebnictví a energetiky, tel.: 736168543, e</w:t>
      </w:r>
      <w:r w:rsidRPr="00627B07">
        <w:rPr>
          <w:i/>
        </w:rPr>
        <w:noBreakHyphen/>
        <w:t>mail: </w:t>
      </w:r>
      <w:hyperlink r:id="rId12" w:history="1">
        <w:r w:rsidR="00E57983" w:rsidRPr="005D08F8">
          <w:rPr>
            <w:rStyle w:val="Hypertextovodkaz"/>
            <w:rFonts w:cs="Arial"/>
            <w:i/>
          </w:rPr>
          <w:t>radek.matejka@csu.gov.cz</w:t>
        </w:r>
      </w:hyperlink>
      <w:r w:rsidRPr="00627B07">
        <w:rPr>
          <w:rStyle w:val="Hypertextovodkaz"/>
          <w:rFonts w:cs="Arial"/>
          <w:i/>
          <w:color w:val="auto"/>
        </w:rPr>
        <w:t xml:space="preserve"> </w:t>
      </w:r>
      <w:r w:rsidRPr="00627B07">
        <w:rPr>
          <w:i/>
        </w:rPr>
        <w:t xml:space="preserve"> </w:t>
      </w:r>
    </w:p>
    <w:p w14:paraId="004A4613" w14:textId="77777777" w:rsidR="00FD15BB" w:rsidRPr="00627B07" w:rsidRDefault="00B957A6" w:rsidP="00FD15B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</w:r>
      <w:r w:rsidR="00FD15BB" w:rsidRPr="00627B07">
        <w:rPr>
          <w:i/>
        </w:rPr>
        <w:t xml:space="preserve">Ing. Petra Cuřínová, vedoucí oddělení statistiky stavebnictví a bytové výstavby, tel.: 737280494, e-mail: </w:t>
      </w:r>
      <w:hyperlink r:id="rId13" w:history="1">
        <w:r w:rsidR="00FD15BB" w:rsidRPr="005D08F8">
          <w:rPr>
            <w:rStyle w:val="Hypertextovodkaz"/>
            <w:rFonts w:cs="Arial"/>
            <w:i/>
          </w:rPr>
          <w:t>petra.curinova@csu.gov.cz</w:t>
        </w:r>
      </w:hyperlink>
      <w:r w:rsidR="00FD15BB">
        <w:rPr>
          <w:rFonts w:ascii="ArialMT" w:hAnsi="ArialMT"/>
          <w:i/>
        </w:rPr>
        <w:t xml:space="preserve"> </w:t>
      </w:r>
      <w:r w:rsidR="00FD15BB" w:rsidRPr="00627B07">
        <w:rPr>
          <w:rFonts w:ascii="ArialMT" w:hAnsi="ArialMT"/>
          <w:i/>
        </w:rPr>
        <w:t xml:space="preserve"> </w:t>
      </w:r>
    </w:p>
    <w:p w14:paraId="3C6EE8C5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Metoda získání dat:</w:t>
      </w:r>
      <w:r w:rsidRPr="00627B07">
        <w:rPr>
          <w:i/>
        </w:rPr>
        <w:tab/>
        <w:t>p</w:t>
      </w:r>
      <w:r w:rsidR="00A93BB5">
        <w:rPr>
          <w:i/>
        </w:rPr>
        <w:t xml:space="preserve">římá zjišťování ČSÚ Stav 1-12, </w:t>
      </w:r>
      <w:r w:rsidRPr="00627B07">
        <w:rPr>
          <w:i/>
        </w:rPr>
        <w:t>Stav 2-12</w:t>
      </w:r>
      <w:r w:rsidR="00A93BB5">
        <w:rPr>
          <w:i/>
        </w:rPr>
        <w:t xml:space="preserve"> a </w:t>
      </w:r>
      <w:r w:rsidR="00D97CEE">
        <w:rPr>
          <w:i/>
        </w:rPr>
        <w:t xml:space="preserve">registr </w:t>
      </w:r>
      <w:r w:rsidR="00A93BB5">
        <w:rPr>
          <w:i/>
        </w:rPr>
        <w:t>RÚIAN</w:t>
      </w:r>
    </w:p>
    <w:p w14:paraId="05E4AB4F" w14:textId="084C1828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ukončení sběru dat:</w:t>
      </w:r>
      <w:r w:rsidRPr="00627B07">
        <w:rPr>
          <w:i/>
        </w:rPr>
        <w:tab/>
      </w:r>
      <w:r w:rsidR="00351FDF">
        <w:rPr>
          <w:i/>
        </w:rPr>
        <w:t>2</w:t>
      </w:r>
      <w:r w:rsidRPr="00627B07">
        <w:rPr>
          <w:i/>
        </w:rPr>
        <w:t xml:space="preserve">. </w:t>
      </w:r>
      <w:r w:rsidR="00507E16">
        <w:rPr>
          <w:i/>
        </w:rPr>
        <w:t>2</w:t>
      </w:r>
      <w:r w:rsidRPr="00627B07">
        <w:rPr>
          <w:i/>
        </w:rPr>
        <w:t>. 202</w:t>
      </w:r>
      <w:r w:rsidR="00494583">
        <w:rPr>
          <w:i/>
        </w:rPr>
        <w:t>6</w:t>
      </w:r>
    </w:p>
    <w:p w14:paraId="308C9A1E" w14:textId="77777777" w:rsidR="00E57983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4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14:paraId="1D012F04" w14:textId="77777777" w:rsidR="00B957A6" w:rsidRPr="00627B07" w:rsidRDefault="00E57983" w:rsidP="0095171B">
      <w:pPr>
        <w:pStyle w:val="Poznmky"/>
        <w:pBdr>
          <w:top w:val="none" w:sz="0" w:space="0" w:color="auto"/>
        </w:pBdr>
        <w:spacing w:before="0" w:line="240" w:lineRule="auto"/>
        <w:ind w:left="2694"/>
        <w:jc w:val="both"/>
        <w:rPr>
          <w:i/>
        </w:rPr>
      </w:pPr>
      <w:hyperlink r:id="rId15" w:history="1">
        <w:r w:rsidRPr="005D08F8">
          <w:rPr>
            <w:rStyle w:val="Hypertextovodkaz"/>
            <w:i/>
          </w:rPr>
          <w:t>https://csu.gov.cz/produkty/bvz_cr</w:t>
        </w:r>
      </w:hyperlink>
      <w:r>
        <w:rPr>
          <w:i/>
        </w:rPr>
        <w:t xml:space="preserve"> </w:t>
      </w:r>
    </w:p>
    <w:p w14:paraId="5175762F" w14:textId="77777777" w:rsidR="00B957A6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i/>
        </w:rPr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6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14:paraId="2243B8BA" w14:textId="1B0BBB3A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zveřejnění další RI:</w:t>
      </w:r>
      <w:r w:rsidRPr="00627B07">
        <w:rPr>
          <w:i/>
        </w:rPr>
        <w:tab/>
      </w:r>
      <w:r w:rsidR="00507E16">
        <w:rPr>
          <w:i/>
        </w:rPr>
        <w:t>12</w:t>
      </w:r>
      <w:r w:rsidRPr="00627B07">
        <w:rPr>
          <w:i/>
        </w:rPr>
        <w:t xml:space="preserve">. </w:t>
      </w:r>
      <w:r w:rsidR="00507E16">
        <w:rPr>
          <w:i/>
        </w:rPr>
        <w:t>3</w:t>
      </w:r>
      <w:r w:rsidRPr="00627B07">
        <w:rPr>
          <w:i/>
        </w:rPr>
        <w:t>. 202</w:t>
      </w:r>
      <w:r w:rsidR="00156E79">
        <w:rPr>
          <w:i/>
        </w:rPr>
        <w:t>6</w:t>
      </w:r>
    </w:p>
    <w:p w14:paraId="0AA10A1C" w14:textId="77777777" w:rsidR="00E06C6D" w:rsidRDefault="00E06C6D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</w:p>
    <w:p w14:paraId="2D1D1779" w14:textId="51537AF6" w:rsidR="00B957A6" w:rsidRDefault="00B957A6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lastRenderedPageBreak/>
        <w:t>Přílohy:</w:t>
      </w:r>
    </w:p>
    <w:p w14:paraId="414CCD98" w14:textId="3A7811F7" w:rsidR="00507E16" w:rsidRDefault="00507E16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sz w:val="20"/>
          <w:szCs w:val="20"/>
        </w:rPr>
        <w:t>Doplňující informac</w:t>
      </w:r>
      <w:r>
        <w:rPr>
          <w:i w:val="0"/>
          <w:sz w:val="20"/>
          <w:szCs w:val="20"/>
        </w:rPr>
        <w:t>e</w:t>
      </w:r>
      <w:r w:rsidRPr="004006FE">
        <w:rPr>
          <w:i w:val="0"/>
          <w:sz w:val="20"/>
          <w:szCs w:val="20"/>
        </w:rPr>
        <w:t xml:space="preserve"> k RI stavebnictví</w:t>
      </w:r>
    </w:p>
    <w:p w14:paraId="19E02B8E" w14:textId="77777777" w:rsidR="00B957A6" w:rsidRDefault="00B957A6" w:rsidP="0095171B">
      <w:pPr>
        <w:pStyle w:val="Zkladntext3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w14:paraId="00E38B33" w14:textId="77777777" w:rsidR="00507E16" w:rsidRDefault="00507E16" w:rsidP="00507E16">
      <w:pPr>
        <w:pStyle w:val="Zkladntext3"/>
        <w:rPr>
          <w:lang w:eastAsia="en-US"/>
        </w:rPr>
      </w:pPr>
      <w:r>
        <w:rPr>
          <w:rFonts w:eastAsia="Calibri"/>
          <w:lang w:eastAsia="en-US"/>
        </w:rPr>
        <w:t>Tab. 2 Index stavební produkce, stavební zakázky, stavební povolení a bytová výstavba (</w:t>
      </w:r>
      <w:r w:rsidRPr="00D91FAA">
        <w:rPr>
          <w:lang w:eastAsia="en-US"/>
        </w:rPr>
        <w:t>meziroční indexy</w:t>
      </w:r>
      <w:r>
        <w:rPr>
          <w:rFonts w:eastAsia="Calibri"/>
          <w:lang w:eastAsia="en-US"/>
        </w:rPr>
        <w:t>, čtvrtletí)</w:t>
      </w:r>
    </w:p>
    <w:p w14:paraId="6A66B2BA" w14:textId="11C9EB97" w:rsidR="00507E16" w:rsidRDefault="00507E16" w:rsidP="0095171B">
      <w:pPr>
        <w:pStyle w:val="Zkladntext3"/>
        <w:rPr>
          <w:lang w:eastAsia="en-US"/>
        </w:rPr>
      </w:pPr>
      <w:r>
        <w:rPr>
          <w:iCs/>
        </w:rPr>
        <w:t>Tab. 3 Index stavební produkce, stavební zakázky, stavební povolení a bytová výstavba (meziroční indexy, rok)</w:t>
      </w:r>
    </w:p>
    <w:p w14:paraId="6B5B1C17" w14:textId="77777777" w:rsidR="00B957A6" w:rsidRPr="004006FE" w:rsidRDefault="00B957A6" w:rsidP="00A80506">
      <w:pPr>
        <w:pStyle w:val="Zkladntext3"/>
      </w:pPr>
      <w:r w:rsidRPr="004006FE">
        <w:t>Graf 1 Index stavební produkce (meziroční indexy)</w:t>
      </w:r>
    </w:p>
    <w:p w14:paraId="21518310" w14:textId="77777777" w:rsidR="00B957A6" w:rsidRPr="004006FE" w:rsidRDefault="00B957A6" w:rsidP="0095171B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w14:paraId="4F1DB515" w14:textId="77777777" w:rsidR="00D209A7" w:rsidRPr="00B957A6" w:rsidRDefault="00B957A6" w:rsidP="0095171B">
      <w:pPr>
        <w:spacing w:line="240" w:lineRule="auto"/>
      </w:pPr>
      <w:r w:rsidRPr="004006FE">
        <w:rPr>
          <w:szCs w:val="20"/>
        </w:rPr>
        <w:t>Graf 3 Index stavební produkce – mezinárodní porovnání (bazické indexy)</w:t>
      </w:r>
    </w:p>
    <w:sectPr w:rsidR="00D209A7" w:rsidRPr="00B957A6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7365" w14:textId="77777777" w:rsidR="006A0FBC" w:rsidRDefault="006A0FBC" w:rsidP="00BA6370">
      <w:r>
        <w:separator/>
      </w:r>
    </w:p>
  </w:endnote>
  <w:endnote w:type="continuationSeparator" w:id="0">
    <w:p w14:paraId="25C5C277" w14:textId="77777777" w:rsidR="006A0FBC" w:rsidRDefault="006A0FB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52F2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68B96A" wp14:editId="269DD553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E4E81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4068381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57FAB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8B9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2AE4E81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4068381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57FAB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00DA560" wp14:editId="768E0DA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AA4E" w14:textId="77777777" w:rsidR="006A0FBC" w:rsidRDefault="006A0FBC" w:rsidP="00BA6370">
      <w:r>
        <w:separator/>
      </w:r>
    </w:p>
  </w:footnote>
  <w:footnote w:type="continuationSeparator" w:id="0">
    <w:p w14:paraId="53544A14" w14:textId="77777777" w:rsidR="006A0FBC" w:rsidRDefault="006A0FB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C651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E64C2AE" wp14:editId="7A8D865E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9A"/>
    <w:rsid w:val="00000202"/>
    <w:rsid w:val="0000189B"/>
    <w:rsid w:val="00005858"/>
    <w:rsid w:val="000104C2"/>
    <w:rsid w:val="00021430"/>
    <w:rsid w:val="0002248E"/>
    <w:rsid w:val="000245A0"/>
    <w:rsid w:val="00025CC7"/>
    <w:rsid w:val="00025CF6"/>
    <w:rsid w:val="00032213"/>
    <w:rsid w:val="000365C1"/>
    <w:rsid w:val="00042771"/>
    <w:rsid w:val="00043BF4"/>
    <w:rsid w:val="000532B0"/>
    <w:rsid w:val="0005348D"/>
    <w:rsid w:val="0005523D"/>
    <w:rsid w:val="0006266B"/>
    <w:rsid w:val="000634B1"/>
    <w:rsid w:val="00063562"/>
    <w:rsid w:val="0006626D"/>
    <w:rsid w:val="00066F37"/>
    <w:rsid w:val="00072422"/>
    <w:rsid w:val="00073569"/>
    <w:rsid w:val="00077869"/>
    <w:rsid w:val="000822D9"/>
    <w:rsid w:val="000843A5"/>
    <w:rsid w:val="0008501C"/>
    <w:rsid w:val="00085AA8"/>
    <w:rsid w:val="00086943"/>
    <w:rsid w:val="00086EAE"/>
    <w:rsid w:val="000910DA"/>
    <w:rsid w:val="00096D6C"/>
    <w:rsid w:val="000A04A1"/>
    <w:rsid w:val="000A3F7A"/>
    <w:rsid w:val="000A492C"/>
    <w:rsid w:val="000B6F63"/>
    <w:rsid w:val="000C031A"/>
    <w:rsid w:val="000C0AAD"/>
    <w:rsid w:val="000C5520"/>
    <w:rsid w:val="000C5D69"/>
    <w:rsid w:val="000C7090"/>
    <w:rsid w:val="000D093F"/>
    <w:rsid w:val="000D3B0B"/>
    <w:rsid w:val="000D408F"/>
    <w:rsid w:val="000E3735"/>
    <w:rsid w:val="000E37B1"/>
    <w:rsid w:val="000E43CC"/>
    <w:rsid w:val="000F175A"/>
    <w:rsid w:val="000F28D0"/>
    <w:rsid w:val="000F4A62"/>
    <w:rsid w:val="00106985"/>
    <w:rsid w:val="00111493"/>
    <w:rsid w:val="00121376"/>
    <w:rsid w:val="00131310"/>
    <w:rsid w:val="00136105"/>
    <w:rsid w:val="001404AB"/>
    <w:rsid w:val="001511B3"/>
    <w:rsid w:val="0015493B"/>
    <w:rsid w:val="00156E79"/>
    <w:rsid w:val="00165F80"/>
    <w:rsid w:val="00171A43"/>
    <w:rsid w:val="0017231D"/>
    <w:rsid w:val="00172CA5"/>
    <w:rsid w:val="00173189"/>
    <w:rsid w:val="00173F2A"/>
    <w:rsid w:val="001810DC"/>
    <w:rsid w:val="001A0271"/>
    <w:rsid w:val="001A5A9A"/>
    <w:rsid w:val="001B26E0"/>
    <w:rsid w:val="001B52F5"/>
    <w:rsid w:val="001B607F"/>
    <w:rsid w:val="001C0260"/>
    <w:rsid w:val="001C088F"/>
    <w:rsid w:val="001C2082"/>
    <w:rsid w:val="001C2109"/>
    <w:rsid w:val="001C415F"/>
    <w:rsid w:val="001D21FE"/>
    <w:rsid w:val="001D369A"/>
    <w:rsid w:val="001D6AAC"/>
    <w:rsid w:val="001E34C0"/>
    <w:rsid w:val="001E7AB8"/>
    <w:rsid w:val="001F08B3"/>
    <w:rsid w:val="001F2FE0"/>
    <w:rsid w:val="001F5CBB"/>
    <w:rsid w:val="00200854"/>
    <w:rsid w:val="002027CF"/>
    <w:rsid w:val="00205D34"/>
    <w:rsid w:val="00206A6D"/>
    <w:rsid w:val="002070FB"/>
    <w:rsid w:val="00213729"/>
    <w:rsid w:val="002201A2"/>
    <w:rsid w:val="00222692"/>
    <w:rsid w:val="00223B68"/>
    <w:rsid w:val="00232298"/>
    <w:rsid w:val="00240299"/>
    <w:rsid w:val="002406FA"/>
    <w:rsid w:val="0024268B"/>
    <w:rsid w:val="0024519D"/>
    <w:rsid w:val="002503C3"/>
    <w:rsid w:val="00256F7F"/>
    <w:rsid w:val="0026107B"/>
    <w:rsid w:val="00264700"/>
    <w:rsid w:val="0027381F"/>
    <w:rsid w:val="00275DF8"/>
    <w:rsid w:val="0027756E"/>
    <w:rsid w:val="00283F21"/>
    <w:rsid w:val="00287228"/>
    <w:rsid w:val="002874EB"/>
    <w:rsid w:val="00294B38"/>
    <w:rsid w:val="00295BDA"/>
    <w:rsid w:val="00297B03"/>
    <w:rsid w:val="002B0E6E"/>
    <w:rsid w:val="002B2E47"/>
    <w:rsid w:val="002C77AA"/>
    <w:rsid w:val="002D57E5"/>
    <w:rsid w:val="002D60C2"/>
    <w:rsid w:val="002D779E"/>
    <w:rsid w:val="002D7F4F"/>
    <w:rsid w:val="002E09CB"/>
    <w:rsid w:val="002E410E"/>
    <w:rsid w:val="002E55F8"/>
    <w:rsid w:val="003016CE"/>
    <w:rsid w:val="003118DE"/>
    <w:rsid w:val="003123FE"/>
    <w:rsid w:val="00316415"/>
    <w:rsid w:val="00321780"/>
    <w:rsid w:val="003235B6"/>
    <w:rsid w:val="003301A3"/>
    <w:rsid w:val="00333E0F"/>
    <w:rsid w:val="00340E14"/>
    <w:rsid w:val="00341FD4"/>
    <w:rsid w:val="00350239"/>
    <w:rsid w:val="0035029A"/>
    <w:rsid w:val="00351FDF"/>
    <w:rsid w:val="00361FA6"/>
    <w:rsid w:val="003639D1"/>
    <w:rsid w:val="00366139"/>
    <w:rsid w:val="0036777B"/>
    <w:rsid w:val="00370754"/>
    <w:rsid w:val="0037613F"/>
    <w:rsid w:val="00380D3F"/>
    <w:rsid w:val="0038282A"/>
    <w:rsid w:val="00387000"/>
    <w:rsid w:val="00387FB5"/>
    <w:rsid w:val="00391580"/>
    <w:rsid w:val="00392000"/>
    <w:rsid w:val="00393FDD"/>
    <w:rsid w:val="00396D58"/>
    <w:rsid w:val="00397580"/>
    <w:rsid w:val="003A25AE"/>
    <w:rsid w:val="003A3768"/>
    <w:rsid w:val="003A45C8"/>
    <w:rsid w:val="003A7054"/>
    <w:rsid w:val="003B7910"/>
    <w:rsid w:val="003C2DCF"/>
    <w:rsid w:val="003C4F7B"/>
    <w:rsid w:val="003C7FE7"/>
    <w:rsid w:val="003D0499"/>
    <w:rsid w:val="003D1D29"/>
    <w:rsid w:val="003D2092"/>
    <w:rsid w:val="003D3576"/>
    <w:rsid w:val="003D7100"/>
    <w:rsid w:val="003E156B"/>
    <w:rsid w:val="003E1E6A"/>
    <w:rsid w:val="003E5278"/>
    <w:rsid w:val="003E6592"/>
    <w:rsid w:val="003E72F3"/>
    <w:rsid w:val="003F3291"/>
    <w:rsid w:val="003F47B1"/>
    <w:rsid w:val="003F526A"/>
    <w:rsid w:val="003F5DAA"/>
    <w:rsid w:val="003F7967"/>
    <w:rsid w:val="00405244"/>
    <w:rsid w:val="00412AF8"/>
    <w:rsid w:val="0041472D"/>
    <w:rsid w:val="004154C7"/>
    <w:rsid w:val="004155A2"/>
    <w:rsid w:val="004158C9"/>
    <w:rsid w:val="00415DBF"/>
    <w:rsid w:val="0041756C"/>
    <w:rsid w:val="00426258"/>
    <w:rsid w:val="00431F45"/>
    <w:rsid w:val="00432021"/>
    <w:rsid w:val="00432022"/>
    <w:rsid w:val="0043437B"/>
    <w:rsid w:val="004358D9"/>
    <w:rsid w:val="0043689E"/>
    <w:rsid w:val="00436EEB"/>
    <w:rsid w:val="00441A12"/>
    <w:rsid w:val="0044330B"/>
    <w:rsid w:val="004436EE"/>
    <w:rsid w:val="00451B7A"/>
    <w:rsid w:val="0045547F"/>
    <w:rsid w:val="0046250E"/>
    <w:rsid w:val="00464A63"/>
    <w:rsid w:val="0046707E"/>
    <w:rsid w:val="00471DEF"/>
    <w:rsid w:val="00472310"/>
    <w:rsid w:val="00474FC1"/>
    <w:rsid w:val="004822A8"/>
    <w:rsid w:val="004920AD"/>
    <w:rsid w:val="004943A2"/>
    <w:rsid w:val="00494583"/>
    <w:rsid w:val="0049487B"/>
    <w:rsid w:val="0049528A"/>
    <w:rsid w:val="00496E70"/>
    <w:rsid w:val="004A38CF"/>
    <w:rsid w:val="004A62FC"/>
    <w:rsid w:val="004B3DED"/>
    <w:rsid w:val="004B4C44"/>
    <w:rsid w:val="004C212B"/>
    <w:rsid w:val="004C2573"/>
    <w:rsid w:val="004D05B3"/>
    <w:rsid w:val="004D3062"/>
    <w:rsid w:val="004E2037"/>
    <w:rsid w:val="004E479E"/>
    <w:rsid w:val="004E5026"/>
    <w:rsid w:val="004E78FA"/>
    <w:rsid w:val="004F686C"/>
    <w:rsid w:val="004F78E6"/>
    <w:rsid w:val="00501AE2"/>
    <w:rsid w:val="00501B1D"/>
    <w:rsid w:val="00503395"/>
    <w:rsid w:val="0050420E"/>
    <w:rsid w:val="00507C1B"/>
    <w:rsid w:val="00507E16"/>
    <w:rsid w:val="00512D99"/>
    <w:rsid w:val="0051509D"/>
    <w:rsid w:val="005164FF"/>
    <w:rsid w:val="00520CB9"/>
    <w:rsid w:val="00521696"/>
    <w:rsid w:val="005247B3"/>
    <w:rsid w:val="00525EFE"/>
    <w:rsid w:val="00531DBB"/>
    <w:rsid w:val="00532A0A"/>
    <w:rsid w:val="00550303"/>
    <w:rsid w:val="00550CA3"/>
    <w:rsid w:val="0055101E"/>
    <w:rsid w:val="00573994"/>
    <w:rsid w:val="005849D0"/>
    <w:rsid w:val="005851B4"/>
    <w:rsid w:val="005A30C5"/>
    <w:rsid w:val="005A41E9"/>
    <w:rsid w:val="005A7685"/>
    <w:rsid w:val="005B088B"/>
    <w:rsid w:val="005B22EA"/>
    <w:rsid w:val="005C1CDE"/>
    <w:rsid w:val="005C2224"/>
    <w:rsid w:val="005C3055"/>
    <w:rsid w:val="005C7F70"/>
    <w:rsid w:val="005D2B21"/>
    <w:rsid w:val="005D4038"/>
    <w:rsid w:val="005D5EBB"/>
    <w:rsid w:val="005D7704"/>
    <w:rsid w:val="005E627E"/>
    <w:rsid w:val="005E6A19"/>
    <w:rsid w:val="005F0EAF"/>
    <w:rsid w:val="005F46DC"/>
    <w:rsid w:val="005F47DB"/>
    <w:rsid w:val="005F79FB"/>
    <w:rsid w:val="00604406"/>
    <w:rsid w:val="00605F4A"/>
    <w:rsid w:val="00607822"/>
    <w:rsid w:val="006103AA"/>
    <w:rsid w:val="00610688"/>
    <w:rsid w:val="006129F5"/>
    <w:rsid w:val="00613BBF"/>
    <w:rsid w:val="00621825"/>
    <w:rsid w:val="00622B80"/>
    <w:rsid w:val="00622C1C"/>
    <w:rsid w:val="006254F3"/>
    <w:rsid w:val="00631459"/>
    <w:rsid w:val="00635062"/>
    <w:rsid w:val="0064139A"/>
    <w:rsid w:val="00642478"/>
    <w:rsid w:val="006544EC"/>
    <w:rsid w:val="00663502"/>
    <w:rsid w:val="0066387F"/>
    <w:rsid w:val="00664CC5"/>
    <w:rsid w:val="00674DBC"/>
    <w:rsid w:val="00674DDA"/>
    <w:rsid w:val="006764ED"/>
    <w:rsid w:val="00682184"/>
    <w:rsid w:val="0068455B"/>
    <w:rsid w:val="006865C2"/>
    <w:rsid w:val="00687256"/>
    <w:rsid w:val="00692211"/>
    <w:rsid w:val="006931CF"/>
    <w:rsid w:val="006952A9"/>
    <w:rsid w:val="006A0FBC"/>
    <w:rsid w:val="006B00EA"/>
    <w:rsid w:val="006B3F97"/>
    <w:rsid w:val="006B638B"/>
    <w:rsid w:val="006C13A8"/>
    <w:rsid w:val="006C3457"/>
    <w:rsid w:val="006C41D7"/>
    <w:rsid w:val="006C5BE9"/>
    <w:rsid w:val="006C746D"/>
    <w:rsid w:val="006D21EB"/>
    <w:rsid w:val="006D32E2"/>
    <w:rsid w:val="006D3951"/>
    <w:rsid w:val="006D6610"/>
    <w:rsid w:val="006E024F"/>
    <w:rsid w:val="006E2B8A"/>
    <w:rsid w:val="006E423E"/>
    <w:rsid w:val="006E4E81"/>
    <w:rsid w:val="006E6EB9"/>
    <w:rsid w:val="006E6F67"/>
    <w:rsid w:val="0070419E"/>
    <w:rsid w:val="00705946"/>
    <w:rsid w:val="00707F7D"/>
    <w:rsid w:val="007131D1"/>
    <w:rsid w:val="00717EC5"/>
    <w:rsid w:val="00724AC5"/>
    <w:rsid w:val="00725F3D"/>
    <w:rsid w:val="00727C3F"/>
    <w:rsid w:val="00730524"/>
    <w:rsid w:val="0073081B"/>
    <w:rsid w:val="00732472"/>
    <w:rsid w:val="0073399E"/>
    <w:rsid w:val="007357BF"/>
    <w:rsid w:val="00740B79"/>
    <w:rsid w:val="0074210B"/>
    <w:rsid w:val="00746D0E"/>
    <w:rsid w:val="007502E7"/>
    <w:rsid w:val="00754C20"/>
    <w:rsid w:val="007673D5"/>
    <w:rsid w:val="007679F5"/>
    <w:rsid w:val="00773845"/>
    <w:rsid w:val="0077553C"/>
    <w:rsid w:val="00782E4F"/>
    <w:rsid w:val="007835F8"/>
    <w:rsid w:val="007853BD"/>
    <w:rsid w:val="00787F33"/>
    <w:rsid w:val="00791D05"/>
    <w:rsid w:val="00794EB8"/>
    <w:rsid w:val="007951E0"/>
    <w:rsid w:val="007979EA"/>
    <w:rsid w:val="007A2048"/>
    <w:rsid w:val="007A42AA"/>
    <w:rsid w:val="007A4BD7"/>
    <w:rsid w:val="007A57F2"/>
    <w:rsid w:val="007B1333"/>
    <w:rsid w:val="007B35AB"/>
    <w:rsid w:val="007B38F0"/>
    <w:rsid w:val="007B613C"/>
    <w:rsid w:val="007C1974"/>
    <w:rsid w:val="007C5F1A"/>
    <w:rsid w:val="007C69BF"/>
    <w:rsid w:val="007D05A6"/>
    <w:rsid w:val="007D1094"/>
    <w:rsid w:val="007D4E6D"/>
    <w:rsid w:val="007D6750"/>
    <w:rsid w:val="007D791F"/>
    <w:rsid w:val="007E318F"/>
    <w:rsid w:val="007E407C"/>
    <w:rsid w:val="007F4AEB"/>
    <w:rsid w:val="007F5A05"/>
    <w:rsid w:val="007F75B2"/>
    <w:rsid w:val="00800316"/>
    <w:rsid w:val="00803993"/>
    <w:rsid w:val="008043C4"/>
    <w:rsid w:val="008128E1"/>
    <w:rsid w:val="008137E0"/>
    <w:rsid w:val="008177D2"/>
    <w:rsid w:val="0082059B"/>
    <w:rsid w:val="008212F3"/>
    <w:rsid w:val="00830932"/>
    <w:rsid w:val="00831B1B"/>
    <w:rsid w:val="00832C86"/>
    <w:rsid w:val="008343B9"/>
    <w:rsid w:val="0083494A"/>
    <w:rsid w:val="00835986"/>
    <w:rsid w:val="00850A4B"/>
    <w:rsid w:val="0085464A"/>
    <w:rsid w:val="00854F48"/>
    <w:rsid w:val="00855D2C"/>
    <w:rsid w:val="00855FB3"/>
    <w:rsid w:val="008574EA"/>
    <w:rsid w:val="00860C14"/>
    <w:rsid w:val="00861D0E"/>
    <w:rsid w:val="008662BB"/>
    <w:rsid w:val="00867569"/>
    <w:rsid w:val="008711A2"/>
    <w:rsid w:val="00896D71"/>
    <w:rsid w:val="008A6CD9"/>
    <w:rsid w:val="008A7122"/>
    <w:rsid w:val="008A750A"/>
    <w:rsid w:val="008B3970"/>
    <w:rsid w:val="008B74D4"/>
    <w:rsid w:val="008C068C"/>
    <w:rsid w:val="008C384C"/>
    <w:rsid w:val="008C481E"/>
    <w:rsid w:val="008C7ACD"/>
    <w:rsid w:val="008D0F11"/>
    <w:rsid w:val="008D269B"/>
    <w:rsid w:val="008D468C"/>
    <w:rsid w:val="008D540D"/>
    <w:rsid w:val="008D7E64"/>
    <w:rsid w:val="008F73B4"/>
    <w:rsid w:val="00912082"/>
    <w:rsid w:val="00913E72"/>
    <w:rsid w:val="009378D1"/>
    <w:rsid w:val="00944426"/>
    <w:rsid w:val="0095171B"/>
    <w:rsid w:val="00961E2F"/>
    <w:rsid w:val="009651CE"/>
    <w:rsid w:val="009672F3"/>
    <w:rsid w:val="0096755B"/>
    <w:rsid w:val="0097608A"/>
    <w:rsid w:val="0097627D"/>
    <w:rsid w:val="0098074E"/>
    <w:rsid w:val="00980CAB"/>
    <w:rsid w:val="009826D9"/>
    <w:rsid w:val="009847E8"/>
    <w:rsid w:val="009857A0"/>
    <w:rsid w:val="00986DD7"/>
    <w:rsid w:val="009A7E3F"/>
    <w:rsid w:val="009B1D90"/>
    <w:rsid w:val="009B205A"/>
    <w:rsid w:val="009B55B1"/>
    <w:rsid w:val="009B62A7"/>
    <w:rsid w:val="009B6374"/>
    <w:rsid w:val="009C212F"/>
    <w:rsid w:val="009C40A4"/>
    <w:rsid w:val="009C4AF5"/>
    <w:rsid w:val="009D0DC1"/>
    <w:rsid w:val="009E11B0"/>
    <w:rsid w:val="009F09E5"/>
    <w:rsid w:val="009F5513"/>
    <w:rsid w:val="009F7374"/>
    <w:rsid w:val="00A00324"/>
    <w:rsid w:val="00A02571"/>
    <w:rsid w:val="00A0275F"/>
    <w:rsid w:val="00A0762A"/>
    <w:rsid w:val="00A1095E"/>
    <w:rsid w:val="00A13E58"/>
    <w:rsid w:val="00A1548A"/>
    <w:rsid w:val="00A2122F"/>
    <w:rsid w:val="00A23FBF"/>
    <w:rsid w:val="00A261EC"/>
    <w:rsid w:val="00A32B2A"/>
    <w:rsid w:val="00A3548E"/>
    <w:rsid w:val="00A43038"/>
    <w:rsid w:val="00A4343D"/>
    <w:rsid w:val="00A44E29"/>
    <w:rsid w:val="00A46A60"/>
    <w:rsid w:val="00A502F1"/>
    <w:rsid w:val="00A50792"/>
    <w:rsid w:val="00A53308"/>
    <w:rsid w:val="00A546FB"/>
    <w:rsid w:val="00A63DAF"/>
    <w:rsid w:val="00A64E4A"/>
    <w:rsid w:val="00A66C39"/>
    <w:rsid w:val="00A67D4D"/>
    <w:rsid w:val="00A70A83"/>
    <w:rsid w:val="00A73FAE"/>
    <w:rsid w:val="00A74479"/>
    <w:rsid w:val="00A76CDA"/>
    <w:rsid w:val="00A76E5B"/>
    <w:rsid w:val="00A80506"/>
    <w:rsid w:val="00A806DB"/>
    <w:rsid w:val="00A80EBF"/>
    <w:rsid w:val="00A8139C"/>
    <w:rsid w:val="00A81EB3"/>
    <w:rsid w:val="00A87355"/>
    <w:rsid w:val="00A920D8"/>
    <w:rsid w:val="00A9298D"/>
    <w:rsid w:val="00A9340F"/>
    <w:rsid w:val="00A93BB5"/>
    <w:rsid w:val="00A94026"/>
    <w:rsid w:val="00A950A0"/>
    <w:rsid w:val="00A955BC"/>
    <w:rsid w:val="00A97699"/>
    <w:rsid w:val="00AA06B5"/>
    <w:rsid w:val="00AA5017"/>
    <w:rsid w:val="00AA51D4"/>
    <w:rsid w:val="00AA605C"/>
    <w:rsid w:val="00AB0E24"/>
    <w:rsid w:val="00AB3410"/>
    <w:rsid w:val="00AB473B"/>
    <w:rsid w:val="00AB524B"/>
    <w:rsid w:val="00AB5D74"/>
    <w:rsid w:val="00AC04BA"/>
    <w:rsid w:val="00AC0CB1"/>
    <w:rsid w:val="00AC0E39"/>
    <w:rsid w:val="00AC23E7"/>
    <w:rsid w:val="00AC79CE"/>
    <w:rsid w:val="00AD16C2"/>
    <w:rsid w:val="00AD6286"/>
    <w:rsid w:val="00AE32FF"/>
    <w:rsid w:val="00AE3FA8"/>
    <w:rsid w:val="00AE613C"/>
    <w:rsid w:val="00AE7B71"/>
    <w:rsid w:val="00AF0101"/>
    <w:rsid w:val="00AF1741"/>
    <w:rsid w:val="00AF5C67"/>
    <w:rsid w:val="00AF6280"/>
    <w:rsid w:val="00B00C1D"/>
    <w:rsid w:val="00B01166"/>
    <w:rsid w:val="00B011B3"/>
    <w:rsid w:val="00B2210E"/>
    <w:rsid w:val="00B25D02"/>
    <w:rsid w:val="00B3306C"/>
    <w:rsid w:val="00B35DAC"/>
    <w:rsid w:val="00B44D7F"/>
    <w:rsid w:val="00B46096"/>
    <w:rsid w:val="00B51927"/>
    <w:rsid w:val="00B53285"/>
    <w:rsid w:val="00B5497F"/>
    <w:rsid w:val="00B55375"/>
    <w:rsid w:val="00B56191"/>
    <w:rsid w:val="00B62B41"/>
    <w:rsid w:val="00B632CC"/>
    <w:rsid w:val="00B6450A"/>
    <w:rsid w:val="00B72204"/>
    <w:rsid w:val="00B8330F"/>
    <w:rsid w:val="00B87FCC"/>
    <w:rsid w:val="00B957A6"/>
    <w:rsid w:val="00BA12F1"/>
    <w:rsid w:val="00BA342F"/>
    <w:rsid w:val="00BA439F"/>
    <w:rsid w:val="00BA6370"/>
    <w:rsid w:val="00BB11BE"/>
    <w:rsid w:val="00BB4DAF"/>
    <w:rsid w:val="00BB58F6"/>
    <w:rsid w:val="00BB69F4"/>
    <w:rsid w:val="00BB7C81"/>
    <w:rsid w:val="00BC73FF"/>
    <w:rsid w:val="00BD301A"/>
    <w:rsid w:val="00BD4D22"/>
    <w:rsid w:val="00BD52D0"/>
    <w:rsid w:val="00BE4399"/>
    <w:rsid w:val="00BE600B"/>
    <w:rsid w:val="00BE6B22"/>
    <w:rsid w:val="00BF3C16"/>
    <w:rsid w:val="00BF48A9"/>
    <w:rsid w:val="00C06CA8"/>
    <w:rsid w:val="00C16676"/>
    <w:rsid w:val="00C23BC2"/>
    <w:rsid w:val="00C2604A"/>
    <w:rsid w:val="00C269D4"/>
    <w:rsid w:val="00C33F29"/>
    <w:rsid w:val="00C345E3"/>
    <w:rsid w:val="00C35900"/>
    <w:rsid w:val="00C37ADB"/>
    <w:rsid w:val="00C4160D"/>
    <w:rsid w:val="00C56A1B"/>
    <w:rsid w:val="00C605FF"/>
    <w:rsid w:val="00C61EBD"/>
    <w:rsid w:val="00C628F5"/>
    <w:rsid w:val="00C62CF0"/>
    <w:rsid w:val="00C651DF"/>
    <w:rsid w:val="00C65432"/>
    <w:rsid w:val="00C714FA"/>
    <w:rsid w:val="00C71709"/>
    <w:rsid w:val="00C76C39"/>
    <w:rsid w:val="00C81ABF"/>
    <w:rsid w:val="00C8406E"/>
    <w:rsid w:val="00C87724"/>
    <w:rsid w:val="00C95C5C"/>
    <w:rsid w:val="00CA410A"/>
    <w:rsid w:val="00CB2709"/>
    <w:rsid w:val="00CB6F89"/>
    <w:rsid w:val="00CC0AE9"/>
    <w:rsid w:val="00CC1B23"/>
    <w:rsid w:val="00CC430D"/>
    <w:rsid w:val="00CC4A6F"/>
    <w:rsid w:val="00CC587D"/>
    <w:rsid w:val="00CC7644"/>
    <w:rsid w:val="00CD3FFC"/>
    <w:rsid w:val="00CD44E7"/>
    <w:rsid w:val="00CD4E92"/>
    <w:rsid w:val="00CD618A"/>
    <w:rsid w:val="00CD72C5"/>
    <w:rsid w:val="00CE13A2"/>
    <w:rsid w:val="00CE228C"/>
    <w:rsid w:val="00CE5FE1"/>
    <w:rsid w:val="00CE643C"/>
    <w:rsid w:val="00CE6732"/>
    <w:rsid w:val="00CE7046"/>
    <w:rsid w:val="00CE71D9"/>
    <w:rsid w:val="00CE7B86"/>
    <w:rsid w:val="00CF073E"/>
    <w:rsid w:val="00CF2CAF"/>
    <w:rsid w:val="00CF53CB"/>
    <w:rsid w:val="00CF545B"/>
    <w:rsid w:val="00D109AD"/>
    <w:rsid w:val="00D129B9"/>
    <w:rsid w:val="00D12FF4"/>
    <w:rsid w:val="00D16FA1"/>
    <w:rsid w:val="00D209A7"/>
    <w:rsid w:val="00D27D69"/>
    <w:rsid w:val="00D318CD"/>
    <w:rsid w:val="00D329B1"/>
    <w:rsid w:val="00D33658"/>
    <w:rsid w:val="00D3597A"/>
    <w:rsid w:val="00D448C2"/>
    <w:rsid w:val="00D47D86"/>
    <w:rsid w:val="00D509CB"/>
    <w:rsid w:val="00D55D83"/>
    <w:rsid w:val="00D57FAB"/>
    <w:rsid w:val="00D6204F"/>
    <w:rsid w:val="00D6362D"/>
    <w:rsid w:val="00D6385D"/>
    <w:rsid w:val="00D65684"/>
    <w:rsid w:val="00D666C3"/>
    <w:rsid w:val="00D67912"/>
    <w:rsid w:val="00D67AAE"/>
    <w:rsid w:val="00D70E77"/>
    <w:rsid w:val="00D7105E"/>
    <w:rsid w:val="00D746CF"/>
    <w:rsid w:val="00D76F1C"/>
    <w:rsid w:val="00D81899"/>
    <w:rsid w:val="00D9060E"/>
    <w:rsid w:val="00D91238"/>
    <w:rsid w:val="00D9189F"/>
    <w:rsid w:val="00D92ACE"/>
    <w:rsid w:val="00D953D8"/>
    <w:rsid w:val="00D9570D"/>
    <w:rsid w:val="00D96695"/>
    <w:rsid w:val="00D97CEE"/>
    <w:rsid w:val="00D97D7A"/>
    <w:rsid w:val="00D97EA2"/>
    <w:rsid w:val="00DA3855"/>
    <w:rsid w:val="00DA65B7"/>
    <w:rsid w:val="00DB0A9E"/>
    <w:rsid w:val="00DB0E30"/>
    <w:rsid w:val="00DB2F59"/>
    <w:rsid w:val="00DB3C08"/>
    <w:rsid w:val="00DC377F"/>
    <w:rsid w:val="00DD338E"/>
    <w:rsid w:val="00DE0309"/>
    <w:rsid w:val="00DF3672"/>
    <w:rsid w:val="00DF4663"/>
    <w:rsid w:val="00DF47FE"/>
    <w:rsid w:val="00E00726"/>
    <w:rsid w:val="00E0156A"/>
    <w:rsid w:val="00E06C6D"/>
    <w:rsid w:val="00E07818"/>
    <w:rsid w:val="00E1756E"/>
    <w:rsid w:val="00E21900"/>
    <w:rsid w:val="00E256C0"/>
    <w:rsid w:val="00E26704"/>
    <w:rsid w:val="00E26D83"/>
    <w:rsid w:val="00E31980"/>
    <w:rsid w:val="00E36742"/>
    <w:rsid w:val="00E47A3D"/>
    <w:rsid w:val="00E47F52"/>
    <w:rsid w:val="00E51A52"/>
    <w:rsid w:val="00E53E33"/>
    <w:rsid w:val="00E56465"/>
    <w:rsid w:val="00E57983"/>
    <w:rsid w:val="00E641C4"/>
    <w:rsid w:val="00E6423C"/>
    <w:rsid w:val="00E64FFA"/>
    <w:rsid w:val="00E73D52"/>
    <w:rsid w:val="00E81B10"/>
    <w:rsid w:val="00E8779B"/>
    <w:rsid w:val="00E93259"/>
    <w:rsid w:val="00E93830"/>
    <w:rsid w:val="00E93B22"/>
    <w:rsid w:val="00E93E0E"/>
    <w:rsid w:val="00EA4D68"/>
    <w:rsid w:val="00EA5D61"/>
    <w:rsid w:val="00EB1ED3"/>
    <w:rsid w:val="00EB6515"/>
    <w:rsid w:val="00EC3552"/>
    <w:rsid w:val="00EC6E40"/>
    <w:rsid w:val="00ED5C67"/>
    <w:rsid w:val="00EE06C0"/>
    <w:rsid w:val="00EE18A0"/>
    <w:rsid w:val="00EE44C5"/>
    <w:rsid w:val="00EE4FFC"/>
    <w:rsid w:val="00EE5789"/>
    <w:rsid w:val="00EF4C14"/>
    <w:rsid w:val="00EF7D57"/>
    <w:rsid w:val="00F00AE6"/>
    <w:rsid w:val="00F13FE4"/>
    <w:rsid w:val="00F21977"/>
    <w:rsid w:val="00F26EE0"/>
    <w:rsid w:val="00F272D7"/>
    <w:rsid w:val="00F27DA8"/>
    <w:rsid w:val="00F35ECF"/>
    <w:rsid w:val="00F419B2"/>
    <w:rsid w:val="00F422DF"/>
    <w:rsid w:val="00F44CE2"/>
    <w:rsid w:val="00F455B7"/>
    <w:rsid w:val="00F56AD4"/>
    <w:rsid w:val="00F61722"/>
    <w:rsid w:val="00F6332B"/>
    <w:rsid w:val="00F705A3"/>
    <w:rsid w:val="00F72523"/>
    <w:rsid w:val="00F731C4"/>
    <w:rsid w:val="00F75137"/>
    <w:rsid w:val="00F75F2A"/>
    <w:rsid w:val="00F76D39"/>
    <w:rsid w:val="00F77720"/>
    <w:rsid w:val="00F833B5"/>
    <w:rsid w:val="00F841DB"/>
    <w:rsid w:val="00F85E91"/>
    <w:rsid w:val="00F87AAD"/>
    <w:rsid w:val="00F94644"/>
    <w:rsid w:val="00FA7D70"/>
    <w:rsid w:val="00FA7DB9"/>
    <w:rsid w:val="00FB585B"/>
    <w:rsid w:val="00FB687C"/>
    <w:rsid w:val="00FB6920"/>
    <w:rsid w:val="00FB6DD4"/>
    <w:rsid w:val="00FD15BB"/>
    <w:rsid w:val="00FD58CA"/>
    <w:rsid w:val="00FE030B"/>
    <w:rsid w:val="00FE3145"/>
    <w:rsid w:val="00FE40E5"/>
    <w:rsid w:val="00FF16BC"/>
    <w:rsid w:val="00FF247D"/>
    <w:rsid w:val="00FF605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F807B9F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  <w:style w:type="character" w:customStyle="1" w:styleId="normaltextrun">
    <w:name w:val="normaltextrun"/>
    <w:basedOn w:val="Standardnpsmoodstavce"/>
    <w:rsid w:val="00F455B7"/>
  </w:style>
  <w:style w:type="character" w:styleId="Nevyeenzmnka">
    <w:name w:val="Unresolved Mention"/>
    <w:basedOn w:val="Standardnpsmoodstavce"/>
    <w:uiPriority w:val="99"/>
    <w:semiHidden/>
    <w:unhideWhenUsed/>
    <w:rsid w:val="005E6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short-term-business-statistics/public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stavebnictvi_metodika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bvz_cr" TargetMode="External"/><Relationship Id="rId10" Type="http://schemas.openxmlformats.org/officeDocument/2006/relationships/hyperlink" Target="https://csu.gov.cz/docs/107532/b54cd70a-7761-29ec-d3a4-d20d74225093/csta020626_komentar.pdf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sta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39C6B-DA54-4DE5-8F8E-AD2CDCC8D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077A88-5C8E-4C3E-BBD0-41B527878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138</TotalTime>
  <Pages>2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4062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Slunečková Markéta</cp:lastModifiedBy>
  <cp:revision>31</cp:revision>
  <dcterms:created xsi:type="dcterms:W3CDTF">2026-01-05T10:17:00Z</dcterms:created>
  <dcterms:modified xsi:type="dcterms:W3CDTF">2026-02-05T10:21:00Z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