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A1AB" w14:textId="389C86A8" w:rsidR="00867569" w:rsidRDefault="006E39A7" w:rsidP="00270F84">
      <w:pPr>
        <w:pStyle w:val="Datum"/>
      </w:pPr>
      <w:r>
        <w:t>01</w:t>
      </w:r>
      <w:r w:rsidR="00304176">
        <w:t>.</w:t>
      </w:r>
      <w:r w:rsidR="00915A3B">
        <w:t xml:space="preserve"> </w:t>
      </w:r>
      <w:r w:rsidR="00BC0239">
        <w:t>0</w:t>
      </w:r>
      <w:r w:rsidR="004D7156">
        <w:t>7</w:t>
      </w:r>
      <w:r w:rsidR="00A93DE1">
        <w:t>.</w:t>
      </w:r>
      <w:r w:rsidR="00022194">
        <w:t xml:space="preserve"> </w:t>
      </w:r>
      <w:r w:rsidR="00304176">
        <w:t>20</w:t>
      </w:r>
      <w:r w:rsidR="0070617B">
        <w:t>2</w:t>
      </w:r>
      <w:r w:rsidR="00BC0239">
        <w:t>2</w:t>
      </w:r>
    </w:p>
    <w:p w14:paraId="262E8C2C" w14:textId="02E0949B" w:rsidR="002F357E" w:rsidRDefault="00A10D2A" w:rsidP="00DB7DDE">
      <w:pPr>
        <w:pStyle w:val="Podtitulek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Schodek</w:t>
      </w:r>
      <w:r w:rsidR="00701B16">
        <w:rPr>
          <w:color w:val="BD1B21"/>
          <w:sz w:val="32"/>
          <w:szCs w:val="32"/>
        </w:rPr>
        <w:t xml:space="preserve"> hospodaření vládních </w:t>
      </w:r>
      <w:r w:rsidR="004D7156">
        <w:rPr>
          <w:color w:val="BD1B21"/>
          <w:sz w:val="32"/>
          <w:szCs w:val="32"/>
        </w:rPr>
        <w:t xml:space="preserve">institucí </w:t>
      </w:r>
      <w:r>
        <w:rPr>
          <w:color w:val="BD1B21"/>
          <w:sz w:val="32"/>
          <w:szCs w:val="32"/>
        </w:rPr>
        <w:t>se snížil</w:t>
      </w:r>
    </w:p>
    <w:p w14:paraId="698A55A3" w14:textId="3DC0DC0E"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8B4DC3">
        <w:t>1</w:t>
      </w:r>
      <w:r w:rsidR="00407901">
        <w:t>. čtvrtletí 202</w:t>
      </w:r>
      <w:r w:rsidR="008B4DC3">
        <w:t>2</w:t>
      </w:r>
    </w:p>
    <w:p w14:paraId="7B043CCE" w14:textId="16D3A2FA" w:rsidR="00053474" w:rsidRDefault="00053474" w:rsidP="00053474">
      <w:pPr>
        <w:rPr>
          <w:b/>
        </w:rPr>
      </w:pPr>
      <w:r w:rsidRPr="002A63D2">
        <w:rPr>
          <w:b/>
        </w:rPr>
        <w:t>Saldo hospodaření sekto</w:t>
      </w:r>
      <w:r w:rsidR="00474243">
        <w:rPr>
          <w:b/>
        </w:rPr>
        <w:t xml:space="preserve">ru vládních institucí dosáhlo v </w:t>
      </w:r>
      <w:r w:rsidR="008B4DC3">
        <w:rPr>
          <w:b/>
        </w:rPr>
        <w:t>prvním</w:t>
      </w:r>
      <w:r w:rsidR="00CD4356">
        <w:rPr>
          <w:b/>
        </w:rPr>
        <w:t xml:space="preserve"> čtvrtletí </w:t>
      </w:r>
      <w:r w:rsidR="000D4AC4">
        <w:rPr>
          <w:b/>
        </w:rPr>
        <w:t xml:space="preserve">roku </w:t>
      </w:r>
      <w:r w:rsidR="00CD4356">
        <w:rPr>
          <w:b/>
        </w:rPr>
        <w:t>202</w:t>
      </w:r>
      <w:r w:rsidR="008B4DC3">
        <w:rPr>
          <w:b/>
        </w:rPr>
        <w:t>2</w:t>
      </w:r>
      <w:r w:rsidRPr="002A63D2">
        <w:rPr>
          <w:b/>
        </w:rPr>
        <w:t xml:space="preserve"> </w:t>
      </w:r>
      <w:r w:rsidR="006D6BFF">
        <w:rPr>
          <w:b/>
        </w:rPr>
        <w:t>schodku</w:t>
      </w:r>
      <w:r w:rsidRPr="002A63D2">
        <w:rPr>
          <w:b/>
        </w:rPr>
        <w:t xml:space="preserve"> </w:t>
      </w:r>
      <w:r w:rsidR="007A2F1F">
        <w:rPr>
          <w:b/>
        </w:rPr>
        <w:t>ve výši</w:t>
      </w:r>
      <w:r w:rsidRPr="006D6BFF">
        <w:rPr>
          <w:b/>
        </w:rPr>
        <w:t xml:space="preserve"> </w:t>
      </w:r>
      <w:r w:rsidR="00CB3C8F">
        <w:rPr>
          <w:b/>
        </w:rPr>
        <w:t>6</w:t>
      </w:r>
      <w:r w:rsidR="008B4DC3">
        <w:rPr>
          <w:b/>
        </w:rPr>
        <w:t>,</w:t>
      </w:r>
      <w:r w:rsidR="00CB3C8F">
        <w:rPr>
          <w:b/>
        </w:rPr>
        <w:t>1</w:t>
      </w:r>
      <w:r w:rsidRPr="006D6BFF">
        <w:rPr>
          <w:b/>
        </w:rPr>
        <w:t xml:space="preserve"> % HDP</w:t>
      </w:r>
      <w:r w:rsidR="007A2F1F">
        <w:rPr>
          <w:b/>
        </w:rPr>
        <w:t xml:space="preserve">. </w:t>
      </w:r>
      <w:r w:rsidRPr="00811BF3">
        <w:rPr>
          <w:b/>
        </w:rPr>
        <w:t xml:space="preserve">Míra zadlužení sektoru vládních institucí </w:t>
      </w:r>
      <w:r w:rsidR="00F100EB">
        <w:rPr>
          <w:b/>
        </w:rPr>
        <w:t>klesla</w:t>
      </w:r>
      <w:r w:rsidRPr="00F520C7">
        <w:rPr>
          <w:b/>
        </w:rPr>
        <w:t xml:space="preserve"> meziročně </w:t>
      </w:r>
      <w:r w:rsidRPr="001807A0">
        <w:rPr>
          <w:b/>
        </w:rPr>
        <w:t xml:space="preserve">o </w:t>
      </w:r>
      <w:r w:rsidR="00F100EB">
        <w:rPr>
          <w:b/>
        </w:rPr>
        <w:t>1,1</w:t>
      </w:r>
      <w:r w:rsidR="00DC1C8F" w:rsidRPr="00F100EB">
        <w:rPr>
          <w:b/>
        </w:rPr>
        <w:t xml:space="preserve"> </w:t>
      </w:r>
      <w:r w:rsidRPr="00F100EB">
        <w:rPr>
          <w:b/>
        </w:rPr>
        <w:t xml:space="preserve">p. b. </w:t>
      </w:r>
      <w:proofErr w:type="gramStart"/>
      <w:r w:rsidRPr="00F100EB">
        <w:rPr>
          <w:b/>
        </w:rPr>
        <w:t>na</w:t>
      </w:r>
      <w:proofErr w:type="gramEnd"/>
      <w:r w:rsidRPr="00F100EB">
        <w:rPr>
          <w:b/>
        </w:rPr>
        <w:t xml:space="preserve"> </w:t>
      </w:r>
      <w:r w:rsidR="00A23729" w:rsidRPr="00F100EB">
        <w:rPr>
          <w:b/>
        </w:rPr>
        <w:t>4</w:t>
      </w:r>
      <w:r w:rsidR="00F100EB">
        <w:rPr>
          <w:b/>
        </w:rPr>
        <w:t>2</w:t>
      </w:r>
      <w:r w:rsidR="001807A0" w:rsidRPr="00F100EB">
        <w:rPr>
          <w:b/>
        </w:rPr>
        <w:t>,</w:t>
      </w:r>
      <w:r w:rsidR="00F100EB">
        <w:rPr>
          <w:b/>
        </w:rPr>
        <w:t>8</w:t>
      </w:r>
      <w:r w:rsidR="006179B0" w:rsidRPr="00F100EB">
        <w:rPr>
          <w:b/>
        </w:rPr>
        <w:t xml:space="preserve"> </w:t>
      </w:r>
      <w:r w:rsidRPr="00F100EB">
        <w:rPr>
          <w:b/>
        </w:rPr>
        <w:t>% HDP.</w:t>
      </w:r>
    </w:p>
    <w:p w14:paraId="6C9DAEEF" w14:textId="77777777" w:rsidR="00A94B28" w:rsidRDefault="00A94B28" w:rsidP="00043BF4"/>
    <w:p w14:paraId="6449515F" w14:textId="4D00A678" w:rsidR="00BF6C41" w:rsidRDefault="00B237A0" w:rsidP="00053474">
      <w:r>
        <w:t>Deficit hospodaření vládních institucí v</w:t>
      </w:r>
      <w:r w:rsidR="0000660A">
        <w:t xml:space="preserve"> </w:t>
      </w:r>
      <w:r w:rsidR="004D7156">
        <w:t>1</w:t>
      </w:r>
      <w:r>
        <w:t>.</w:t>
      </w:r>
      <w:r w:rsidR="00551E5D">
        <w:t xml:space="preserve"> </w:t>
      </w:r>
      <w:r w:rsidR="003C7864">
        <w:t>čtvrtletí</w:t>
      </w:r>
      <w:r w:rsidR="007E04BF">
        <w:t xml:space="preserve"> </w:t>
      </w:r>
      <w:r w:rsidR="000D4AC4">
        <w:t xml:space="preserve">roku </w:t>
      </w:r>
      <w:r w:rsidR="007E04BF">
        <w:t>20</w:t>
      </w:r>
      <w:r w:rsidR="000D4AC4">
        <w:t>2</w:t>
      </w:r>
      <w:r w:rsidR="008B4DC3">
        <w:t>2</w:t>
      </w:r>
      <w:r w:rsidR="003C7864">
        <w:t xml:space="preserve"> </w:t>
      </w:r>
      <w:r>
        <w:t xml:space="preserve">dosáhl </w:t>
      </w:r>
      <w:r w:rsidR="008B4DC3">
        <w:t>9</w:t>
      </w:r>
      <w:r w:rsidR="00CB3C8F">
        <w:t>4</w:t>
      </w:r>
      <w:r w:rsidR="008B4DC3">
        <w:t>,</w:t>
      </w:r>
      <w:r w:rsidR="00CB3C8F">
        <w:t>1</w:t>
      </w:r>
      <w:r>
        <w:t xml:space="preserve"> mld. Kč, </w:t>
      </w:r>
      <w:r w:rsidR="00390F50">
        <w:t xml:space="preserve">což byl </w:t>
      </w:r>
      <w:r w:rsidR="003C7864">
        <w:t xml:space="preserve"> meziročně </w:t>
      </w:r>
      <w:r w:rsidR="00053474" w:rsidRPr="00B46BFE">
        <w:t>o</w:t>
      </w:r>
      <w:r w:rsidR="00E92D16" w:rsidRPr="00B46BFE">
        <w:t> </w:t>
      </w:r>
      <w:r w:rsidR="00CB3C8F">
        <w:t>47,7</w:t>
      </w:r>
      <w:r w:rsidR="009906E9" w:rsidRPr="00B46BFE">
        <w:t> </w:t>
      </w:r>
      <w:r w:rsidR="003C7864" w:rsidRPr="00B46BFE">
        <w:t>mld</w:t>
      </w:r>
      <w:r w:rsidR="00390F50">
        <w:t>. Kč lepší výsledek.</w:t>
      </w:r>
      <w:r w:rsidR="00F221D2">
        <w:t xml:space="preserve"> Největší podíl na meziročním snížení měl</w:t>
      </w:r>
      <w:r w:rsidR="00F100EB">
        <w:t>o</w:t>
      </w:r>
      <w:r w:rsidR="00060E33">
        <w:t xml:space="preserve"> </w:t>
      </w:r>
      <w:r w:rsidR="007B7475">
        <w:t xml:space="preserve">především </w:t>
      </w:r>
      <w:r w:rsidR="00F100EB">
        <w:t xml:space="preserve">hospodaření </w:t>
      </w:r>
      <w:r w:rsidR="009C00B5">
        <w:t>ústřední</w:t>
      </w:r>
      <w:r w:rsidR="00F100EB">
        <w:t>ch</w:t>
      </w:r>
      <w:r w:rsidR="009C00B5">
        <w:t xml:space="preserve"> </w:t>
      </w:r>
      <w:r w:rsidR="00060E33">
        <w:t>vládní</w:t>
      </w:r>
      <w:r w:rsidR="00F100EB">
        <w:t>ch</w:t>
      </w:r>
      <w:r w:rsidR="009C00B5">
        <w:t xml:space="preserve"> instituc</w:t>
      </w:r>
      <w:r w:rsidR="00F100EB">
        <w:t>í</w:t>
      </w:r>
      <w:r w:rsidR="001933FC">
        <w:t xml:space="preserve">, </w:t>
      </w:r>
      <w:r w:rsidR="00F100EB">
        <w:t>které</w:t>
      </w:r>
      <w:r w:rsidR="00F221D2">
        <w:t xml:space="preserve"> </w:t>
      </w:r>
      <w:r w:rsidR="00060E33">
        <w:t xml:space="preserve">skončilo </w:t>
      </w:r>
      <w:r w:rsidR="009C00B5">
        <w:t xml:space="preserve">ve schodku </w:t>
      </w:r>
      <w:r w:rsidR="00CB3C8F">
        <w:t>102,5</w:t>
      </w:r>
      <w:r w:rsidR="009C00B5">
        <w:t xml:space="preserve"> mld.</w:t>
      </w:r>
      <w:r w:rsidR="00060E33">
        <w:t xml:space="preserve"> Kč</w:t>
      </w:r>
      <w:r w:rsidR="00F100EB">
        <w:t>, ale meziročně se vylepšilo o 53,3 mld. Kč</w:t>
      </w:r>
      <w:r w:rsidR="00060E33">
        <w:t xml:space="preserve">. </w:t>
      </w:r>
      <w:r w:rsidR="00EB6243">
        <w:t>M</w:t>
      </w:r>
      <w:r w:rsidR="003C7864">
        <w:t>ístní vládní</w:t>
      </w:r>
      <w:r w:rsidR="00EB6243">
        <w:t xml:space="preserve"> instituce hospodař</w:t>
      </w:r>
      <w:r w:rsidR="00E92D16">
        <w:t xml:space="preserve">ily </w:t>
      </w:r>
      <w:r w:rsidR="008B4DC3">
        <w:t>s přebytkem</w:t>
      </w:r>
      <w:r w:rsidR="0036612E" w:rsidRPr="00B46BFE">
        <w:t xml:space="preserve"> </w:t>
      </w:r>
      <w:r w:rsidR="00CB3C8F">
        <w:t>5,1</w:t>
      </w:r>
      <w:r w:rsidR="0036612E">
        <w:t xml:space="preserve"> m</w:t>
      </w:r>
      <w:r w:rsidR="00F221D2">
        <w:t xml:space="preserve">ld. Kč a </w:t>
      </w:r>
      <w:r w:rsidR="001F4E2C">
        <w:t>h</w:t>
      </w:r>
      <w:r w:rsidR="00660D90">
        <w:t>ospodaření fondů sociálního</w:t>
      </w:r>
      <w:r w:rsidR="00FE5C90">
        <w:t xml:space="preserve"> zabezpečení</w:t>
      </w:r>
      <w:r w:rsidR="00660D90">
        <w:t xml:space="preserve"> </w:t>
      </w:r>
      <w:r w:rsidR="00F221D2">
        <w:t>skončilo v </w:t>
      </w:r>
      <w:r w:rsidR="008B4DC3">
        <w:t>přebytku</w:t>
      </w:r>
      <w:r w:rsidR="00F221D2">
        <w:t xml:space="preserve"> </w:t>
      </w:r>
      <w:r w:rsidR="008B4DC3">
        <w:t>3,4</w:t>
      </w:r>
      <w:r w:rsidR="00F221D2">
        <w:t xml:space="preserve"> mld. Kč.</w:t>
      </w:r>
      <w:r w:rsidR="00BF6C41">
        <w:t xml:space="preserve"> </w:t>
      </w:r>
    </w:p>
    <w:p w14:paraId="6213615B" w14:textId="77777777" w:rsidR="007029F8" w:rsidRDefault="007029F8" w:rsidP="00053474"/>
    <w:p w14:paraId="6A517D79" w14:textId="480433DB" w:rsidR="007029F8" w:rsidRDefault="007029F8" w:rsidP="007029F8">
      <w:r>
        <w:rPr>
          <w:i/>
        </w:rPr>
        <w:t>„</w:t>
      </w:r>
      <w:r w:rsidRPr="00E72D7F">
        <w:rPr>
          <w:i/>
        </w:rPr>
        <w:t xml:space="preserve">Hospodaření vládních institucí </w:t>
      </w:r>
      <w:r w:rsidR="008B4DC3">
        <w:rPr>
          <w:i/>
        </w:rPr>
        <w:t>v prvním</w:t>
      </w:r>
      <w:r w:rsidRPr="00E72D7F">
        <w:rPr>
          <w:i/>
        </w:rPr>
        <w:t xml:space="preserve"> čtvrtletí roku 202</w:t>
      </w:r>
      <w:r w:rsidR="008B4DC3">
        <w:rPr>
          <w:i/>
        </w:rPr>
        <w:t>2</w:t>
      </w:r>
      <w:r w:rsidRPr="00E72D7F">
        <w:rPr>
          <w:i/>
        </w:rPr>
        <w:t xml:space="preserve"> skončilo ve schodku, který dosáhl výše </w:t>
      </w:r>
      <w:r w:rsidR="00CB3C8F">
        <w:rPr>
          <w:i/>
        </w:rPr>
        <w:t>94,1</w:t>
      </w:r>
      <w:r w:rsidRPr="00E72D7F">
        <w:rPr>
          <w:i/>
        </w:rPr>
        <w:t xml:space="preserve"> mld. Kč, což ve vztahu k HDP představuje </w:t>
      </w:r>
      <w:r w:rsidR="00CB3C8F">
        <w:rPr>
          <w:i/>
        </w:rPr>
        <w:t>6,1</w:t>
      </w:r>
      <w:r w:rsidRPr="00E72D7F">
        <w:rPr>
          <w:i/>
        </w:rPr>
        <w:t xml:space="preserve"> %. Meziroční míra zadlužení sektoru vládní</w:t>
      </w:r>
      <w:r>
        <w:rPr>
          <w:i/>
        </w:rPr>
        <w:t>ch</w:t>
      </w:r>
      <w:r w:rsidR="00F100EB">
        <w:rPr>
          <w:i/>
        </w:rPr>
        <w:t xml:space="preserve"> institucí poklesla</w:t>
      </w:r>
      <w:r w:rsidRPr="00E72D7F">
        <w:rPr>
          <w:i/>
        </w:rPr>
        <w:t xml:space="preserve"> </w:t>
      </w:r>
      <w:r w:rsidRPr="00F100EB">
        <w:rPr>
          <w:i/>
        </w:rPr>
        <w:t xml:space="preserve">o </w:t>
      </w:r>
      <w:r w:rsidR="00F100EB">
        <w:rPr>
          <w:i/>
        </w:rPr>
        <w:t>1,1</w:t>
      </w:r>
      <w:r w:rsidR="00D17C22">
        <w:rPr>
          <w:i/>
        </w:rPr>
        <w:t xml:space="preserve"> </w:t>
      </w:r>
      <w:r w:rsidR="002639AF">
        <w:rPr>
          <w:i/>
        </w:rPr>
        <w:t>procentních bodů</w:t>
      </w:r>
      <w:r w:rsidR="00D17C22">
        <w:rPr>
          <w:i/>
        </w:rPr>
        <w:t xml:space="preserve"> </w:t>
      </w:r>
      <w:r w:rsidRPr="00F100EB">
        <w:rPr>
          <w:i/>
        </w:rPr>
        <w:t>a dosáhla výše 4</w:t>
      </w:r>
      <w:r w:rsidR="00F100EB">
        <w:rPr>
          <w:i/>
        </w:rPr>
        <w:t>2</w:t>
      </w:r>
      <w:r w:rsidRPr="00F100EB">
        <w:rPr>
          <w:i/>
        </w:rPr>
        <w:t>,</w:t>
      </w:r>
      <w:r w:rsidR="00F100EB">
        <w:rPr>
          <w:i/>
        </w:rPr>
        <w:t>8</w:t>
      </w:r>
      <w:r w:rsidRPr="00F100EB">
        <w:rPr>
          <w:i/>
        </w:rPr>
        <w:t xml:space="preserve"> % HDP.</w:t>
      </w:r>
      <w:r w:rsidR="00313271">
        <w:rPr>
          <w:i/>
        </w:rPr>
        <w:t xml:space="preserve"> Na výsledku </w:t>
      </w:r>
      <w:r w:rsidR="00D62A50">
        <w:rPr>
          <w:i/>
        </w:rPr>
        <w:t xml:space="preserve">hospodaření </w:t>
      </w:r>
      <w:r w:rsidR="00313271">
        <w:rPr>
          <w:i/>
        </w:rPr>
        <w:t>se výraznou měrou podepsalo zvýšení příjmů z daní z výroby a dovozu a pokles vyplacených dotací</w:t>
      </w:r>
      <w:r w:rsidR="00A10D2A">
        <w:rPr>
          <w:i/>
        </w:rPr>
        <w:t>,</w:t>
      </w:r>
      <w:r>
        <w:rPr>
          <w:i/>
        </w:rPr>
        <w:t>“</w:t>
      </w:r>
      <w:bookmarkStart w:id="0" w:name="_GoBack"/>
      <w:bookmarkEnd w:id="0"/>
      <w:r>
        <w:t xml:space="preserve"> uvedla </w:t>
      </w:r>
      <w:r w:rsidRPr="00AC528C">
        <w:t>Helen</w:t>
      </w:r>
      <w:r>
        <w:t>a</w:t>
      </w:r>
      <w:r w:rsidRPr="00AC528C">
        <w:t xml:space="preserve"> Houžvičkov</w:t>
      </w:r>
      <w:r>
        <w:t>á</w:t>
      </w:r>
      <w:r w:rsidRPr="00AC528C">
        <w:t>, ředitelk</w:t>
      </w:r>
      <w:r>
        <w:t>a</w:t>
      </w:r>
      <w:r w:rsidRPr="00AC528C">
        <w:t xml:space="preserve"> odboru vládních a finančních účtů ČSÚ</w:t>
      </w:r>
      <w:r>
        <w:t>.</w:t>
      </w:r>
    </w:p>
    <w:p w14:paraId="7DB73843" w14:textId="503D1767" w:rsidR="00BF6C41" w:rsidRDefault="00BF6C41" w:rsidP="00053474"/>
    <w:p w14:paraId="7B668639" w14:textId="0D7757CD" w:rsidR="00DE5999" w:rsidRPr="0037782A" w:rsidRDefault="00DE5999" w:rsidP="00DE5999">
      <w:pPr>
        <w:pStyle w:val="TabulkaGraf"/>
      </w:pPr>
      <w:r w:rsidRPr="0037782A">
        <w:t xml:space="preserve">Saldo hospodaření sektoru vládních institucí, </w:t>
      </w:r>
      <w:r w:rsidR="008B4DC3">
        <w:t>1</w:t>
      </w:r>
      <w:r w:rsidRPr="0037782A">
        <w:t>. čtvrtletí 20</w:t>
      </w:r>
      <w:r w:rsidR="008B4DC3">
        <w:t>20</w:t>
      </w:r>
      <w:r w:rsidRPr="0037782A">
        <w:t xml:space="preserve"> – </w:t>
      </w:r>
      <w:r w:rsidR="008B4DC3">
        <w:t>1</w:t>
      </w:r>
      <w:r w:rsidRPr="0037782A">
        <w:t>. čtvrtletí 20</w:t>
      </w:r>
      <w:r w:rsidR="008B4DC3">
        <w:t>22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B4DC3" w:rsidRPr="0037782A" w14:paraId="00DB6E80" w14:textId="77777777" w:rsidTr="00F8577F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262E" w14:textId="77777777" w:rsidR="008B4DC3" w:rsidRPr="0037782A" w:rsidRDefault="008B4DC3" w:rsidP="008B4DC3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D74B9" w14:textId="027F66A9" w:rsidR="008B4DC3" w:rsidRPr="0037782A" w:rsidRDefault="008B4DC3" w:rsidP="008B4DC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2E67">
              <w:t>1.Q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3B804" w14:textId="38352359" w:rsidR="008B4DC3" w:rsidRPr="0037782A" w:rsidRDefault="008B4DC3" w:rsidP="008B4DC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6A2E67">
              <w:t>2.Q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7775A" w14:textId="4CB43DC8" w:rsidR="008B4DC3" w:rsidRPr="0037782A" w:rsidRDefault="008B4DC3" w:rsidP="008B4DC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6A2E67">
              <w:t>3.Q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FA81F3" w14:textId="23417EFB" w:rsidR="008B4DC3" w:rsidRPr="0037782A" w:rsidRDefault="008B4DC3" w:rsidP="008B4DC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6A2E67">
              <w:t>4.Q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82158" w14:textId="037C2C7F" w:rsidR="008B4DC3" w:rsidRPr="0037782A" w:rsidRDefault="008B4DC3" w:rsidP="008B4DC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6A2E67">
              <w:t>1.Q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3ED2E" w14:textId="666DEA77" w:rsidR="008B4DC3" w:rsidRPr="0037782A" w:rsidRDefault="008B4DC3" w:rsidP="008B4DC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6A2E67">
              <w:t>2.Q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EF119" w14:textId="306255FB" w:rsidR="008B4DC3" w:rsidRPr="0037782A" w:rsidRDefault="008B4DC3" w:rsidP="008B4DC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6A2E67">
              <w:t>3.Q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441CC" w14:textId="79CC3DD1" w:rsidR="008B4DC3" w:rsidRPr="0037782A" w:rsidRDefault="008B4DC3" w:rsidP="008B4DC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6A2E67">
              <w:t>4.Q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CF04D" w14:textId="7960CDE4" w:rsidR="008B4DC3" w:rsidRPr="0037782A" w:rsidRDefault="008B4DC3" w:rsidP="008B4DC3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6A2E67">
              <w:t>1.Q 2022</w:t>
            </w:r>
            <w:proofErr w:type="gramEnd"/>
          </w:p>
        </w:tc>
      </w:tr>
      <w:tr w:rsidR="006F016B" w:rsidRPr="0037782A" w14:paraId="3CDCC000" w14:textId="77777777" w:rsidTr="00042C3D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E4A3" w14:textId="77777777" w:rsidR="006F016B" w:rsidRPr="0037782A" w:rsidRDefault="006F016B" w:rsidP="006F016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2DA2" w14:textId="51565653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A54D" w14:textId="7A461882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41C8" w14:textId="7103D3AC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6216" w14:textId="3174F835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-137,5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A3F5" w14:textId="3F95028E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-141,8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D028" w14:textId="73A2791D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8CC9" w14:textId="04B1C859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D756" w14:textId="7840CEDC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A953" w14:textId="433BCB68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-94,1</w:t>
            </w:r>
          </w:p>
        </w:tc>
      </w:tr>
      <w:tr w:rsidR="006F016B" w:rsidRPr="0037782A" w14:paraId="10AA7365" w14:textId="77777777" w:rsidTr="00042C3D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9A96" w14:textId="77777777" w:rsidR="006F016B" w:rsidRPr="0037782A" w:rsidRDefault="006F016B" w:rsidP="006F016B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5D7C" w14:textId="13455E99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3496" w14:textId="3AF439EC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56D4" w14:textId="43952A57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D210" w14:textId="51C1B34D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A1DA" w14:textId="510A9E54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1392" w14:textId="15500316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86AE" w14:textId="5AC36BE9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955C" w14:textId="7404DAED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9D3A" w14:textId="029893B8" w:rsidR="006F016B" w:rsidRPr="0037782A" w:rsidRDefault="006F016B" w:rsidP="006F016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-6,1</w:t>
            </w:r>
          </w:p>
        </w:tc>
      </w:tr>
    </w:tbl>
    <w:p w14:paraId="15FE823E" w14:textId="77777777" w:rsidR="005D1FA7" w:rsidRPr="000A18CB" w:rsidRDefault="005D1FA7" w:rsidP="005D1FA7">
      <w:pPr>
        <w:rPr>
          <w:i/>
        </w:rPr>
      </w:pPr>
      <w:r w:rsidRPr="0037782A">
        <w:rPr>
          <w:i/>
        </w:rPr>
        <w:t xml:space="preserve">Poznámka: Údaje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Pr="0037782A">
        <w:rPr>
          <w:i/>
        </w:rPr>
        <w:t>.</w:t>
      </w:r>
    </w:p>
    <w:p w14:paraId="3C697DA6" w14:textId="61C07715" w:rsidR="000A18CB" w:rsidRDefault="000A18CB" w:rsidP="00043BF4"/>
    <w:p w14:paraId="2EA608BE" w14:textId="033F98E1" w:rsidR="00601F81" w:rsidRDefault="00601F81" w:rsidP="00A94B28">
      <w:r w:rsidRPr="00E736BE">
        <w:t xml:space="preserve">Celkové příjmy sektoru vládních institucí </w:t>
      </w:r>
      <w:r w:rsidR="00C33E70">
        <w:t>stoupl</w:t>
      </w:r>
      <w:r w:rsidR="00174C88">
        <w:t>y</w:t>
      </w:r>
      <w:r w:rsidRPr="00174C88">
        <w:t xml:space="preserve"> meziročně o </w:t>
      </w:r>
      <w:r w:rsidR="006918F5">
        <w:t>13,4</w:t>
      </w:r>
      <w:r w:rsidRPr="00174C88">
        <w:t xml:space="preserve"> %</w:t>
      </w:r>
      <w:r w:rsidR="00A25220">
        <w:t xml:space="preserve"> a dosáhly 40,</w:t>
      </w:r>
      <w:r w:rsidR="006918F5">
        <w:t>2</w:t>
      </w:r>
      <w:r w:rsidR="00A25220">
        <w:t xml:space="preserve"> % HDP.</w:t>
      </w:r>
      <w:r w:rsidRPr="00E736BE">
        <w:t xml:space="preserve"> Na meziročním </w:t>
      </w:r>
      <w:r w:rsidR="00174C88">
        <w:t>růstu</w:t>
      </w:r>
      <w:r w:rsidRPr="00E736BE">
        <w:t xml:space="preserve"> příjmů se </w:t>
      </w:r>
      <w:r w:rsidR="009906E9">
        <w:t>podílel</w:t>
      </w:r>
      <w:r w:rsidR="0062459A">
        <w:t>o</w:t>
      </w:r>
      <w:r w:rsidR="009906E9">
        <w:t xml:space="preserve"> </w:t>
      </w:r>
      <w:r w:rsidR="000C2F30" w:rsidRPr="00E736BE">
        <w:t>zejména</w:t>
      </w:r>
      <w:r w:rsidRPr="00E736BE">
        <w:t xml:space="preserve"> </w:t>
      </w:r>
      <w:r w:rsidR="00174C88">
        <w:t>zvýšení</w:t>
      </w:r>
      <w:r w:rsidRPr="00E736BE">
        <w:t xml:space="preserve"> příjmů </w:t>
      </w:r>
      <w:r w:rsidR="00FC39DA">
        <w:t>z daní z výroby a dovozu</w:t>
      </w:r>
      <w:r w:rsidR="006918F5">
        <w:t xml:space="preserve">, </w:t>
      </w:r>
      <w:r w:rsidR="000C2F30" w:rsidRPr="00E736BE">
        <w:t>z</w:t>
      </w:r>
      <w:r w:rsidR="00860C3B">
        <w:t>e sociálních</w:t>
      </w:r>
      <w:r w:rsidR="00756B70">
        <w:t xml:space="preserve"> příspěvků</w:t>
      </w:r>
      <w:r w:rsidR="006918F5">
        <w:t xml:space="preserve"> a daní z příjmu</w:t>
      </w:r>
      <w:r w:rsidR="007D58AD">
        <w:t>.</w:t>
      </w:r>
      <w:r w:rsidR="00C33E70">
        <w:t xml:space="preserve"> </w:t>
      </w:r>
      <w:r w:rsidR="00E706EA" w:rsidRPr="00E736BE">
        <w:t xml:space="preserve">Celkové výdaje vládních institucí </w:t>
      </w:r>
      <w:r w:rsidR="00E706EA" w:rsidRPr="00183B9F">
        <w:t xml:space="preserve">meziročně </w:t>
      </w:r>
      <w:r w:rsidR="0093024A">
        <w:t xml:space="preserve">vzrostly </w:t>
      </w:r>
      <w:r w:rsidR="00E706EA" w:rsidRPr="00FB249A">
        <w:t xml:space="preserve">o </w:t>
      </w:r>
      <w:r w:rsidR="006918F5">
        <w:t>3,7</w:t>
      </w:r>
      <w:r w:rsidR="00E706EA" w:rsidRPr="00FB249A">
        <w:t xml:space="preserve"> %</w:t>
      </w:r>
      <w:r w:rsidR="00A25220">
        <w:t xml:space="preserve"> a dosáhly 46,</w:t>
      </w:r>
      <w:r w:rsidR="00020BFF">
        <w:t>3</w:t>
      </w:r>
      <w:r w:rsidR="00A25220">
        <w:t xml:space="preserve"> % HDP</w:t>
      </w:r>
      <w:r w:rsidR="00E706EA" w:rsidRPr="00FB249A">
        <w:t>.</w:t>
      </w:r>
      <w:r w:rsidR="00E706EA" w:rsidRPr="00E736BE">
        <w:t xml:space="preserve"> </w:t>
      </w:r>
      <w:r w:rsidR="008A0350">
        <w:t xml:space="preserve">Nejvíce </w:t>
      </w:r>
      <w:r w:rsidR="006918F5">
        <w:t>vzrostly kapitálové</w:t>
      </w:r>
      <w:r w:rsidR="006F401E">
        <w:t xml:space="preserve"> výdaje</w:t>
      </w:r>
      <w:r w:rsidR="006918F5">
        <w:t xml:space="preserve"> a </w:t>
      </w:r>
      <w:r w:rsidR="006F401E">
        <w:t>sociální dávky</w:t>
      </w:r>
      <w:r w:rsidR="006918F5">
        <w:t>. Pokles byl zaznamenán předev</w:t>
      </w:r>
      <w:r w:rsidR="006F401E">
        <w:t>ším u dotací</w:t>
      </w:r>
      <w:r w:rsidR="00BF6C41">
        <w:t>.</w:t>
      </w:r>
      <w:r w:rsidR="00E5536A">
        <w:t xml:space="preserve"> </w:t>
      </w:r>
    </w:p>
    <w:p w14:paraId="4D6C7360" w14:textId="5E0EB366" w:rsidR="00B81175" w:rsidRDefault="00B81175" w:rsidP="00A94B28"/>
    <w:p w14:paraId="4D31A60A" w14:textId="5004416B" w:rsidR="00AF42B6" w:rsidRDefault="00EA4D69" w:rsidP="00425ADB">
      <w:r w:rsidRPr="004627B6">
        <w:t xml:space="preserve">Nominální dluh vládních institucí meziročně vzrostl </w:t>
      </w:r>
      <w:r w:rsidRPr="00020BFF">
        <w:t xml:space="preserve">o </w:t>
      </w:r>
      <w:r w:rsidR="00020BFF">
        <w:t>171,0</w:t>
      </w:r>
      <w:r w:rsidRPr="00020BFF">
        <w:t xml:space="preserve"> mld. na 2</w:t>
      </w:r>
      <w:r w:rsidR="00020BFF">
        <w:t> 683,5</w:t>
      </w:r>
      <w:r w:rsidRPr="00020BFF">
        <w:t xml:space="preserve"> mld</w:t>
      </w:r>
      <w:r w:rsidRPr="004627B6">
        <w:t>.</w:t>
      </w:r>
      <w:r>
        <w:t xml:space="preserve"> </w:t>
      </w:r>
      <w:r w:rsidR="00425ADB" w:rsidRPr="00907835">
        <w:t>Míra zadlužení</w:t>
      </w:r>
      <w:r w:rsidR="00425ADB" w:rsidRPr="00EF5A70">
        <w:t xml:space="preserve"> sektoru vládn</w:t>
      </w:r>
      <w:r w:rsidR="001557F3">
        <w:t xml:space="preserve">ích institucí </w:t>
      </w:r>
      <w:r w:rsidR="001557F3" w:rsidRPr="00020BFF">
        <w:t xml:space="preserve">meziročně </w:t>
      </w:r>
      <w:proofErr w:type="gramStart"/>
      <w:r w:rsidR="00020BFF">
        <w:t>poklesla</w:t>
      </w:r>
      <w:r w:rsidR="00425ADB" w:rsidRPr="00020BFF">
        <w:t xml:space="preserve"> </w:t>
      </w:r>
      <w:r w:rsidR="00006D9A" w:rsidRPr="00020BFF">
        <w:t>z</w:t>
      </w:r>
      <w:r w:rsidR="00020BFF">
        <w:t> 43,9</w:t>
      </w:r>
      <w:proofErr w:type="gramEnd"/>
      <w:r w:rsidR="00425ADB" w:rsidRPr="00020BFF">
        <w:t xml:space="preserve"> </w:t>
      </w:r>
      <w:r w:rsidR="00823594" w:rsidRPr="00020BFF">
        <w:t xml:space="preserve">% </w:t>
      </w:r>
      <w:r w:rsidR="00425ADB" w:rsidRPr="00020BFF">
        <w:t xml:space="preserve">na </w:t>
      </w:r>
      <w:r w:rsidR="008B5BB1" w:rsidRPr="00020BFF">
        <w:t>4</w:t>
      </w:r>
      <w:r w:rsidR="00020BFF">
        <w:t>2,8</w:t>
      </w:r>
      <w:r w:rsidR="00696FCF" w:rsidRPr="00020BFF">
        <w:t xml:space="preserve"> % HDP</w:t>
      </w:r>
      <w:r w:rsidR="00CD21CC" w:rsidRPr="00EF5A70">
        <w:t>,</w:t>
      </w:r>
      <w:r w:rsidR="00696FCF" w:rsidRPr="00EF5A70">
        <w:t xml:space="preserve"> </w:t>
      </w:r>
      <w:r w:rsidR="00CB4EDA">
        <w:t xml:space="preserve">změna dluhu </w:t>
      </w:r>
      <w:r w:rsidR="00CB4EDA" w:rsidRPr="00020BFF">
        <w:t>činil</w:t>
      </w:r>
      <w:r w:rsidR="00CB4EDA">
        <w:t>a +</w:t>
      </w:r>
      <w:r w:rsidR="00CB4EDA" w:rsidRPr="00020BFF">
        <w:t xml:space="preserve"> </w:t>
      </w:r>
      <w:r w:rsidR="00CB4EDA">
        <w:t>2,7</w:t>
      </w:r>
      <w:r w:rsidR="00CB4EDA" w:rsidRPr="00020BFF">
        <w:t xml:space="preserve"> p. b</w:t>
      </w:r>
      <w:r w:rsidR="00CB4EDA">
        <w:t>.,</w:t>
      </w:r>
      <w:r w:rsidR="00CB4EDA" w:rsidRPr="00EF5A70">
        <w:t xml:space="preserve"> </w:t>
      </w:r>
      <w:r w:rsidR="00696FCF" w:rsidRPr="00EF5A70">
        <w:t>přičemž</w:t>
      </w:r>
      <w:r w:rsidR="00E00AFE" w:rsidRPr="00EF5A70">
        <w:t xml:space="preserve"> </w:t>
      </w:r>
      <w:r w:rsidR="001E09F0">
        <w:t>rostoucí</w:t>
      </w:r>
      <w:r w:rsidR="00425ADB" w:rsidRPr="004627B6">
        <w:t xml:space="preserve"> </w:t>
      </w:r>
      <w:r w:rsidR="00322825" w:rsidRPr="004627B6">
        <w:t xml:space="preserve">nominální </w:t>
      </w:r>
      <w:r w:rsidR="00425ADB" w:rsidRPr="004627B6">
        <w:t xml:space="preserve">HDP </w:t>
      </w:r>
      <w:r w:rsidR="00CD21CC" w:rsidRPr="004627B6">
        <w:t xml:space="preserve">přispěl k </w:t>
      </w:r>
      <w:r w:rsidR="001E09F0">
        <w:t>poklesu</w:t>
      </w:r>
      <w:r w:rsidR="00425ADB" w:rsidRPr="004627B6">
        <w:t xml:space="preserve"> zadlužení </w:t>
      </w:r>
      <w:r w:rsidR="00425ADB" w:rsidRPr="00020BFF">
        <w:t xml:space="preserve">o </w:t>
      </w:r>
      <w:r w:rsidR="00907835" w:rsidRPr="00020BFF">
        <w:t>–</w:t>
      </w:r>
      <w:r w:rsidR="005A2F95" w:rsidRPr="00020BFF">
        <w:t xml:space="preserve"> </w:t>
      </w:r>
      <w:r w:rsidR="00020BFF">
        <w:t>3,8</w:t>
      </w:r>
      <w:r w:rsidR="00425ADB" w:rsidRPr="00020BFF">
        <w:t xml:space="preserve"> </w:t>
      </w:r>
      <w:r w:rsidR="00CB4EDA">
        <w:t>p. b.</w:t>
      </w:r>
      <w:r w:rsidR="00FA1B2C" w:rsidRPr="004627B6">
        <w:t xml:space="preserve"> </w:t>
      </w:r>
      <w:r>
        <w:t xml:space="preserve">Dluh stoupl </w:t>
      </w:r>
      <w:proofErr w:type="spellStart"/>
      <w:r>
        <w:t>m</w:t>
      </w:r>
      <w:r w:rsidR="00A60B8B" w:rsidRPr="004627B6">
        <w:t>ezičtvrtletně</w:t>
      </w:r>
      <w:proofErr w:type="spellEnd"/>
      <w:r w:rsidR="00A60B8B" w:rsidRPr="004627B6">
        <w:t xml:space="preserve"> </w:t>
      </w:r>
      <w:r w:rsidRPr="00020BFF">
        <w:t xml:space="preserve">o </w:t>
      </w:r>
      <w:r w:rsidR="00020BFF">
        <w:t>117,0</w:t>
      </w:r>
      <w:r w:rsidRPr="00020BFF">
        <w:t xml:space="preserve"> mld. Kč</w:t>
      </w:r>
      <w:r>
        <w:t>.</w:t>
      </w:r>
      <w:r w:rsidR="00425ADB" w:rsidRPr="004627B6">
        <w:t xml:space="preserve"> </w:t>
      </w:r>
      <w:proofErr w:type="spellStart"/>
      <w:r w:rsidR="00390F50">
        <w:t>Mezičtvrtletně</w:t>
      </w:r>
      <w:proofErr w:type="spellEnd"/>
      <w:r w:rsidR="00390F50">
        <w:t xml:space="preserve"> došlo ke zvýšení </w:t>
      </w:r>
      <w:r w:rsidR="00AE3EE0" w:rsidRPr="004627B6">
        <w:t xml:space="preserve">míry zadlužení </w:t>
      </w:r>
      <w:r w:rsidR="002E1D66" w:rsidRPr="00020BFF">
        <w:t xml:space="preserve">o </w:t>
      </w:r>
      <w:r w:rsidR="00020BFF">
        <w:t>0,8</w:t>
      </w:r>
      <w:r w:rsidR="00675EC0" w:rsidRPr="00020BFF">
        <w:t xml:space="preserve"> </w:t>
      </w:r>
      <w:r w:rsidR="00641B4A" w:rsidRPr="00020BFF">
        <w:t>p. b</w:t>
      </w:r>
      <w:r w:rsidR="00641B4A" w:rsidRPr="004627B6">
        <w:t>.</w:t>
      </w:r>
      <w:r w:rsidR="00390F50">
        <w:t xml:space="preserve"> </w:t>
      </w:r>
      <w:r w:rsidR="003316B5">
        <w:t>Rostoucí d</w:t>
      </w:r>
      <w:r w:rsidR="00390F50">
        <w:t>luh přispě</w:t>
      </w:r>
      <w:r w:rsidR="003316B5">
        <w:t>l ke zvýšení míry zadlužení</w:t>
      </w:r>
      <w:r w:rsidR="001E09F0">
        <w:t xml:space="preserve"> </w:t>
      </w:r>
      <w:r w:rsidR="00390F50">
        <w:t>o</w:t>
      </w:r>
      <w:r w:rsidR="00020BFF">
        <w:t xml:space="preserve"> +</w:t>
      </w:r>
      <w:r w:rsidR="00390F50">
        <w:t xml:space="preserve"> </w:t>
      </w:r>
      <w:r w:rsidR="00020BFF">
        <w:t>1,9</w:t>
      </w:r>
      <w:r w:rsidR="00CB4EDA">
        <w:t xml:space="preserve"> </w:t>
      </w:r>
      <w:proofErr w:type="spellStart"/>
      <w:proofErr w:type="gramStart"/>
      <w:r w:rsidR="00CB4EDA">
        <w:t>p.b</w:t>
      </w:r>
      <w:proofErr w:type="spellEnd"/>
      <w:r w:rsidR="00CB4EDA">
        <w:t>.,</w:t>
      </w:r>
      <w:r w:rsidR="00992F43">
        <w:t xml:space="preserve"> </w:t>
      </w:r>
      <w:r w:rsidR="00CB4EDA">
        <w:t>naopak</w:t>
      </w:r>
      <w:proofErr w:type="gramEnd"/>
      <w:r w:rsidR="00CB4EDA">
        <w:t xml:space="preserve"> </w:t>
      </w:r>
      <w:r w:rsidR="00992F43">
        <w:t>růst</w:t>
      </w:r>
      <w:r w:rsidR="00390F50">
        <w:t xml:space="preserve"> nominálního </w:t>
      </w:r>
      <w:r w:rsidR="00641B4A" w:rsidRPr="004627B6">
        <w:t xml:space="preserve">HDP </w:t>
      </w:r>
      <w:r w:rsidR="001E09F0">
        <w:t>přispěl k poklesu o</w:t>
      </w:r>
      <w:r w:rsidR="00641B4A" w:rsidRPr="004627B6">
        <w:t xml:space="preserve"> </w:t>
      </w:r>
      <w:r w:rsidR="001E09F0" w:rsidRPr="003316B5">
        <w:t xml:space="preserve">– </w:t>
      </w:r>
      <w:r w:rsidR="003316B5">
        <w:t>1,1</w:t>
      </w:r>
      <w:r w:rsidR="00641B4A" w:rsidRPr="003316B5">
        <w:t xml:space="preserve"> p. b</w:t>
      </w:r>
      <w:r w:rsidR="00B31B71" w:rsidRPr="003316B5">
        <w:t>.</w:t>
      </w:r>
    </w:p>
    <w:p w14:paraId="471CC7E8" w14:textId="669E9EA4" w:rsidR="009336F8" w:rsidRPr="00417673" w:rsidRDefault="009336F8" w:rsidP="00425ADB">
      <w:pPr>
        <w:rPr>
          <w:highlight w:val="yellow"/>
        </w:rPr>
      </w:pPr>
    </w:p>
    <w:p w14:paraId="5CEBB18B" w14:textId="6D995C24" w:rsidR="00607E62" w:rsidRDefault="009336F8" w:rsidP="00D95B91">
      <w:r w:rsidRPr="006330B1">
        <w:lastRenderedPageBreak/>
        <w:t>Z hlediska jednotlivých komponent dluhu byl meziroční nárůst</w:t>
      </w:r>
      <w:r w:rsidR="00607E62" w:rsidRPr="006330B1">
        <w:t xml:space="preserve"> zaznamenán </w:t>
      </w:r>
      <w:r w:rsidR="006330B1" w:rsidRPr="006330B1">
        <w:t xml:space="preserve">především </w:t>
      </w:r>
      <w:r w:rsidR="00607E62" w:rsidRPr="006330B1">
        <w:t xml:space="preserve">u </w:t>
      </w:r>
      <w:r w:rsidR="0033552A" w:rsidRPr="00B77751">
        <w:t>emitovaných cenných papírů (+</w:t>
      </w:r>
      <w:r w:rsidR="0062797D" w:rsidRPr="00B77751">
        <w:t xml:space="preserve"> </w:t>
      </w:r>
      <w:r w:rsidR="00B77751">
        <w:t>280,0</w:t>
      </w:r>
      <w:r w:rsidR="0033552A" w:rsidRPr="00B77751">
        <w:t xml:space="preserve"> mld. Kč</w:t>
      </w:r>
      <w:r w:rsidR="006330B1" w:rsidRPr="00B77751">
        <w:t>)</w:t>
      </w:r>
      <w:r w:rsidR="00B77751">
        <w:t>, které</w:t>
      </w:r>
      <w:r w:rsidR="00746FAC" w:rsidRPr="006330B1">
        <w:t xml:space="preserve"> </w:t>
      </w:r>
      <w:r w:rsidR="00BE072E" w:rsidRPr="006330B1">
        <w:t xml:space="preserve">i nadále </w:t>
      </w:r>
      <w:r w:rsidR="00607E62" w:rsidRPr="006330B1">
        <w:t>zůstávají hlavní komponentou dluhu.</w:t>
      </w:r>
      <w:r w:rsidR="008C6D93" w:rsidRPr="006330B1">
        <w:t xml:space="preserve"> </w:t>
      </w:r>
    </w:p>
    <w:p w14:paraId="748BB601" w14:textId="235F434C" w:rsidR="00390F50" w:rsidRDefault="00390F50" w:rsidP="00390F50">
      <w:pPr>
        <w:pStyle w:val="TabulkaGraf"/>
      </w:pPr>
    </w:p>
    <w:p w14:paraId="481E1476" w14:textId="77777777" w:rsidR="00390F50" w:rsidRDefault="00390F50" w:rsidP="00390F50">
      <w:pPr>
        <w:pStyle w:val="TabulkaGraf"/>
      </w:pPr>
    </w:p>
    <w:p w14:paraId="19EDA098" w14:textId="77777777" w:rsidR="00E6431E" w:rsidRPr="00270F84" w:rsidRDefault="00E6431E" w:rsidP="00A94B28"/>
    <w:p w14:paraId="4C369526" w14:textId="0D465D92"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382035">
        <w:t>1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</w:t>
      </w:r>
      <w:r w:rsidR="00382035">
        <w:t>20</w:t>
      </w:r>
      <w:r w:rsidR="00B85D5E" w:rsidRPr="00270F84">
        <w:t xml:space="preserve"> </w:t>
      </w:r>
      <w:r w:rsidR="000A2AF1" w:rsidRPr="00270F84">
        <w:t xml:space="preserve">– </w:t>
      </w:r>
      <w:r w:rsidR="00382035">
        <w:t>1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="008C6D93">
        <w:t>202</w:t>
      </w:r>
      <w:r w:rsidR="00382035">
        <w:t>2</w:t>
      </w:r>
    </w:p>
    <w:p w14:paraId="6504B9E7" w14:textId="0213FB94" w:rsidR="00DB5168" w:rsidRDefault="003633B8" w:rsidP="007D7C61">
      <w:r>
        <w:rPr>
          <w:noProof/>
          <w:lang w:eastAsia="cs-CZ"/>
        </w:rPr>
        <w:drawing>
          <wp:inline distT="0" distB="0" distL="0" distR="0" wp14:anchorId="53A6FF75" wp14:editId="66A9640E">
            <wp:extent cx="5400040" cy="2638425"/>
            <wp:effectExtent l="0" t="0" r="10160" b="9525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5CD0BA" w14:textId="77777777" w:rsidR="005A7C66" w:rsidRDefault="005A7C66" w:rsidP="007D7C61"/>
    <w:p w14:paraId="6F666392" w14:textId="73E8F9F9" w:rsidR="00121358" w:rsidRDefault="003633B8" w:rsidP="005A7C66">
      <w:r>
        <w:rPr>
          <w:noProof/>
          <w:lang w:eastAsia="cs-CZ"/>
        </w:rPr>
        <w:drawing>
          <wp:inline distT="0" distB="0" distL="0" distR="0" wp14:anchorId="4BCAC5A9" wp14:editId="26BA7C9A">
            <wp:extent cx="5400040" cy="2102485"/>
            <wp:effectExtent l="0" t="0" r="10160" b="12065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B5126E" w14:textId="77777777" w:rsidR="00121358" w:rsidRDefault="00121358" w:rsidP="005A7C66"/>
    <w:p w14:paraId="60C02212" w14:textId="7642E4B7" w:rsidR="005A7C66" w:rsidRDefault="007029F8" w:rsidP="005A7C66">
      <w:r w:rsidRPr="008A5B79">
        <w:t xml:space="preserve">Saldo hospodaření vládních institucí po očištění o </w:t>
      </w:r>
      <w:r w:rsidRPr="00CD4F83">
        <w:t>sezónní a kalendářní vlivy</w:t>
      </w:r>
      <w:r w:rsidRPr="008A5B79">
        <w:t xml:space="preserve"> skončilo v deficitu </w:t>
      </w:r>
      <w:r w:rsidR="007B5482" w:rsidRPr="00F45BA6">
        <w:t>75,0</w:t>
      </w:r>
      <w:r w:rsidRPr="00F45BA6">
        <w:t xml:space="preserve"> mld. Kč, který odpovídal </w:t>
      </w:r>
      <w:r w:rsidR="007B5482" w:rsidRPr="00F45BA6">
        <w:t>4,6</w:t>
      </w:r>
      <w:r w:rsidRPr="00F45BA6">
        <w:t xml:space="preserve"> % HDP</w:t>
      </w:r>
      <w:r w:rsidRPr="0004366C">
        <w:t xml:space="preserve">. </w:t>
      </w:r>
      <w:proofErr w:type="spellStart"/>
      <w:r w:rsidRPr="0004366C">
        <w:t>Mezičtvrtletně</w:t>
      </w:r>
      <w:proofErr w:type="spellEnd"/>
      <w:r w:rsidRPr="0004366C">
        <w:t xml:space="preserve"> </w:t>
      </w:r>
      <w:r>
        <w:t>se saldo</w:t>
      </w:r>
      <w:r w:rsidRPr="0004366C">
        <w:t xml:space="preserve"> hospodaření </w:t>
      </w:r>
      <w:r>
        <w:t xml:space="preserve">zlepšilo </w:t>
      </w:r>
      <w:r w:rsidRPr="008A5B79">
        <w:t>o </w:t>
      </w:r>
      <w:r w:rsidR="007B5482" w:rsidRPr="00F45BA6">
        <w:t>3,7</w:t>
      </w:r>
      <w:r w:rsidRPr="00F45BA6">
        <w:t> mld. Kč</w:t>
      </w:r>
      <w:r w:rsidRPr="0004366C">
        <w:t>.</w:t>
      </w:r>
      <w:r>
        <w:t xml:space="preserve"> </w:t>
      </w:r>
      <w:r w:rsidR="005A7C66" w:rsidRPr="0004366C">
        <w:t>Vývoj salda hospodaření vládních institucí očištěného o sezónní a kalendářní vlivy ilustruje následující graf.</w:t>
      </w:r>
    </w:p>
    <w:p w14:paraId="45E7F6B7" w14:textId="77777777" w:rsidR="005A7C66" w:rsidRDefault="005A7C66" w:rsidP="005A7C66"/>
    <w:p w14:paraId="6EF0982E" w14:textId="3E803070" w:rsidR="005A7C66" w:rsidRPr="00706DBC" w:rsidRDefault="005A7C66" w:rsidP="005A7C66">
      <w:pPr>
        <w:pStyle w:val="TabulkaGraf"/>
        <w:keepNext/>
      </w:pPr>
      <w:r>
        <w:lastRenderedPageBreak/>
        <w:t>Sezónně očištěné saldo hospodaření</w:t>
      </w:r>
      <w:r w:rsidRPr="00706DBC">
        <w:t xml:space="preserve"> vládních institucí, </w:t>
      </w:r>
      <w:r w:rsidR="00382035">
        <w:t>1</w:t>
      </w:r>
      <w:r w:rsidR="00DE6A49">
        <w:t>. čtvrtletí 20</w:t>
      </w:r>
      <w:r w:rsidR="00382035">
        <w:t>20</w:t>
      </w:r>
      <w:r w:rsidRPr="00706DBC">
        <w:t xml:space="preserve"> – </w:t>
      </w:r>
      <w:r w:rsidR="00382035">
        <w:t>1</w:t>
      </w:r>
      <w:r w:rsidR="00DE6A49">
        <w:t>. čtvrtletí 202</w:t>
      </w:r>
      <w:r w:rsidR="00382035">
        <w:t>2</w:t>
      </w:r>
    </w:p>
    <w:p w14:paraId="4FCD2497" w14:textId="5F044931" w:rsidR="00647423" w:rsidRDefault="00F45BA6" w:rsidP="005A7C66">
      <w:r>
        <w:rPr>
          <w:noProof/>
          <w:lang w:eastAsia="cs-CZ"/>
        </w:rPr>
        <w:drawing>
          <wp:inline distT="0" distB="0" distL="0" distR="0" wp14:anchorId="4278B7C4" wp14:editId="74F6410B">
            <wp:extent cx="5400040" cy="2133600"/>
            <wp:effectExtent l="0" t="0" r="1016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20034E" w14:textId="03EA1DA3" w:rsidR="00D265C7" w:rsidRDefault="00D265C7" w:rsidP="005A7C66"/>
    <w:p w14:paraId="365F29DE" w14:textId="77777777" w:rsidR="005A7C66" w:rsidRPr="004920AD" w:rsidRDefault="005A7C66" w:rsidP="005A7C66">
      <w:pPr>
        <w:pStyle w:val="Poznmky0"/>
      </w:pPr>
      <w:r>
        <w:t>Poznámky:</w:t>
      </w:r>
    </w:p>
    <w:p w14:paraId="7BD5F612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>statistiky nadměrného dluhu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5A4E1B3B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17788AB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61C2C09E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</w:p>
    <w:p w14:paraId="07644598" w14:textId="77777777" w:rsidR="005A7C66" w:rsidRPr="002C1411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2CCE8F25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625F5F01" w14:textId="0ED3AEC9" w:rsidR="009C4851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="00AA55EC">
        <w:rPr>
          <w:i/>
          <w:sz w:val="18"/>
          <w:szCs w:val="18"/>
        </w:rPr>
        <w:t xml:space="preserve"> Podrobné údaje v časových řadách o</w:t>
      </w:r>
      <w:r w:rsidRPr="002C1411">
        <w:rPr>
          <w:i/>
          <w:sz w:val="18"/>
          <w:szCs w:val="18"/>
        </w:rPr>
        <w:t xml:space="preserve">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účty“.(</w:t>
      </w:r>
      <w:hyperlink r:id="rId11" w:history="1">
        <w:r w:rsidR="00AA55EC">
          <w:rPr>
            <w:rStyle w:val="Hypertextovodkaz"/>
            <w:i/>
            <w:sz w:val="18"/>
            <w:szCs w:val="18"/>
          </w:rPr>
          <w:t>Sektor vládních institucí</w:t>
        </w:r>
      </w:hyperlink>
      <w:r w:rsidRPr="002C1411">
        <w:rPr>
          <w:i/>
          <w:sz w:val="18"/>
          <w:szCs w:val="18"/>
        </w:rPr>
        <w:t>)</w:t>
      </w:r>
      <w:r w:rsidR="009C4851">
        <w:rPr>
          <w:i/>
          <w:sz w:val="18"/>
          <w:szCs w:val="18"/>
        </w:rPr>
        <w:t xml:space="preserve">. </w:t>
      </w:r>
      <w:r w:rsidR="002E255E">
        <w:rPr>
          <w:i/>
          <w:sz w:val="18"/>
          <w:szCs w:val="18"/>
        </w:rPr>
        <w:t>Pokud není uvedeno jinak, data nejsou očištěna o sezónní a kalendářní vlivy.</w:t>
      </w:r>
      <w:r w:rsidR="005E471D">
        <w:rPr>
          <w:i/>
          <w:sz w:val="18"/>
          <w:szCs w:val="18"/>
        </w:rPr>
        <w:t xml:space="preserve"> </w:t>
      </w:r>
      <w:r w:rsidR="009C4851" w:rsidRPr="009C4851">
        <w:rPr>
          <w:i/>
          <w:sz w:val="18"/>
          <w:szCs w:val="18"/>
        </w:rPr>
        <w:t>Časová řada</w:t>
      </w:r>
      <w:r w:rsidR="009C4851">
        <w:rPr>
          <w:i/>
          <w:sz w:val="18"/>
          <w:szCs w:val="18"/>
        </w:rPr>
        <w:t xml:space="preserve"> sezónně očištěného salda vládních institucí (položka </w:t>
      </w:r>
      <w:r w:rsidR="009C4851" w:rsidRPr="009C4851">
        <w:rPr>
          <w:i/>
          <w:sz w:val="18"/>
          <w:szCs w:val="18"/>
        </w:rPr>
        <w:t>Čisté půjčky/ výpůjčky</w:t>
      </w:r>
      <w:r w:rsidR="009C4851">
        <w:rPr>
          <w:i/>
          <w:sz w:val="18"/>
          <w:szCs w:val="18"/>
        </w:rPr>
        <w:t xml:space="preserve">) </w:t>
      </w:r>
      <w:hyperlink r:id="rId12" w:history="1">
        <w:r w:rsidR="009C4851">
          <w:rPr>
            <w:rStyle w:val="Hypertextovodkaz"/>
            <w:i/>
            <w:sz w:val="18"/>
            <w:szCs w:val="18"/>
          </w:rPr>
          <w:t xml:space="preserve">Časová řada sezónně očištěných účtů za </w:t>
        </w:r>
        <w:proofErr w:type="gramStart"/>
        <w:r w:rsidR="009C4851">
          <w:rPr>
            <w:rStyle w:val="Hypertextovodkaz"/>
            <w:i/>
            <w:sz w:val="18"/>
            <w:szCs w:val="18"/>
          </w:rPr>
          <w:t>S.13</w:t>
        </w:r>
        <w:proofErr w:type="gramEnd"/>
        <w:r w:rsidR="009C4851">
          <w:rPr>
            <w:rStyle w:val="Hypertextovodkaz"/>
            <w:i/>
            <w:sz w:val="18"/>
            <w:szCs w:val="18"/>
          </w:rPr>
          <w:t xml:space="preserve"> </w:t>
        </w:r>
      </w:hyperlink>
      <w:r w:rsidR="009C4851">
        <w:rPr>
          <w:i/>
          <w:sz w:val="18"/>
          <w:szCs w:val="18"/>
        </w:rPr>
        <w:t>.</w:t>
      </w:r>
    </w:p>
    <w:p w14:paraId="26C56F68" w14:textId="77777777" w:rsidR="005A7C66" w:rsidRDefault="005A7C66" w:rsidP="005A7C66">
      <w:pPr>
        <w:rPr>
          <w:i/>
          <w:sz w:val="18"/>
          <w:szCs w:val="18"/>
        </w:rPr>
      </w:pPr>
    </w:p>
    <w:p w14:paraId="2E86067E" w14:textId="77777777"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5197"/>
      </w:tblGrid>
      <w:tr w:rsidR="007674A6" w14:paraId="61621A11" w14:textId="77777777" w:rsidTr="00242A34">
        <w:tc>
          <w:tcPr>
            <w:tcW w:w="3369" w:type="dxa"/>
          </w:tcPr>
          <w:p w14:paraId="66B3D3BB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1D582051" w14:textId="77777777" w:rsidR="001209A6" w:rsidRDefault="007674A6" w:rsidP="006464CD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</w:t>
            </w:r>
            <w:r w:rsidR="00426D89">
              <w:rPr>
                <w:i/>
                <w:iCs/>
                <w:sz w:val="18"/>
                <w:szCs w:val="18"/>
              </w:rPr>
              <w:t xml:space="preserve"> </w:t>
            </w:r>
            <w:r w:rsidR="008432DB">
              <w:rPr>
                <w:i/>
                <w:iCs/>
                <w:sz w:val="18"/>
                <w:szCs w:val="18"/>
              </w:rPr>
              <w:t>Helena Houžvičková</w:t>
            </w:r>
            <w:r w:rsidRPr="002C1411">
              <w:rPr>
                <w:i/>
                <w:iCs/>
                <w:sz w:val="18"/>
                <w:szCs w:val="18"/>
              </w:rPr>
              <w:t>,</w:t>
            </w:r>
            <w:r w:rsidR="00982CA8">
              <w:rPr>
                <w:i/>
                <w:iCs/>
                <w:sz w:val="18"/>
                <w:szCs w:val="18"/>
              </w:rPr>
              <w:t xml:space="preserve"> ředitel</w:t>
            </w:r>
            <w:r w:rsidR="001209A6">
              <w:rPr>
                <w:i/>
                <w:iCs/>
                <w:sz w:val="18"/>
                <w:szCs w:val="18"/>
              </w:rPr>
              <w:t>ka</w:t>
            </w:r>
            <w:r w:rsidR="00982CA8">
              <w:rPr>
                <w:i/>
                <w:iCs/>
                <w:sz w:val="18"/>
                <w:szCs w:val="18"/>
              </w:rPr>
              <w:t xml:space="preserve"> </w:t>
            </w:r>
            <w:r w:rsidR="00F20640">
              <w:rPr>
                <w:i/>
                <w:iCs/>
                <w:sz w:val="18"/>
                <w:szCs w:val="18"/>
              </w:rPr>
              <w:t>odboru vládních a finančních účtů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="00F20640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BCEA379" w14:textId="40FF4DCA" w:rsidR="007674A6" w:rsidRDefault="00F20640" w:rsidP="006464CD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tel.: </w:t>
            </w:r>
            <w:r w:rsidR="006464CD">
              <w:rPr>
                <w:i/>
                <w:iCs/>
                <w:sz w:val="18"/>
                <w:szCs w:val="18"/>
              </w:rPr>
              <w:t>704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="006464CD">
              <w:rPr>
                <w:i/>
                <w:iCs/>
                <w:sz w:val="18"/>
                <w:szCs w:val="18"/>
              </w:rPr>
              <w:t>688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="006464CD">
              <w:rPr>
                <w:i/>
                <w:iCs/>
                <w:sz w:val="18"/>
                <w:szCs w:val="18"/>
              </w:rPr>
              <w:t>734</w:t>
            </w:r>
            <w:r w:rsidR="007674A6"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3" w:history="1">
              <w:r w:rsidR="008432DB" w:rsidRPr="00A412AF">
                <w:rPr>
                  <w:rStyle w:val="Hypertextovodkaz"/>
                  <w:sz w:val="18"/>
                </w:rPr>
                <w:t>helena.houzvickova@czso.cz</w:t>
              </w:r>
            </w:hyperlink>
            <w:r w:rsidR="007674A6">
              <w:rPr>
                <w:sz w:val="18"/>
              </w:rPr>
              <w:t xml:space="preserve"> </w:t>
            </w:r>
          </w:p>
        </w:tc>
      </w:tr>
      <w:tr w:rsidR="007674A6" w14:paraId="228C36AC" w14:textId="77777777" w:rsidTr="00242A34">
        <w:tc>
          <w:tcPr>
            <w:tcW w:w="3369" w:type="dxa"/>
          </w:tcPr>
          <w:p w14:paraId="0B8EF876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37393383" w14:textId="77777777" w:rsidR="001209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</w:p>
          <w:p w14:paraId="06DE8B21" w14:textId="5F255BA2"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tel.: 274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4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14:paraId="42EC0B32" w14:textId="77777777" w:rsidTr="00242A34">
        <w:tc>
          <w:tcPr>
            <w:tcW w:w="3369" w:type="dxa"/>
          </w:tcPr>
          <w:p w14:paraId="781A3B79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21688CBE" w14:textId="0DE88897" w:rsidR="007674A6" w:rsidRPr="007F7CB9" w:rsidRDefault="00382035" w:rsidP="0038203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  <w:r w:rsidR="007674A6" w:rsidRPr="00F829FF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10</w:t>
            </w:r>
            <w:r w:rsidR="00760DE0" w:rsidRPr="00F829FF">
              <w:rPr>
                <w:i/>
                <w:iCs/>
                <w:sz w:val="18"/>
                <w:szCs w:val="18"/>
              </w:rPr>
              <w:t>. 20</w:t>
            </w:r>
            <w:r w:rsidR="005A7C66" w:rsidRPr="00F829FF">
              <w:rPr>
                <w:i/>
                <w:iCs/>
                <w:sz w:val="18"/>
                <w:szCs w:val="18"/>
              </w:rPr>
              <w:t>2</w:t>
            </w:r>
            <w:r w:rsidR="009348DD">
              <w:rPr>
                <w:i/>
                <w:iCs/>
                <w:sz w:val="18"/>
                <w:szCs w:val="18"/>
              </w:rPr>
              <w:t>2</w:t>
            </w:r>
          </w:p>
        </w:tc>
      </w:tr>
    </w:tbl>
    <w:p w14:paraId="7CD49D6F" w14:textId="77777777" w:rsidR="007674A6" w:rsidRDefault="007674A6" w:rsidP="007674A6">
      <w:pPr>
        <w:rPr>
          <w:i/>
          <w:iCs/>
          <w:sz w:val="18"/>
          <w:szCs w:val="18"/>
        </w:rPr>
      </w:pPr>
    </w:p>
    <w:p w14:paraId="03A8AD7B" w14:textId="77777777" w:rsidR="00EA2DE9" w:rsidRPr="00EA2DE9" w:rsidRDefault="00EA2DE9" w:rsidP="00EA2DE9"/>
    <w:sectPr w:rsidR="00EA2DE9" w:rsidRPr="00EA2DE9" w:rsidSect="00A60967">
      <w:headerReference w:type="default" r:id="rId15"/>
      <w:footerReference w:type="default" r:id="rId16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85FD" w14:textId="77777777" w:rsidR="00C130BD" w:rsidRDefault="00C130BD" w:rsidP="00BA6370">
      <w:r>
        <w:separator/>
      </w:r>
    </w:p>
  </w:endnote>
  <w:endnote w:type="continuationSeparator" w:id="0">
    <w:p w14:paraId="014504FB" w14:textId="77777777" w:rsidR="00C130BD" w:rsidRDefault="00C130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F7F" w14:textId="77777777" w:rsidR="00D77FB9" w:rsidRDefault="00D77FB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445A1" wp14:editId="629FF78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5EB6" w14:textId="77777777" w:rsidR="00D77FB9" w:rsidRPr="001404AB" w:rsidRDefault="00D77FB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82E40DD" w14:textId="5FEE701D" w:rsidR="00D77FB9" w:rsidRPr="00A81EB3" w:rsidRDefault="00D77FB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A10D2A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1</w: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5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BB05EB6" w14:textId="77777777" w:rsidR="00D77FB9" w:rsidRPr="001404AB" w:rsidRDefault="00D77FB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82E40DD" w14:textId="5FEE701D" w:rsidR="00D77FB9" w:rsidRPr="00A81EB3" w:rsidRDefault="00D77FB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A10D2A">
                      <w:rPr>
                        <w:rFonts w:cs="Arial"/>
                        <w:noProof/>
                        <w:sz w:val="18"/>
                        <w:szCs w:val="15"/>
                      </w:rPr>
                      <w:t>1</w: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E88955" wp14:editId="4CE942B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D6AA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6F15" w14:textId="77777777" w:rsidR="00C130BD" w:rsidRDefault="00C130BD" w:rsidP="00BA6370">
      <w:r>
        <w:separator/>
      </w:r>
    </w:p>
  </w:footnote>
  <w:footnote w:type="continuationSeparator" w:id="0">
    <w:p w14:paraId="02521FF3" w14:textId="77777777" w:rsidR="00C130BD" w:rsidRDefault="00C130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063C" w14:textId="77777777" w:rsidR="00D77FB9" w:rsidRDefault="00D77F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0703E1" wp14:editId="472CA9A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5C1F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8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6"/>
    <w:rsid w:val="0000660A"/>
    <w:rsid w:val="00006D9A"/>
    <w:rsid w:val="000078FA"/>
    <w:rsid w:val="000114D9"/>
    <w:rsid w:val="000206EA"/>
    <w:rsid w:val="00020BFF"/>
    <w:rsid w:val="00022194"/>
    <w:rsid w:val="00024DDA"/>
    <w:rsid w:val="00027226"/>
    <w:rsid w:val="00027ED4"/>
    <w:rsid w:val="00027F53"/>
    <w:rsid w:val="00031874"/>
    <w:rsid w:val="00031E89"/>
    <w:rsid w:val="0004366C"/>
    <w:rsid w:val="00043BF4"/>
    <w:rsid w:val="0004710A"/>
    <w:rsid w:val="0005106B"/>
    <w:rsid w:val="00053474"/>
    <w:rsid w:val="00060E33"/>
    <w:rsid w:val="00064701"/>
    <w:rsid w:val="000843A5"/>
    <w:rsid w:val="00090EA1"/>
    <w:rsid w:val="000910DA"/>
    <w:rsid w:val="000933DC"/>
    <w:rsid w:val="00096D6C"/>
    <w:rsid w:val="000A18CB"/>
    <w:rsid w:val="000A2AF1"/>
    <w:rsid w:val="000A5146"/>
    <w:rsid w:val="000A6AEE"/>
    <w:rsid w:val="000B2CAC"/>
    <w:rsid w:val="000B6F63"/>
    <w:rsid w:val="000C0A2C"/>
    <w:rsid w:val="000C2F30"/>
    <w:rsid w:val="000D093F"/>
    <w:rsid w:val="000D3CE2"/>
    <w:rsid w:val="000D4AC4"/>
    <w:rsid w:val="000D6E7B"/>
    <w:rsid w:val="000E1AFD"/>
    <w:rsid w:val="000E2FF8"/>
    <w:rsid w:val="000E43CC"/>
    <w:rsid w:val="000E6B36"/>
    <w:rsid w:val="000F3C40"/>
    <w:rsid w:val="000F5D76"/>
    <w:rsid w:val="0010238B"/>
    <w:rsid w:val="00105B76"/>
    <w:rsid w:val="00112FC7"/>
    <w:rsid w:val="00113C55"/>
    <w:rsid w:val="00115EAD"/>
    <w:rsid w:val="001209A6"/>
    <w:rsid w:val="00120CA1"/>
    <w:rsid w:val="00121358"/>
    <w:rsid w:val="00130DF5"/>
    <w:rsid w:val="001322AB"/>
    <w:rsid w:val="001369E2"/>
    <w:rsid w:val="00136D80"/>
    <w:rsid w:val="001373DB"/>
    <w:rsid w:val="001404AB"/>
    <w:rsid w:val="00143CB1"/>
    <w:rsid w:val="00150F5D"/>
    <w:rsid w:val="00151F49"/>
    <w:rsid w:val="001541E4"/>
    <w:rsid w:val="0015543C"/>
    <w:rsid w:val="001557F3"/>
    <w:rsid w:val="001559C0"/>
    <w:rsid w:val="00155E76"/>
    <w:rsid w:val="00156857"/>
    <w:rsid w:val="001570D9"/>
    <w:rsid w:val="00157705"/>
    <w:rsid w:val="001614B5"/>
    <w:rsid w:val="00164ABA"/>
    <w:rsid w:val="00167288"/>
    <w:rsid w:val="00170F69"/>
    <w:rsid w:val="00171765"/>
    <w:rsid w:val="00171CC7"/>
    <w:rsid w:val="0017231D"/>
    <w:rsid w:val="00174C88"/>
    <w:rsid w:val="001807A0"/>
    <w:rsid w:val="001810DC"/>
    <w:rsid w:val="00183B9F"/>
    <w:rsid w:val="001933FC"/>
    <w:rsid w:val="00194EA9"/>
    <w:rsid w:val="001955F2"/>
    <w:rsid w:val="001A12E4"/>
    <w:rsid w:val="001A49E6"/>
    <w:rsid w:val="001B13D2"/>
    <w:rsid w:val="001B1F6A"/>
    <w:rsid w:val="001B607F"/>
    <w:rsid w:val="001B6312"/>
    <w:rsid w:val="001B7272"/>
    <w:rsid w:val="001C30B0"/>
    <w:rsid w:val="001D0297"/>
    <w:rsid w:val="001D0699"/>
    <w:rsid w:val="001D1A8D"/>
    <w:rsid w:val="001D291B"/>
    <w:rsid w:val="001D369A"/>
    <w:rsid w:val="001D7AFB"/>
    <w:rsid w:val="001E09BE"/>
    <w:rsid w:val="001E09F0"/>
    <w:rsid w:val="001E6514"/>
    <w:rsid w:val="001F08B3"/>
    <w:rsid w:val="001F2FE0"/>
    <w:rsid w:val="001F4E2C"/>
    <w:rsid w:val="001F581C"/>
    <w:rsid w:val="001F7DD5"/>
    <w:rsid w:val="00200854"/>
    <w:rsid w:val="00201FAF"/>
    <w:rsid w:val="002070FB"/>
    <w:rsid w:val="00210C77"/>
    <w:rsid w:val="00213729"/>
    <w:rsid w:val="00222149"/>
    <w:rsid w:val="00233976"/>
    <w:rsid w:val="002400B9"/>
    <w:rsid w:val="002406FA"/>
    <w:rsid w:val="002419EE"/>
    <w:rsid w:val="00242A34"/>
    <w:rsid w:val="00255BC3"/>
    <w:rsid w:val="0026107B"/>
    <w:rsid w:val="002639AF"/>
    <w:rsid w:val="00264DAF"/>
    <w:rsid w:val="00270F84"/>
    <w:rsid w:val="00271561"/>
    <w:rsid w:val="002733DB"/>
    <w:rsid w:val="00275A82"/>
    <w:rsid w:val="00275EEB"/>
    <w:rsid w:val="002773CD"/>
    <w:rsid w:val="002819BE"/>
    <w:rsid w:val="00281B97"/>
    <w:rsid w:val="00291851"/>
    <w:rsid w:val="00292BC3"/>
    <w:rsid w:val="00295A12"/>
    <w:rsid w:val="002A5502"/>
    <w:rsid w:val="002A56D6"/>
    <w:rsid w:val="002A6B48"/>
    <w:rsid w:val="002A77F8"/>
    <w:rsid w:val="002B2E47"/>
    <w:rsid w:val="002B3EA6"/>
    <w:rsid w:val="002B4B65"/>
    <w:rsid w:val="002C20A3"/>
    <w:rsid w:val="002C48E6"/>
    <w:rsid w:val="002C529C"/>
    <w:rsid w:val="002D06AA"/>
    <w:rsid w:val="002E1D66"/>
    <w:rsid w:val="002E255E"/>
    <w:rsid w:val="002E510B"/>
    <w:rsid w:val="002E7C61"/>
    <w:rsid w:val="002F219C"/>
    <w:rsid w:val="002F357E"/>
    <w:rsid w:val="00304176"/>
    <w:rsid w:val="003041F0"/>
    <w:rsid w:val="00312263"/>
    <w:rsid w:val="00312A78"/>
    <w:rsid w:val="00313271"/>
    <w:rsid w:val="00313F16"/>
    <w:rsid w:val="00322825"/>
    <w:rsid w:val="00323131"/>
    <w:rsid w:val="00327EDB"/>
    <w:rsid w:val="003301A3"/>
    <w:rsid w:val="003301DA"/>
    <w:rsid w:val="00331447"/>
    <w:rsid w:val="003316B5"/>
    <w:rsid w:val="0033552A"/>
    <w:rsid w:val="00345AA2"/>
    <w:rsid w:val="00351CA8"/>
    <w:rsid w:val="00353636"/>
    <w:rsid w:val="0035564A"/>
    <w:rsid w:val="00357199"/>
    <w:rsid w:val="003577F6"/>
    <w:rsid w:val="0036141C"/>
    <w:rsid w:val="003633B8"/>
    <w:rsid w:val="0036612E"/>
    <w:rsid w:val="0036777B"/>
    <w:rsid w:val="003718C5"/>
    <w:rsid w:val="0037782A"/>
    <w:rsid w:val="00382035"/>
    <w:rsid w:val="0038282A"/>
    <w:rsid w:val="00382E56"/>
    <w:rsid w:val="00390BDA"/>
    <w:rsid w:val="00390F50"/>
    <w:rsid w:val="0039376F"/>
    <w:rsid w:val="00394CD0"/>
    <w:rsid w:val="00395349"/>
    <w:rsid w:val="00395E60"/>
    <w:rsid w:val="003964A5"/>
    <w:rsid w:val="00397580"/>
    <w:rsid w:val="003A45C8"/>
    <w:rsid w:val="003B416A"/>
    <w:rsid w:val="003B4607"/>
    <w:rsid w:val="003C0206"/>
    <w:rsid w:val="003C039E"/>
    <w:rsid w:val="003C2DCF"/>
    <w:rsid w:val="003C54AE"/>
    <w:rsid w:val="003C7620"/>
    <w:rsid w:val="003C7864"/>
    <w:rsid w:val="003C7FE7"/>
    <w:rsid w:val="003D0499"/>
    <w:rsid w:val="003D3576"/>
    <w:rsid w:val="003D468E"/>
    <w:rsid w:val="003F4BD3"/>
    <w:rsid w:val="003F526A"/>
    <w:rsid w:val="003F5AA6"/>
    <w:rsid w:val="003F5DB2"/>
    <w:rsid w:val="003F7671"/>
    <w:rsid w:val="004011F6"/>
    <w:rsid w:val="0040272A"/>
    <w:rsid w:val="00405244"/>
    <w:rsid w:val="00405365"/>
    <w:rsid w:val="004060DD"/>
    <w:rsid w:val="004060E2"/>
    <w:rsid w:val="00407901"/>
    <w:rsid w:val="00413354"/>
    <w:rsid w:val="004154C7"/>
    <w:rsid w:val="00416195"/>
    <w:rsid w:val="00417673"/>
    <w:rsid w:val="00423779"/>
    <w:rsid w:val="00425ADB"/>
    <w:rsid w:val="00425F10"/>
    <w:rsid w:val="00426D89"/>
    <w:rsid w:val="00432C93"/>
    <w:rsid w:val="00441019"/>
    <w:rsid w:val="004436EE"/>
    <w:rsid w:val="00447B75"/>
    <w:rsid w:val="0045547F"/>
    <w:rsid w:val="004627B6"/>
    <w:rsid w:val="00465AAB"/>
    <w:rsid w:val="00470311"/>
    <w:rsid w:val="00471DEF"/>
    <w:rsid w:val="00474243"/>
    <w:rsid w:val="00474A48"/>
    <w:rsid w:val="004920AD"/>
    <w:rsid w:val="004961FB"/>
    <w:rsid w:val="004A0F29"/>
    <w:rsid w:val="004A1435"/>
    <w:rsid w:val="004A2FD5"/>
    <w:rsid w:val="004A5D0D"/>
    <w:rsid w:val="004B0E9B"/>
    <w:rsid w:val="004B7866"/>
    <w:rsid w:val="004C1C8D"/>
    <w:rsid w:val="004D05B3"/>
    <w:rsid w:val="004D07BE"/>
    <w:rsid w:val="004D3C79"/>
    <w:rsid w:val="004D3F4C"/>
    <w:rsid w:val="004D3FBC"/>
    <w:rsid w:val="004D7156"/>
    <w:rsid w:val="004D7CFA"/>
    <w:rsid w:val="004E0433"/>
    <w:rsid w:val="004E479E"/>
    <w:rsid w:val="004E785E"/>
    <w:rsid w:val="004F4372"/>
    <w:rsid w:val="004F686C"/>
    <w:rsid w:val="004F6EF7"/>
    <w:rsid w:val="004F78E6"/>
    <w:rsid w:val="0050191A"/>
    <w:rsid w:val="0050420E"/>
    <w:rsid w:val="00506867"/>
    <w:rsid w:val="00511B4C"/>
    <w:rsid w:val="00512D99"/>
    <w:rsid w:val="00513C44"/>
    <w:rsid w:val="00514205"/>
    <w:rsid w:val="00523F6F"/>
    <w:rsid w:val="00525BB0"/>
    <w:rsid w:val="00526E0E"/>
    <w:rsid w:val="00531DBB"/>
    <w:rsid w:val="005351F4"/>
    <w:rsid w:val="00540F2E"/>
    <w:rsid w:val="00542EBD"/>
    <w:rsid w:val="00545931"/>
    <w:rsid w:val="00546A7F"/>
    <w:rsid w:val="00551E5D"/>
    <w:rsid w:val="005543FD"/>
    <w:rsid w:val="00560372"/>
    <w:rsid w:val="005652F3"/>
    <w:rsid w:val="00566757"/>
    <w:rsid w:val="00573994"/>
    <w:rsid w:val="0057429D"/>
    <w:rsid w:val="00575CBC"/>
    <w:rsid w:val="00586986"/>
    <w:rsid w:val="00586F7A"/>
    <w:rsid w:val="00587411"/>
    <w:rsid w:val="00596033"/>
    <w:rsid w:val="005A2F95"/>
    <w:rsid w:val="005A4B9C"/>
    <w:rsid w:val="005A5773"/>
    <w:rsid w:val="005A797C"/>
    <w:rsid w:val="005A7C66"/>
    <w:rsid w:val="005B0489"/>
    <w:rsid w:val="005B2684"/>
    <w:rsid w:val="005B3516"/>
    <w:rsid w:val="005C15CD"/>
    <w:rsid w:val="005D0C9E"/>
    <w:rsid w:val="005D1FA7"/>
    <w:rsid w:val="005E1A31"/>
    <w:rsid w:val="005E4540"/>
    <w:rsid w:val="005E471D"/>
    <w:rsid w:val="005F0EFC"/>
    <w:rsid w:val="005F15A4"/>
    <w:rsid w:val="005F79FB"/>
    <w:rsid w:val="00601F81"/>
    <w:rsid w:val="00604406"/>
    <w:rsid w:val="00604C56"/>
    <w:rsid w:val="00605F4A"/>
    <w:rsid w:val="00607822"/>
    <w:rsid w:val="00607E62"/>
    <w:rsid w:val="006101BB"/>
    <w:rsid w:val="006103AA"/>
    <w:rsid w:val="00613BBF"/>
    <w:rsid w:val="0061784E"/>
    <w:rsid w:val="006179B0"/>
    <w:rsid w:val="00622B80"/>
    <w:rsid w:val="0062459A"/>
    <w:rsid w:val="0062466F"/>
    <w:rsid w:val="00627388"/>
    <w:rsid w:val="0062797D"/>
    <w:rsid w:val="006330B1"/>
    <w:rsid w:val="0063411C"/>
    <w:rsid w:val="00635BB1"/>
    <w:rsid w:val="006400BD"/>
    <w:rsid w:val="0064139A"/>
    <w:rsid w:val="00641B4A"/>
    <w:rsid w:val="00642760"/>
    <w:rsid w:val="006453A7"/>
    <w:rsid w:val="006464CD"/>
    <w:rsid w:val="00647423"/>
    <w:rsid w:val="0064756E"/>
    <w:rsid w:val="00650199"/>
    <w:rsid w:val="00650DE1"/>
    <w:rsid w:val="00651684"/>
    <w:rsid w:val="0065194E"/>
    <w:rsid w:val="00660D90"/>
    <w:rsid w:val="0066447A"/>
    <w:rsid w:val="00667BEA"/>
    <w:rsid w:val="00667CB5"/>
    <w:rsid w:val="00672348"/>
    <w:rsid w:val="00675EC0"/>
    <w:rsid w:val="00681501"/>
    <w:rsid w:val="00681750"/>
    <w:rsid w:val="006918F5"/>
    <w:rsid w:val="006931CF"/>
    <w:rsid w:val="00696FCF"/>
    <w:rsid w:val="006A1F09"/>
    <w:rsid w:val="006A28A6"/>
    <w:rsid w:val="006A7EAB"/>
    <w:rsid w:val="006B2B5A"/>
    <w:rsid w:val="006C4DDE"/>
    <w:rsid w:val="006D2075"/>
    <w:rsid w:val="006D3A02"/>
    <w:rsid w:val="006D6BFF"/>
    <w:rsid w:val="006E024F"/>
    <w:rsid w:val="006E39A7"/>
    <w:rsid w:val="006E428C"/>
    <w:rsid w:val="006E4E81"/>
    <w:rsid w:val="006E5508"/>
    <w:rsid w:val="006F016B"/>
    <w:rsid w:val="006F2D3A"/>
    <w:rsid w:val="006F38BC"/>
    <w:rsid w:val="006F401E"/>
    <w:rsid w:val="00701B16"/>
    <w:rsid w:val="007029F8"/>
    <w:rsid w:val="00705916"/>
    <w:rsid w:val="0070617B"/>
    <w:rsid w:val="00707F7D"/>
    <w:rsid w:val="00712924"/>
    <w:rsid w:val="00717EC5"/>
    <w:rsid w:val="00720C71"/>
    <w:rsid w:val="00724DB5"/>
    <w:rsid w:val="00724DF1"/>
    <w:rsid w:val="00746FAC"/>
    <w:rsid w:val="00747707"/>
    <w:rsid w:val="00747ECC"/>
    <w:rsid w:val="0075058C"/>
    <w:rsid w:val="00751B3D"/>
    <w:rsid w:val="00754C20"/>
    <w:rsid w:val="007567D0"/>
    <w:rsid w:val="00756B70"/>
    <w:rsid w:val="00760DE0"/>
    <w:rsid w:val="00765873"/>
    <w:rsid w:val="007674A6"/>
    <w:rsid w:val="00770F10"/>
    <w:rsid w:val="00770F34"/>
    <w:rsid w:val="0077450F"/>
    <w:rsid w:val="007935FE"/>
    <w:rsid w:val="00795F3F"/>
    <w:rsid w:val="007A0CE9"/>
    <w:rsid w:val="007A2048"/>
    <w:rsid w:val="007A2F1F"/>
    <w:rsid w:val="007A57F2"/>
    <w:rsid w:val="007B0AAF"/>
    <w:rsid w:val="007B1333"/>
    <w:rsid w:val="007B3BC2"/>
    <w:rsid w:val="007B4AC7"/>
    <w:rsid w:val="007B5482"/>
    <w:rsid w:val="007B7475"/>
    <w:rsid w:val="007C3F83"/>
    <w:rsid w:val="007C435E"/>
    <w:rsid w:val="007C565C"/>
    <w:rsid w:val="007C6639"/>
    <w:rsid w:val="007D44DD"/>
    <w:rsid w:val="007D58AD"/>
    <w:rsid w:val="007D624A"/>
    <w:rsid w:val="007D6F52"/>
    <w:rsid w:val="007D7C61"/>
    <w:rsid w:val="007E04BF"/>
    <w:rsid w:val="007E146B"/>
    <w:rsid w:val="007E3701"/>
    <w:rsid w:val="007E4054"/>
    <w:rsid w:val="007E5A52"/>
    <w:rsid w:val="007F0C04"/>
    <w:rsid w:val="007F4AEB"/>
    <w:rsid w:val="007F712A"/>
    <w:rsid w:val="007F75B2"/>
    <w:rsid w:val="007F77A8"/>
    <w:rsid w:val="007F7FF7"/>
    <w:rsid w:val="00803993"/>
    <w:rsid w:val="008043C4"/>
    <w:rsid w:val="0080469D"/>
    <w:rsid w:val="00805EC2"/>
    <w:rsid w:val="0080678E"/>
    <w:rsid w:val="00811BF3"/>
    <w:rsid w:val="00815D15"/>
    <w:rsid w:val="0082286D"/>
    <w:rsid w:val="00823594"/>
    <w:rsid w:val="008300E7"/>
    <w:rsid w:val="00830643"/>
    <w:rsid w:val="00831B1B"/>
    <w:rsid w:val="008328F4"/>
    <w:rsid w:val="008432DB"/>
    <w:rsid w:val="008459CB"/>
    <w:rsid w:val="00850C26"/>
    <w:rsid w:val="00852F35"/>
    <w:rsid w:val="0085371B"/>
    <w:rsid w:val="00855FB3"/>
    <w:rsid w:val="0085684F"/>
    <w:rsid w:val="00860C3B"/>
    <w:rsid w:val="00861D0E"/>
    <w:rsid w:val="00865670"/>
    <w:rsid w:val="008662BB"/>
    <w:rsid w:val="00867569"/>
    <w:rsid w:val="00870A48"/>
    <w:rsid w:val="00875B18"/>
    <w:rsid w:val="0088315F"/>
    <w:rsid w:val="00883641"/>
    <w:rsid w:val="00884CF1"/>
    <w:rsid w:val="00885B92"/>
    <w:rsid w:val="008918E6"/>
    <w:rsid w:val="008A0350"/>
    <w:rsid w:val="008A15CC"/>
    <w:rsid w:val="008A5B79"/>
    <w:rsid w:val="008A5D3E"/>
    <w:rsid w:val="008A750A"/>
    <w:rsid w:val="008B06BD"/>
    <w:rsid w:val="008B2A71"/>
    <w:rsid w:val="008B3970"/>
    <w:rsid w:val="008B4DC3"/>
    <w:rsid w:val="008B56F4"/>
    <w:rsid w:val="008B5BB1"/>
    <w:rsid w:val="008C384C"/>
    <w:rsid w:val="008C6D93"/>
    <w:rsid w:val="008D0F11"/>
    <w:rsid w:val="008D1041"/>
    <w:rsid w:val="008D6662"/>
    <w:rsid w:val="008D7FDA"/>
    <w:rsid w:val="008E611F"/>
    <w:rsid w:val="008E728B"/>
    <w:rsid w:val="008F202A"/>
    <w:rsid w:val="008F31E9"/>
    <w:rsid w:val="008F38CA"/>
    <w:rsid w:val="008F3E51"/>
    <w:rsid w:val="008F7147"/>
    <w:rsid w:val="008F73B4"/>
    <w:rsid w:val="0090040B"/>
    <w:rsid w:val="009005B6"/>
    <w:rsid w:val="00906F17"/>
    <w:rsid w:val="00907835"/>
    <w:rsid w:val="00910009"/>
    <w:rsid w:val="00915A3B"/>
    <w:rsid w:val="00917C75"/>
    <w:rsid w:val="00923308"/>
    <w:rsid w:val="00927342"/>
    <w:rsid w:val="00927EFE"/>
    <w:rsid w:val="0093024A"/>
    <w:rsid w:val="009336F8"/>
    <w:rsid w:val="009348DD"/>
    <w:rsid w:val="00935766"/>
    <w:rsid w:val="00936855"/>
    <w:rsid w:val="00961DC3"/>
    <w:rsid w:val="00974B5D"/>
    <w:rsid w:val="00980300"/>
    <w:rsid w:val="009828B5"/>
    <w:rsid w:val="00982CA8"/>
    <w:rsid w:val="00985D92"/>
    <w:rsid w:val="00986DD7"/>
    <w:rsid w:val="00987ACA"/>
    <w:rsid w:val="00987EC2"/>
    <w:rsid w:val="009906E9"/>
    <w:rsid w:val="00990C86"/>
    <w:rsid w:val="00992F43"/>
    <w:rsid w:val="00993B13"/>
    <w:rsid w:val="00995ACC"/>
    <w:rsid w:val="00996553"/>
    <w:rsid w:val="009A10AD"/>
    <w:rsid w:val="009A53E5"/>
    <w:rsid w:val="009B026E"/>
    <w:rsid w:val="009B55B1"/>
    <w:rsid w:val="009B5605"/>
    <w:rsid w:val="009C00B5"/>
    <w:rsid w:val="009C0C0B"/>
    <w:rsid w:val="009C406F"/>
    <w:rsid w:val="009C4851"/>
    <w:rsid w:val="009D6FE4"/>
    <w:rsid w:val="009E3E5F"/>
    <w:rsid w:val="009E79CE"/>
    <w:rsid w:val="00A075A1"/>
    <w:rsid w:val="00A0762A"/>
    <w:rsid w:val="00A10D2A"/>
    <w:rsid w:val="00A11EBE"/>
    <w:rsid w:val="00A12EB7"/>
    <w:rsid w:val="00A132F9"/>
    <w:rsid w:val="00A15D66"/>
    <w:rsid w:val="00A23729"/>
    <w:rsid w:val="00A25220"/>
    <w:rsid w:val="00A31589"/>
    <w:rsid w:val="00A32AB9"/>
    <w:rsid w:val="00A36CFE"/>
    <w:rsid w:val="00A4343D"/>
    <w:rsid w:val="00A4654F"/>
    <w:rsid w:val="00A502F1"/>
    <w:rsid w:val="00A544EE"/>
    <w:rsid w:val="00A60967"/>
    <w:rsid w:val="00A60B8B"/>
    <w:rsid w:val="00A66EAC"/>
    <w:rsid w:val="00A70A83"/>
    <w:rsid w:val="00A71AC2"/>
    <w:rsid w:val="00A73743"/>
    <w:rsid w:val="00A76D07"/>
    <w:rsid w:val="00A81EB3"/>
    <w:rsid w:val="00A86B4D"/>
    <w:rsid w:val="00A86C04"/>
    <w:rsid w:val="00A927E3"/>
    <w:rsid w:val="00A933D9"/>
    <w:rsid w:val="00A93DE1"/>
    <w:rsid w:val="00A94B28"/>
    <w:rsid w:val="00A962AF"/>
    <w:rsid w:val="00AA28C8"/>
    <w:rsid w:val="00AA4564"/>
    <w:rsid w:val="00AA502D"/>
    <w:rsid w:val="00AA5204"/>
    <w:rsid w:val="00AA55EC"/>
    <w:rsid w:val="00AA6667"/>
    <w:rsid w:val="00AA66CB"/>
    <w:rsid w:val="00AB0B98"/>
    <w:rsid w:val="00AB2FE3"/>
    <w:rsid w:val="00AB33D0"/>
    <w:rsid w:val="00AB3410"/>
    <w:rsid w:val="00AC2B13"/>
    <w:rsid w:val="00AC58B3"/>
    <w:rsid w:val="00AC7B4C"/>
    <w:rsid w:val="00AC7D51"/>
    <w:rsid w:val="00AD1D04"/>
    <w:rsid w:val="00AD23DF"/>
    <w:rsid w:val="00AD3DFB"/>
    <w:rsid w:val="00AD450F"/>
    <w:rsid w:val="00AD4CD4"/>
    <w:rsid w:val="00AD5011"/>
    <w:rsid w:val="00AD7C66"/>
    <w:rsid w:val="00AE22E0"/>
    <w:rsid w:val="00AE2F0C"/>
    <w:rsid w:val="00AE305A"/>
    <w:rsid w:val="00AE3EE0"/>
    <w:rsid w:val="00AE6907"/>
    <w:rsid w:val="00AE7FAA"/>
    <w:rsid w:val="00AF1501"/>
    <w:rsid w:val="00AF42B6"/>
    <w:rsid w:val="00AF52E4"/>
    <w:rsid w:val="00AF5FB5"/>
    <w:rsid w:val="00B00C1D"/>
    <w:rsid w:val="00B01D58"/>
    <w:rsid w:val="00B02305"/>
    <w:rsid w:val="00B06A45"/>
    <w:rsid w:val="00B1628A"/>
    <w:rsid w:val="00B16834"/>
    <w:rsid w:val="00B237A0"/>
    <w:rsid w:val="00B253C8"/>
    <w:rsid w:val="00B30687"/>
    <w:rsid w:val="00B31B71"/>
    <w:rsid w:val="00B3245E"/>
    <w:rsid w:val="00B330E1"/>
    <w:rsid w:val="00B35C47"/>
    <w:rsid w:val="00B3711F"/>
    <w:rsid w:val="00B40051"/>
    <w:rsid w:val="00B46BFE"/>
    <w:rsid w:val="00B476AC"/>
    <w:rsid w:val="00B5095F"/>
    <w:rsid w:val="00B55375"/>
    <w:rsid w:val="00B56382"/>
    <w:rsid w:val="00B57F6E"/>
    <w:rsid w:val="00B632CC"/>
    <w:rsid w:val="00B67757"/>
    <w:rsid w:val="00B70E16"/>
    <w:rsid w:val="00B7682C"/>
    <w:rsid w:val="00B7752A"/>
    <w:rsid w:val="00B77751"/>
    <w:rsid w:val="00B81175"/>
    <w:rsid w:val="00B85D5E"/>
    <w:rsid w:val="00B86033"/>
    <w:rsid w:val="00B906F2"/>
    <w:rsid w:val="00B928C6"/>
    <w:rsid w:val="00B973E6"/>
    <w:rsid w:val="00B97B4A"/>
    <w:rsid w:val="00BA0154"/>
    <w:rsid w:val="00BA12F1"/>
    <w:rsid w:val="00BA33CC"/>
    <w:rsid w:val="00BA439F"/>
    <w:rsid w:val="00BA6370"/>
    <w:rsid w:val="00BB2C9A"/>
    <w:rsid w:val="00BB7C9E"/>
    <w:rsid w:val="00BC0239"/>
    <w:rsid w:val="00BD39ED"/>
    <w:rsid w:val="00BD66E4"/>
    <w:rsid w:val="00BE072E"/>
    <w:rsid w:val="00BE0B11"/>
    <w:rsid w:val="00BF005D"/>
    <w:rsid w:val="00BF02C9"/>
    <w:rsid w:val="00BF41B9"/>
    <w:rsid w:val="00BF65E6"/>
    <w:rsid w:val="00BF6C41"/>
    <w:rsid w:val="00C05C53"/>
    <w:rsid w:val="00C064EE"/>
    <w:rsid w:val="00C0653F"/>
    <w:rsid w:val="00C11FAD"/>
    <w:rsid w:val="00C130BD"/>
    <w:rsid w:val="00C135E6"/>
    <w:rsid w:val="00C14348"/>
    <w:rsid w:val="00C1677B"/>
    <w:rsid w:val="00C20061"/>
    <w:rsid w:val="00C2585D"/>
    <w:rsid w:val="00C269D4"/>
    <w:rsid w:val="00C275B3"/>
    <w:rsid w:val="00C33E70"/>
    <w:rsid w:val="00C3546B"/>
    <w:rsid w:val="00C37ADB"/>
    <w:rsid w:val="00C4160D"/>
    <w:rsid w:val="00C45D98"/>
    <w:rsid w:val="00C60D47"/>
    <w:rsid w:val="00C65A6E"/>
    <w:rsid w:val="00C65A74"/>
    <w:rsid w:val="00C677E8"/>
    <w:rsid w:val="00C74AF6"/>
    <w:rsid w:val="00C762BD"/>
    <w:rsid w:val="00C8406E"/>
    <w:rsid w:val="00C86548"/>
    <w:rsid w:val="00C87D1B"/>
    <w:rsid w:val="00C9073E"/>
    <w:rsid w:val="00CA679D"/>
    <w:rsid w:val="00CB2709"/>
    <w:rsid w:val="00CB2EC7"/>
    <w:rsid w:val="00CB38F2"/>
    <w:rsid w:val="00CB3C8F"/>
    <w:rsid w:val="00CB4991"/>
    <w:rsid w:val="00CB4EDA"/>
    <w:rsid w:val="00CB6F89"/>
    <w:rsid w:val="00CC08DF"/>
    <w:rsid w:val="00CC0AE9"/>
    <w:rsid w:val="00CC3372"/>
    <w:rsid w:val="00CC40D4"/>
    <w:rsid w:val="00CC6422"/>
    <w:rsid w:val="00CD1B68"/>
    <w:rsid w:val="00CD21CC"/>
    <w:rsid w:val="00CD4356"/>
    <w:rsid w:val="00CD4F83"/>
    <w:rsid w:val="00CD5351"/>
    <w:rsid w:val="00CE0B66"/>
    <w:rsid w:val="00CE18AC"/>
    <w:rsid w:val="00CE228C"/>
    <w:rsid w:val="00CE5BC2"/>
    <w:rsid w:val="00CE61B7"/>
    <w:rsid w:val="00CE669C"/>
    <w:rsid w:val="00CE6D97"/>
    <w:rsid w:val="00CE71D9"/>
    <w:rsid w:val="00CF0DC5"/>
    <w:rsid w:val="00CF138C"/>
    <w:rsid w:val="00CF5155"/>
    <w:rsid w:val="00CF545B"/>
    <w:rsid w:val="00CF713A"/>
    <w:rsid w:val="00D118F4"/>
    <w:rsid w:val="00D14350"/>
    <w:rsid w:val="00D17C22"/>
    <w:rsid w:val="00D208F1"/>
    <w:rsid w:val="00D209A7"/>
    <w:rsid w:val="00D21645"/>
    <w:rsid w:val="00D22EA9"/>
    <w:rsid w:val="00D2309A"/>
    <w:rsid w:val="00D265C7"/>
    <w:rsid w:val="00D27D69"/>
    <w:rsid w:val="00D302FA"/>
    <w:rsid w:val="00D30C9F"/>
    <w:rsid w:val="00D31861"/>
    <w:rsid w:val="00D33658"/>
    <w:rsid w:val="00D34C7D"/>
    <w:rsid w:val="00D448C2"/>
    <w:rsid w:val="00D44BFF"/>
    <w:rsid w:val="00D45C5D"/>
    <w:rsid w:val="00D52D0D"/>
    <w:rsid w:val="00D62A50"/>
    <w:rsid w:val="00D666C3"/>
    <w:rsid w:val="00D74B3D"/>
    <w:rsid w:val="00D77FB9"/>
    <w:rsid w:val="00D818E8"/>
    <w:rsid w:val="00D86B7D"/>
    <w:rsid w:val="00D87CE7"/>
    <w:rsid w:val="00D914A9"/>
    <w:rsid w:val="00D9189F"/>
    <w:rsid w:val="00D95B91"/>
    <w:rsid w:val="00DA6CD7"/>
    <w:rsid w:val="00DB1E23"/>
    <w:rsid w:val="00DB27DA"/>
    <w:rsid w:val="00DB33D4"/>
    <w:rsid w:val="00DB3D52"/>
    <w:rsid w:val="00DB5168"/>
    <w:rsid w:val="00DB5A1D"/>
    <w:rsid w:val="00DB67B3"/>
    <w:rsid w:val="00DB7DDE"/>
    <w:rsid w:val="00DC1C8F"/>
    <w:rsid w:val="00DC368D"/>
    <w:rsid w:val="00DD2AC3"/>
    <w:rsid w:val="00DD43D0"/>
    <w:rsid w:val="00DD56E4"/>
    <w:rsid w:val="00DE4D61"/>
    <w:rsid w:val="00DE5999"/>
    <w:rsid w:val="00DE6A49"/>
    <w:rsid w:val="00DE6B23"/>
    <w:rsid w:val="00DF14D2"/>
    <w:rsid w:val="00DF1570"/>
    <w:rsid w:val="00DF1723"/>
    <w:rsid w:val="00DF1DBF"/>
    <w:rsid w:val="00DF20AA"/>
    <w:rsid w:val="00DF2A26"/>
    <w:rsid w:val="00DF47FE"/>
    <w:rsid w:val="00DF50CE"/>
    <w:rsid w:val="00E00AFE"/>
    <w:rsid w:val="00E0156A"/>
    <w:rsid w:val="00E028D9"/>
    <w:rsid w:val="00E12E8F"/>
    <w:rsid w:val="00E14573"/>
    <w:rsid w:val="00E16796"/>
    <w:rsid w:val="00E16F11"/>
    <w:rsid w:val="00E225DE"/>
    <w:rsid w:val="00E22A62"/>
    <w:rsid w:val="00E25A9C"/>
    <w:rsid w:val="00E26704"/>
    <w:rsid w:val="00E30385"/>
    <w:rsid w:val="00E30E72"/>
    <w:rsid w:val="00E31980"/>
    <w:rsid w:val="00E3211D"/>
    <w:rsid w:val="00E36376"/>
    <w:rsid w:val="00E4384E"/>
    <w:rsid w:val="00E45130"/>
    <w:rsid w:val="00E5536A"/>
    <w:rsid w:val="00E63083"/>
    <w:rsid w:val="00E6423C"/>
    <w:rsid w:val="00E6431E"/>
    <w:rsid w:val="00E706EA"/>
    <w:rsid w:val="00E7255A"/>
    <w:rsid w:val="00E72D7F"/>
    <w:rsid w:val="00E736BE"/>
    <w:rsid w:val="00E74394"/>
    <w:rsid w:val="00E74FAA"/>
    <w:rsid w:val="00E82994"/>
    <w:rsid w:val="00E864EB"/>
    <w:rsid w:val="00E92B87"/>
    <w:rsid w:val="00E92D16"/>
    <w:rsid w:val="00E93715"/>
    <w:rsid w:val="00E93830"/>
    <w:rsid w:val="00E93E0E"/>
    <w:rsid w:val="00E96CC6"/>
    <w:rsid w:val="00EA08B8"/>
    <w:rsid w:val="00EA2DE9"/>
    <w:rsid w:val="00EA4685"/>
    <w:rsid w:val="00EA4D69"/>
    <w:rsid w:val="00EA6EDB"/>
    <w:rsid w:val="00EB1ED3"/>
    <w:rsid w:val="00EB44BC"/>
    <w:rsid w:val="00EB6243"/>
    <w:rsid w:val="00EC68A4"/>
    <w:rsid w:val="00ED1573"/>
    <w:rsid w:val="00ED1C79"/>
    <w:rsid w:val="00ED5CEB"/>
    <w:rsid w:val="00EE06E6"/>
    <w:rsid w:val="00EE2655"/>
    <w:rsid w:val="00EE43EB"/>
    <w:rsid w:val="00EF2155"/>
    <w:rsid w:val="00EF24E8"/>
    <w:rsid w:val="00EF38A3"/>
    <w:rsid w:val="00EF3BAA"/>
    <w:rsid w:val="00EF5A70"/>
    <w:rsid w:val="00EF7CD7"/>
    <w:rsid w:val="00F015E2"/>
    <w:rsid w:val="00F02061"/>
    <w:rsid w:val="00F05CCF"/>
    <w:rsid w:val="00F07627"/>
    <w:rsid w:val="00F100EB"/>
    <w:rsid w:val="00F158FD"/>
    <w:rsid w:val="00F20640"/>
    <w:rsid w:val="00F214B3"/>
    <w:rsid w:val="00F21F23"/>
    <w:rsid w:val="00F221D2"/>
    <w:rsid w:val="00F26538"/>
    <w:rsid w:val="00F26CDA"/>
    <w:rsid w:val="00F34F99"/>
    <w:rsid w:val="00F376C1"/>
    <w:rsid w:val="00F45BA6"/>
    <w:rsid w:val="00F520C7"/>
    <w:rsid w:val="00F54EB0"/>
    <w:rsid w:val="00F55F6C"/>
    <w:rsid w:val="00F57EA8"/>
    <w:rsid w:val="00F605BD"/>
    <w:rsid w:val="00F64D73"/>
    <w:rsid w:val="00F66212"/>
    <w:rsid w:val="00F75711"/>
    <w:rsid w:val="00F75BD5"/>
    <w:rsid w:val="00F75F2A"/>
    <w:rsid w:val="00F76265"/>
    <w:rsid w:val="00F829FF"/>
    <w:rsid w:val="00F83F8C"/>
    <w:rsid w:val="00F927B5"/>
    <w:rsid w:val="00F94F2F"/>
    <w:rsid w:val="00FA1B2C"/>
    <w:rsid w:val="00FA3792"/>
    <w:rsid w:val="00FA5B92"/>
    <w:rsid w:val="00FB1DDD"/>
    <w:rsid w:val="00FB249A"/>
    <w:rsid w:val="00FB687C"/>
    <w:rsid w:val="00FC25C8"/>
    <w:rsid w:val="00FC39DA"/>
    <w:rsid w:val="00FC3C67"/>
    <w:rsid w:val="00FE404D"/>
    <w:rsid w:val="00FE5C90"/>
    <w:rsid w:val="00FF3DC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71bc"/>
    </o:shapedefaults>
    <o:shapelayout v:ext="edit">
      <o:idmap v:ext="edit" data="1"/>
    </o:shapelayout>
  </w:shapeDefaults>
  <w:decimalSymbol w:val=","/>
  <w:listSeparator w:val=";"/>
  <w14:docId w14:val="03A60F8F"/>
  <w15:docId w15:val="{47FB5D60-2FCE-469C-A06F-2A99F07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B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B8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B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helena.houzvickova@czs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.czso.cz/pll/rocenka/rocenkavyber.kvart_qs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.czso.cz/pll/rocenka/rocenka.indexnu_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mailto:jaroslav.kahoun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1Q20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1Q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1Q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graf!$Q$2:$Y$2</c:f>
              <c:strCache>
                <c:ptCount val="9"/>
                <c:pt idx="0">
                  <c:v>1.Q 2020</c:v>
                </c:pt>
                <c:pt idx="1">
                  <c:v>2.Q 2020</c:v>
                </c:pt>
                <c:pt idx="2">
                  <c:v>3.Q 2020</c:v>
                </c:pt>
                <c:pt idx="3">
                  <c:v>4.Q 2020</c:v>
                </c:pt>
                <c:pt idx="4">
                  <c:v>1.Q 2021</c:v>
                </c:pt>
                <c:pt idx="5">
                  <c:v>2.Q 2021</c:v>
                </c:pt>
                <c:pt idx="6">
                  <c:v>3.Q 2021</c:v>
                </c:pt>
                <c:pt idx="7">
                  <c:v>4.Q 2021</c:v>
                </c:pt>
                <c:pt idx="8">
                  <c:v>1.Q 2022</c:v>
                </c:pt>
              </c:strCache>
            </c:strRef>
          </c:cat>
          <c:val>
            <c:numRef>
              <c:f>graf!$Q$3:$Y$3</c:f>
              <c:numCache>
                <c:formatCode>#,##0</c:formatCode>
                <c:ptCount val="9"/>
                <c:pt idx="0">
                  <c:v>1889.221</c:v>
                </c:pt>
                <c:pt idx="1">
                  <c:v>2265.056</c:v>
                </c:pt>
                <c:pt idx="2">
                  <c:v>2173.1439999999998</c:v>
                </c:pt>
                <c:pt idx="3">
                  <c:v>2149.268</c:v>
                </c:pt>
                <c:pt idx="4">
                  <c:v>2512.5239999999999</c:v>
                </c:pt>
                <c:pt idx="5">
                  <c:v>2516.9229999999998</c:v>
                </c:pt>
                <c:pt idx="6">
                  <c:v>2433.2849999999999</c:v>
                </c:pt>
                <c:pt idx="7">
                  <c:v>2566.587</c:v>
                </c:pt>
                <c:pt idx="8">
                  <c:v>2683.4940000000001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A3-44A0-B383-A672428E7C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graf!$Q$2:$Y$2</c:f>
              <c:strCache>
                <c:ptCount val="9"/>
                <c:pt idx="0">
                  <c:v>1.Q 2020</c:v>
                </c:pt>
                <c:pt idx="1">
                  <c:v>2.Q 2020</c:v>
                </c:pt>
                <c:pt idx="2">
                  <c:v>3.Q 2020</c:v>
                </c:pt>
                <c:pt idx="3">
                  <c:v>4.Q 2020</c:v>
                </c:pt>
                <c:pt idx="4">
                  <c:v>1.Q 2021</c:v>
                </c:pt>
                <c:pt idx="5">
                  <c:v>2.Q 2021</c:v>
                </c:pt>
                <c:pt idx="6">
                  <c:v>3.Q 2021</c:v>
                </c:pt>
                <c:pt idx="7">
                  <c:v>4.Q 2021</c:v>
                </c:pt>
                <c:pt idx="8">
                  <c:v>1.Q 2022</c:v>
                </c:pt>
              </c:strCache>
            </c:strRef>
          </c:xVal>
          <c:yVal>
            <c:numRef>
              <c:f>graf!$Q$4:$Y$4</c:f>
              <c:numCache>
                <c:formatCode>0.0</c:formatCode>
                <c:ptCount val="9"/>
                <c:pt idx="0">
                  <c:v>32.42</c:v>
                </c:pt>
                <c:pt idx="1">
                  <c:v>39.549999999999997</c:v>
                </c:pt>
                <c:pt idx="2">
                  <c:v>38.07</c:v>
                </c:pt>
                <c:pt idx="3">
                  <c:v>37.65</c:v>
                </c:pt>
                <c:pt idx="4">
                  <c:v>43.9</c:v>
                </c:pt>
                <c:pt idx="5">
                  <c:v>42.59</c:v>
                </c:pt>
                <c:pt idx="6">
                  <c:v>40.409999999999997</c:v>
                </c:pt>
                <c:pt idx="7">
                  <c:v>42.02</c:v>
                </c:pt>
                <c:pt idx="8">
                  <c:v>42.83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AA3-44A0-B383-A672428E7C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45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At val="0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aseline="0">
                <a:solidFill>
                  <a:sysClr val="windowText" lastClr="000000"/>
                </a:solidFill>
              </a:rPr>
              <a:t>Meziroční relativní změna zadlužení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327443169977992"/>
          <c:y val="0.17835633326795464"/>
          <c:w val="0.85717001152802641"/>
          <c:h val="0.60008852633563825"/>
        </c:manualLayout>
      </c:layout>
      <c:barChart>
        <c:barDir val="col"/>
        <c:grouping val="stacked"/>
        <c:varyColors val="0"/>
        <c:ser>
          <c:idx val="2"/>
          <c:order val="1"/>
          <c:tx>
            <c:strRef>
              <c:f>dluh!$B$19</c:f>
              <c:strCache>
                <c:ptCount val="1"/>
                <c:pt idx="0">
                  <c:v>vliv změny HDP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dluh!$CJ$3:$CR$3</c:f>
              <c:strCache>
                <c:ptCount val="9"/>
                <c:pt idx="0">
                  <c:v>2020q1</c:v>
                </c:pt>
                <c:pt idx="1">
                  <c:v>2020q2</c:v>
                </c:pt>
                <c:pt idx="2">
                  <c:v>2020q3</c:v>
                </c:pt>
                <c:pt idx="3">
                  <c:v>2020q4</c:v>
                </c:pt>
                <c:pt idx="4">
                  <c:v>2021q1</c:v>
                </c:pt>
                <c:pt idx="5">
                  <c:v>2021q2</c:v>
                </c:pt>
                <c:pt idx="6">
                  <c:v>2021q3</c:v>
                </c:pt>
                <c:pt idx="7">
                  <c:v>2021q4</c:v>
                </c:pt>
                <c:pt idx="8">
                  <c:v>2022q1</c:v>
                </c:pt>
              </c:strCache>
            </c:strRef>
          </c:cat>
          <c:val>
            <c:numRef>
              <c:f>dluh!$CJ$19:$CR$19</c:f>
              <c:numCache>
                <c:formatCode>0.0</c:formatCode>
                <c:ptCount val="9"/>
                <c:pt idx="0">
                  <c:v>-1.8950522174389803</c:v>
                </c:pt>
                <c:pt idx="1">
                  <c:v>-0.78432591388984108</c:v>
                </c:pt>
                <c:pt idx="2">
                  <c:v>-6.109447611991925E-2</c:v>
                </c:pt>
                <c:pt idx="3">
                  <c:v>0.43351808134105951</c:v>
                </c:pt>
                <c:pt idx="4">
                  <c:v>0.59107870725709688</c:v>
                </c:pt>
                <c:pt idx="5">
                  <c:v>-1.2240382736395148</c:v>
                </c:pt>
                <c:pt idx="6">
                  <c:v>-1.9867070820300512</c:v>
                </c:pt>
                <c:pt idx="7">
                  <c:v>-2.4608613897019183</c:v>
                </c:pt>
                <c:pt idx="8">
                  <c:v>-3.7978809256700217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36-4E76-9011-0DE362885782}"/>
            </c:ext>
          </c:extLst>
        </c:ser>
        <c:ser>
          <c:idx val="3"/>
          <c:order val="2"/>
          <c:tx>
            <c:strRef>
              <c:f>dluh!$B$20</c:f>
              <c:strCache>
                <c:ptCount val="1"/>
                <c:pt idx="0">
                  <c:v>vliv změny dluhu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dluh!$CJ$3:$CR$3</c:f>
              <c:strCache>
                <c:ptCount val="9"/>
                <c:pt idx="0">
                  <c:v>2020q1</c:v>
                </c:pt>
                <c:pt idx="1">
                  <c:v>2020q2</c:v>
                </c:pt>
                <c:pt idx="2">
                  <c:v>2020q3</c:v>
                </c:pt>
                <c:pt idx="3">
                  <c:v>2020q4</c:v>
                </c:pt>
                <c:pt idx="4">
                  <c:v>2021q1</c:v>
                </c:pt>
                <c:pt idx="5">
                  <c:v>2021q2</c:v>
                </c:pt>
                <c:pt idx="6">
                  <c:v>2021q3</c:v>
                </c:pt>
                <c:pt idx="7">
                  <c:v>2021q4</c:v>
                </c:pt>
                <c:pt idx="8">
                  <c:v>2022q1</c:v>
                </c:pt>
              </c:strCache>
            </c:strRef>
          </c:cat>
          <c:val>
            <c:numRef>
              <c:f>dluh!$CJ$20:$CR$20</c:f>
              <c:numCache>
                <c:formatCode>0.0</c:formatCode>
                <c:ptCount val="9"/>
                <c:pt idx="0">
                  <c:v>0.91920704449692225</c:v>
                </c:pt>
                <c:pt idx="1">
                  <c:v>7.83051722319503</c:v>
                </c:pt>
                <c:pt idx="2">
                  <c:v>6.8020685730784098</c:v>
                </c:pt>
                <c:pt idx="3">
                  <c:v>7.1640500104131437</c:v>
                </c:pt>
                <c:pt idx="4">
                  <c:v>10.891060217680371</c:v>
                </c:pt>
                <c:pt idx="5">
                  <c:v>4.2619224245410638</c:v>
                </c:pt>
                <c:pt idx="6">
                  <c:v>4.3197406106529481</c:v>
                </c:pt>
                <c:pt idx="7">
                  <c:v>6.8318559210323819</c:v>
                </c:pt>
                <c:pt idx="8">
                  <c:v>2.7289478203852076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36-4E76-9011-0DE362885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515520352"/>
        <c:axId val="1515512032"/>
      </c:barChart>
      <c:scatterChart>
        <c:scatterStyle val="lineMarker"/>
        <c:varyColors val="0"/>
        <c:ser>
          <c:idx val="1"/>
          <c:order val="0"/>
          <c:tx>
            <c:strRef>
              <c:f>dluh!$B$18</c:f>
              <c:strCache>
                <c:ptCount val="1"/>
                <c:pt idx="0">
                  <c:v>celková změna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</c:spPr>
          </c:marker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25400">
                  <a:solidFill>
                    <a:srgbClr val="FF0000"/>
                  </a:solidFill>
                </a:ln>
                <a:effectLst>
                  <a:outerShdw blurRad="88900" dist="76200" dir="8400000" sx="103000" sy="103000" algn="ctr" rotWithShape="0">
                    <a:srgbClr val="000000">
                      <a:alpha val="43137"/>
                    </a:srgbClr>
                  </a:outerShdw>
                </a:effectLst>
              </c:spPr>
            </c:marker>
            <c:bubble3D val="0"/>
            <c:spPr>
              <a:ln w="25400" cap="rnd">
                <a:noFill/>
                <a:round/>
              </a:ln>
              <a:effectLst>
                <a:outerShdw blurRad="88900" dist="76200" dir="8400000" sx="103000" sy="103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E36-4E76-9011-0DE362885782}"/>
              </c:ext>
            </c:extLst>
          </c:dPt>
          <c:dLbls>
            <c:dLbl>
              <c:idx val="0"/>
              <c:layout>
                <c:manualLayout>
                  <c:x val="-4.1428211642876717E-2"/>
                  <c:y val="5.2990627757153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E36-4E76-9011-0DE362885782}"/>
                </c:ext>
              </c:extLst>
            </c:dLbl>
            <c:dLbl>
              <c:idx val="1"/>
              <c:layout>
                <c:manualLayout>
                  <c:x val="-3.30377182391242E-2"/>
                  <c:y val="-6.5926748585602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E36-4E76-9011-0DE362885782}"/>
                </c:ext>
              </c:extLst>
            </c:dLbl>
            <c:dLbl>
              <c:idx val="2"/>
              <c:layout>
                <c:manualLayout>
                  <c:x val="-3.1087362315834699E-2"/>
                  <c:y val="-4.7805335115351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E36-4E76-9011-0DE362885782}"/>
                </c:ext>
              </c:extLst>
            </c:dLbl>
            <c:dLbl>
              <c:idx val="3"/>
              <c:layout>
                <c:manualLayout>
                  <c:x val="-2.9964592854867741E-2"/>
                  <c:y val="-4.7627926001850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E36-4E76-9011-0DE362885782}"/>
                </c:ext>
              </c:extLst>
            </c:dLbl>
            <c:dLbl>
              <c:idx val="4"/>
              <c:layout>
                <c:manualLayout>
                  <c:x val="-3.9064155080332737E-2"/>
                  <c:y val="-4.2054521197535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E36-4E76-9011-0DE362885782}"/>
                </c:ext>
              </c:extLst>
            </c:dLbl>
            <c:dLbl>
              <c:idx val="5"/>
              <c:layout>
                <c:manualLayout>
                  <c:x val="-3.5106406619210231E-2"/>
                  <c:y val="-6.6216405824536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E36-4E76-9011-0DE362885782}"/>
                </c:ext>
              </c:extLst>
            </c:dLbl>
            <c:dLbl>
              <c:idx val="6"/>
              <c:layout>
                <c:manualLayout>
                  <c:x val="-3.1607173280198013E-2"/>
                  <c:y val="-9.0378290451537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E36-4E76-9011-0DE362885782}"/>
                </c:ext>
              </c:extLst>
            </c:dLbl>
            <c:dLbl>
              <c:idx val="7"/>
              <c:layout>
                <c:manualLayout>
                  <c:x val="-3.4761964726187214E-2"/>
                  <c:y val="-0.100669921545219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CE36-4E76-9011-0DE362885782}"/>
                </c:ext>
              </c:extLst>
            </c:dLbl>
            <c:dLbl>
              <c:idx val="8"/>
              <c:layout>
                <c:manualLayout>
                  <c:x val="-3.6310842141910063E-2"/>
                  <c:y val="0.10895725772122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CE36-4E76-9011-0DE3628857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yVal>
            <c:numRef>
              <c:f>dluh!$CJ$18:$CR$18</c:f>
              <c:numCache>
                <c:formatCode>0.0</c:formatCode>
                <c:ptCount val="9"/>
                <c:pt idx="0">
                  <c:v>-0.97584517294205808</c:v>
                </c:pt>
                <c:pt idx="1">
                  <c:v>7.0461913093051889</c:v>
                </c:pt>
                <c:pt idx="2">
                  <c:v>6.7409740969584906</c:v>
                </c:pt>
                <c:pt idx="3">
                  <c:v>7.5975680917542032</c:v>
                </c:pt>
                <c:pt idx="4">
                  <c:v>11.482138924937468</c:v>
                </c:pt>
                <c:pt idx="5">
                  <c:v>3.0378841509015486</c:v>
                </c:pt>
                <c:pt idx="6">
                  <c:v>2.3330335286228965</c:v>
                </c:pt>
                <c:pt idx="7">
                  <c:v>4.3709945313304637</c:v>
                </c:pt>
                <c:pt idx="8">
                  <c:v>-1.0689331052848139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CE36-4E76-9011-0DE362885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5520352"/>
        <c:axId val="1515512032"/>
      </c:scatterChart>
      <c:catAx>
        <c:axId val="151552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12032"/>
        <c:crosses val="autoZero"/>
        <c:auto val="1"/>
        <c:lblAlgn val="ctr"/>
        <c:lblOffset val="100"/>
        <c:noMultiLvlLbl val="0"/>
      </c:catAx>
      <c:valAx>
        <c:axId val="151551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aseline="0">
                    <a:solidFill>
                      <a:sysClr val="windowText" lastClr="000000"/>
                    </a:solidFill>
                  </a:rPr>
                  <a:t>p. b.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2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3.9331753660506064E-2"/>
          <c:w val="0.90350569010863835"/>
          <c:h val="0.93476979790929948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3436826393878561E-2"/>
                  <c:y val="6.9815214630429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B27-405D-9439-AB1245516558}"/>
                </c:ext>
              </c:extLst>
            </c:dLbl>
            <c:dLbl>
              <c:idx val="1"/>
              <c:layout>
                <c:manualLayout>
                  <c:x val="-3.8060273627602802E-2"/>
                  <c:y val="4.9651293588301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B27-405D-9439-AB1245516558}"/>
                </c:ext>
              </c:extLst>
            </c:dLbl>
            <c:dLbl>
              <c:idx val="2"/>
              <c:layout>
                <c:manualLayout>
                  <c:x val="-3.6692876349064082E-2"/>
                  <c:y val="-4.3727245787824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B27-405D-9439-AB1245516558}"/>
                </c:ext>
              </c:extLst>
            </c:dLbl>
            <c:dLbl>
              <c:idx val="3"/>
              <c:layout>
                <c:manualLayout>
                  <c:x val="-5.015110999177784E-2"/>
                  <c:y val="6.11400918635169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99861482507537E-2"/>
                      <c:h val="9.87743719535058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B27-405D-9439-AB1245516558}"/>
                </c:ext>
              </c:extLst>
            </c:dLbl>
            <c:dLbl>
              <c:idx val="4"/>
              <c:layout>
                <c:manualLayout>
                  <c:x val="-3.648493709975751E-2"/>
                  <c:y val="5.4342601548602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B27-405D-9439-AB1245516558}"/>
                </c:ext>
              </c:extLst>
            </c:dLbl>
            <c:dLbl>
              <c:idx val="5"/>
              <c:layout>
                <c:manualLayout>
                  <c:x val="-3.3840610106385026E-2"/>
                  <c:y val="6.2787658467492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B27-405D-9439-AB1245516558}"/>
                </c:ext>
              </c:extLst>
            </c:dLbl>
            <c:dLbl>
              <c:idx val="6"/>
              <c:layout>
                <c:manualLayout>
                  <c:x val="-4.2417093206716987E-2"/>
                  <c:y val="4.3122890888638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B27-405D-9439-AB1245516558}"/>
                </c:ext>
              </c:extLst>
            </c:dLbl>
            <c:dLbl>
              <c:idx val="7"/>
              <c:layout>
                <c:manualLayout>
                  <c:x val="-3.6143435974548339E-2"/>
                  <c:y val="6.9222909636295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B27-405D-9439-AB1245516558}"/>
                </c:ext>
              </c:extLst>
            </c:dLbl>
            <c:dLbl>
              <c:idx val="8"/>
              <c:layout>
                <c:manualLayout>
                  <c:x val="-3.909693261531396E-2"/>
                  <c:y val="8.0072647169103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B27-405D-9439-AB12455165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SEZ!$A$75:$A$83</c:f>
              <c:strCache>
                <c:ptCount val="9"/>
                <c:pt idx="0">
                  <c:v>1.Q 2020</c:v>
                </c:pt>
                <c:pt idx="1">
                  <c:v>2.Q 2020</c:v>
                </c:pt>
                <c:pt idx="2">
                  <c:v>3.Q 2020</c:v>
                </c:pt>
                <c:pt idx="3">
                  <c:v>4.Q 2020</c:v>
                </c:pt>
                <c:pt idx="4">
                  <c:v>1.Q 2021</c:v>
                </c:pt>
                <c:pt idx="5">
                  <c:v>2.Q 2021</c:v>
                </c:pt>
                <c:pt idx="6">
                  <c:v>3.Q 2021</c:v>
                </c:pt>
                <c:pt idx="7">
                  <c:v>4.Q 2021</c:v>
                </c:pt>
                <c:pt idx="8">
                  <c:v>1.Q 2022</c:v>
                </c:pt>
              </c:strCache>
            </c:strRef>
          </c:cat>
          <c:val>
            <c:numRef>
              <c:f>SEZ!$E$75:$E$83</c:f>
              <c:numCache>
                <c:formatCode>0.0</c:formatCode>
                <c:ptCount val="9"/>
                <c:pt idx="0">
                  <c:v>-2.2872896832946532</c:v>
                </c:pt>
                <c:pt idx="1">
                  <c:v>-8.1447686610482624</c:v>
                </c:pt>
                <c:pt idx="2">
                  <c:v>-5.5657156622236004</c:v>
                </c:pt>
                <c:pt idx="3">
                  <c:v>-7.2503674689256865</c:v>
                </c:pt>
                <c:pt idx="4">
                  <c:v>-7.9409269778635387</c:v>
                </c:pt>
                <c:pt idx="5">
                  <c:v>-5.0308357272751225</c:v>
                </c:pt>
                <c:pt idx="6">
                  <c:v>-5.5609513583328418</c:v>
                </c:pt>
                <c:pt idx="7">
                  <c:v>-5.0720767444182799</c:v>
                </c:pt>
                <c:pt idx="8">
                  <c:v>-4.5772265927849425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B27-405D-9439-AB1245516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8997200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F256-5072-4348-BF88-8F46E2A2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5256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Houžvičková Helena</cp:lastModifiedBy>
  <cp:revision>30</cp:revision>
  <cp:lastPrinted>2022-03-31T08:58:00Z</cp:lastPrinted>
  <dcterms:created xsi:type="dcterms:W3CDTF">2022-06-23T12:46:00Z</dcterms:created>
  <dcterms:modified xsi:type="dcterms:W3CDTF">2022-06-30T07:26:00Z</dcterms:modified>
</cp:coreProperties>
</file>