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9C" w:rsidRPr="000533DD" w:rsidRDefault="002E019C" w:rsidP="002E019C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Pr="000533DD">
        <w:rPr>
          <w:lang w:val="cs-CZ"/>
        </w:rPr>
        <w:t xml:space="preserve">. </w:t>
      </w:r>
      <w:r w:rsidR="006E58E4">
        <w:rPr>
          <w:lang w:val="cs-CZ"/>
        </w:rPr>
        <w:t>11</w:t>
      </w:r>
      <w:r w:rsidRPr="000533DD">
        <w:rPr>
          <w:lang w:val="cs-CZ"/>
        </w:rPr>
        <w:t>. 202</w:t>
      </w:r>
      <w:r>
        <w:rPr>
          <w:lang w:val="cs-CZ"/>
        </w:rPr>
        <w:t xml:space="preserve">4 </w:t>
      </w:r>
    </w:p>
    <w:p w:rsidR="002E019C" w:rsidRDefault="002E019C" w:rsidP="002E019C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6C2F57">
        <w:rPr>
          <w:color w:val="BD1B21"/>
          <w:sz w:val="32"/>
          <w:szCs w:val="32"/>
        </w:rPr>
        <w:t>Stavební produkce v </w:t>
      </w:r>
      <w:r w:rsidR="006C2F57" w:rsidRPr="006C2F57">
        <w:rPr>
          <w:color w:val="BD1B21"/>
          <w:sz w:val="32"/>
          <w:szCs w:val="32"/>
        </w:rPr>
        <w:t>1. až 3. čtvrtletí</w:t>
      </w:r>
      <w:r w:rsidRPr="006C2F57">
        <w:rPr>
          <w:color w:val="BD1B21"/>
          <w:sz w:val="32"/>
          <w:szCs w:val="32"/>
        </w:rPr>
        <w:t xml:space="preserve"> 2024 </w:t>
      </w:r>
      <w:r w:rsidRPr="00005396">
        <w:rPr>
          <w:color w:val="BD1B21"/>
          <w:sz w:val="32"/>
          <w:szCs w:val="32"/>
        </w:rPr>
        <w:t>klesla o </w:t>
      </w:r>
      <w:r w:rsidR="00005396" w:rsidRPr="00005396">
        <w:rPr>
          <w:color w:val="BD1B21"/>
          <w:sz w:val="32"/>
          <w:szCs w:val="32"/>
        </w:rPr>
        <w:t>3</w:t>
      </w:r>
      <w:r w:rsidRPr="00005396">
        <w:rPr>
          <w:color w:val="BD1B21"/>
          <w:sz w:val="32"/>
          <w:szCs w:val="32"/>
        </w:rPr>
        <w:t>,</w:t>
      </w:r>
      <w:r w:rsidR="00005396" w:rsidRPr="00005396">
        <w:rPr>
          <w:color w:val="BD1B21"/>
          <w:sz w:val="32"/>
          <w:szCs w:val="32"/>
        </w:rPr>
        <w:t>9</w:t>
      </w:r>
      <w:r w:rsidRPr="00005396">
        <w:rPr>
          <w:color w:val="BD1B21"/>
          <w:sz w:val="32"/>
          <w:szCs w:val="32"/>
        </w:rPr>
        <w:t> %</w:t>
      </w:r>
    </w:p>
    <w:p w:rsidR="002E019C" w:rsidRPr="00C6404B" w:rsidRDefault="002E019C" w:rsidP="002E019C">
      <w:pPr>
        <w:pStyle w:val="Podtitulek"/>
      </w:pPr>
      <w:r>
        <w:t>Doplňující informace k RI Stavebnictví</w:t>
      </w:r>
      <w:r w:rsidRPr="00C6404B">
        <w:t xml:space="preserve"> – </w:t>
      </w:r>
      <w:r w:rsidR="006E58E4">
        <w:t>září</w:t>
      </w:r>
      <w:r w:rsidRPr="00C6404B">
        <w:t xml:space="preserve"> 202</w:t>
      </w:r>
      <w:r>
        <w:t>4</w:t>
      </w:r>
    </w:p>
    <w:p w:rsidR="00DB2ECF" w:rsidRDefault="002E019C" w:rsidP="002E019C">
      <w:pPr>
        <w:spacing w:before="120"/>
        <w:rPr>
          <w:rFonts w:cs="Arial"/>
        </w:rPr>
      </w:pPr>
      <w:r w:rsidRPr="00B176CB">
        <w:rPr>
          <w:rFonts w:cs="Arial"/>
        </w:rPr>
        <w:t xml:space="preserve">Stavební produkce v </w:t>
      </w:r>
      <w:r w:rsidR="006C2F57" w:rsidRPr="000B596C">
        <w:rPr>
          <w:rFonts w:cs="Arial"/>
          <w:szCs w:val="20"/>
        </w:rPr>
        <w:t>1. </w:t>
      </w:r>
      <w:r w:rsidR="006C2F57">
        <w:rPr>
          <w:rFonts w:cs="Arial"/>
          <w:szCs w:val="20"/>
        </w:rPr>
        <w:t>až 3.</w:t>
      </w:r>
      <w:r w:rsidR="00D678FB">
        <w:rPr>
          <w:rFonts w:cs="Arial"/>
          <w:szCs w:val="20"/>
        </w:rPr>
        <w:t xml:space="preserve"> čtvrtletí</w:t>
      </w:r>
      <w:r w:rsidRPr="004725CA">
        <w:rPr>
          <w:rFonts w:cs="Arial"/>
        </w:rPr>
        <w:t xml:space="preserve"> 20</w:t>
      </w:r>
      <w:r>
        <w:rPr>
          <w:rFonts w:cs="Arial"/>
        </w:rPr>
        <w:t>24</w:t>
      </w:r>
      <w:r w:rsidRPr="00B176CB">
        <w:rPr>
          <w:rFonts w:cs="Arial"/>
        </w:rPr>
        <w:t xml:space="preserve"> meziročně klesla o </w:t>
      </w:r>
      <w:r w:rsidR="00005396">
        <w:rPr>
          <w:rFonts w:cs="Arial"/>
        </w:rPr>
        <w:t>3</w:t>
      </w:r>
      <w:r w:rsidRPr="00B176CB">
        <w:rPr>
          <w:rFonts w:cs="Arial"/>
        </w:rPr>
        <w:t>,</w:t>
      </w:r>
      <w:r w:rsidR="00005396">
        <w:rPr>
          <w:rFonts w:cs="Arial"/>
        </w:rPr>
        <w:t>9</w:t>
      </w:r>
      <w:r w:rsidR="00783CE8">
        <w:rPr>
          <w:rFonts w:cs="Arial"/>
        </w:rPr>
        <w:t> </w:t>
      </w:r>
      <w:r w:rsidRPr="00CF6368">
        <w:rPr>
          <w:rFonts w:cs="Arial"/>
        </w:rPr>
        <w:t>%</w:t>
      </w:r>
      <w:r w:rsidR="00220277">
        <w:rPr>
          <w:rFonts w:cs="Arial"/>
        </w:rPr>
        <w:t xml:space="preserve"> a</w:t>
      </w:r>
      <w:r w:rsidRPr="00CF6368">
        <w:rPr>
          <w:rFonts w:cs="Arial"/>
          <w:szCs w:val="20"/>
        </w:rPr>
        <w:t xml:space="preserve"> </w:t>
      </w:r>
      <w:r w:rsidR="00220277">
        <w:rPr>
          <w:rFonts w:cs="Arial"/>
          <w:szCs w:val="20"/>
        </w:rPr>
        <w:t>p</w:t>
      </w:r>
      <w:r w:rsidR="00505571">
        <w:rPr>
          <w:rFonts w:cs="Arial"/>
          <w:szCs w:val="20"/>
        </w:rPr>
        <w:t xml:space="preserve">řispělo k tomu především </w:t>
      </w:r>
      <w:r>
        <w:rPr>
          <w:rFonts w:cs="Arial"/>
          <w:szCs w:val="20"/>
        </w:rPr>
        <w:t>pozemní</w:t>
      </w:r>
      <w:r w:rsidRPr="00CF6368">
        <w:rPr>
          <w:rFonts w:cs="Arial"/>
          <w:szCs w:val="20"/>
        </w:rPr>
        <w:t xml:space="preserve"> stavitelství</w:t>
      </w:r>
      <w:r>
        <w:rPr>
          <w:rFonts w:cs="Arial"/>
          <w:szCs w:val="20"/>
        </w:rPr>
        <w:t xml:space="preserve">, </w:t>
      </w:r>
      <w:r w:rsidR="00505571">
        <w:rPr>
          <w:rFonts w:cs="Arial"/>
          <w:szCs w:val="20"/>
        </w:rPr>
        <w:t xml:space="preserve">které se meziročně snížilo </w:t>
      </w:r>
      <w:r w:rsidRPr="00B176CB">
        <w:rPr>
          <w:rFonts w:cs="Arial"/>
        </w:rPr>
        <w:t xml:space="preserve">o </w:t>
      </w:r>
      <w:r w:rsidR="006B14B4">
        <w:rPr>
          <w:rFonts w:cs="Arial"/>
        </w:rPr>
        <w:t>5</w:t>
      </w:r>
      <w:r>
        <w:rPr>
          <w:rFonts w:cs="Arial"/>
        </w:rPr>
        <w:t>,</w:t>
      </w:r>
      <w:r w:rsidR="006B14B4">
        <w:rPr>
          <w:rFonts w:cs="Arial"/>
        </w:rPr>
        <w:t>7</w:t>
      </w:r>
      <w:r>
        <w:rPr>
          <w:rFonts w:cs="Arial"/>
        </w:rPr>
        <w:t> % (příspěv</w:t>
      </w:r>
      <w:r w:rsidR="00220277">
        <w:rPr>
          <w:rFonts w:cs="Arial"/>
        </w:rPr>
        <w:t>e</w:t>
      </w:r>
      <w:r>
        <w:rPr>
          <w:rFonts w:cs="Arial"/>
        </w:rPr>
        <w:t>k -</w:t>
      </w:r>
      <w:r w:rsidR="006B14B4">
        <w:rPr>
          <w:rFonts w:cs="Arial"/>
        </w:rPr>
        <w:t>3</w:t>
      </w:r>
      <w:r>
        <w:rPr>
          <w:rFonts w:cs="Arial"/>
        </w:rPr>
        <w:t>,</w:t>
      </w:r>
      <w:r w:rsidR="006B14B4">
        <w:rPr>
          <w:rFonts w:cs="Arial"/>
        </w:rPr>
        <w:t>8</w:t>
      </w:r>
      <w:r>
        <w:rPr>
          <w:rFonts w:cs="Arial"/>
        </w:rPr>
        <w:t xml:space="preserve"> procentního bodu). Produkce v inženýrském</w:t>
      </w:r>
      <w:r w:rsidRPr="00B176CB">
        <w:rPr>
          <w:rFonts w:cs="Arial"/>
        </w:rPr>
        <w:t xml:space="preserve"> stavitels</w:t>
      </w:r>
      <w:r>
        <w:rPr>
          <w:rFonts w:cs="Arial"/>
        </w:rPr>
        <w:t xml:space="preserve">tví </w:t>
      </w:r>
      <w:r w:rsidR="002E51D9">
        <w:rPr>
          <w:rFonts w:cs="Arial"/>
        </w:rPr>
        <w:t>spíše stagnovala (pokles</w:t>
      </w:r>
      <w:r>
        <w:rPr>
          <w:rFonts w:cs="Arial"/>
        </w:rPr>
        <w:t xml:space="preserve"> o </w:t>
      </w:r>
      <w:r w:rsidR="006B14B4">
        <w:rPr>
          <w:rFonts w:cs="Arial"/>
        </w:rPr>
        <w:t>0</w:t>
      </w:r>
      <w:r>
        <w:rPr>
          <w:rFonts w:cs="Arial"/>
        </w:rPr>
        <w:t>,</w:t>
      </w:r>
      <w:r w:rsidR="006B14B4">
        <w:rPr>
          <w:rFonts w:cs="Arial"/>
        </w:rPr>
        <w:t>2</w:t>
      </w:r>
      <w:r>
        <w:rPr>
          <w:rFonts w:cs="Arial"/>
        </w:rPr>
        <w:t> </w:t>
      </w:r>
      <w:r w:rsidRPr="00B176CB">
        <w:rPr>
          <w:rFonts w:cs="Arial"/>
        </w:rPr>
        <w:t>%</w:t>
      </w:r>
      <w:r w:rsidR="002E51D9">
        <w:rPr>
          <w:rFonts w:cs="Arial"/>
        </w:rPr>
        <w:t xml:space="preserve">, příspěvek </w:t>
      </w:r>
      <w:r w:rsidR="00632260">
        <w:rPr>
          <w:rFonts w:cs="Arial"/>
        </w:rPr>
        <w:t>-</w:t>
      </w:r>
      <w:r w:rsidR="006B14B4">
        <w:rPr>
          <w:rFonts w:cs="Arial"/>
        </w:rPr>
        <w:t>0</w:t>
      </w:r>
      <w:r w:rsidRPr="00B176CB">
        <w:rPr>
          <w:rFonts w:cs="Arial"/>
        </w:rPr>
        <w:t>,</w:t>
      </w:r>
      <w:r w:rsidR="006B14B4">
        <w:rPr>
          <w:rFonts w:cs="Arial"/>
        </w:rPr>
        <w:t>1</w:t>
      </w:r>
      <w:r w:rsidRPr="00B176CB">
        <w:rPr>
          <w:rFonts w:cs="Arial"/>
        </w:rPr>
        <w:t xml:space="preserve"> p</w:t>
      </w:r>
      <w:r>
        <w:rPr>
          <w:rFonts w:cs="Arial"/>
        </w:rPr>
        <w:t>. b.</w:t>
      </w:r>
      <w:r w:rsidRPr="00B176CB">
        <w:rPr>
          <w:rFonts w:cs="Arial"/>
        </w:rPr>
        <w:t>)</w:t>
      </w:r>
      <w:r w:rsidR="007F5BD6">
        <w:rPr>
          <w:rFonts w:cs="Arial"/>
        </w:rPr>
        <w:t xml:space="preserve">. </w:t>
      </w:r>
      <w:r w:rsidR="002E51D9">
        <w:rPr>
          <w:rFonts w:cs="Arial"/>
        </w:rPr>
        <w:t>V 1. </w:t>
      </w:r>
      <w:r w:rsidR="00FA0879" w:rsidRPr="008F34F3">
        <w:rPr>
          <w:rFonts w:cs="Arial"/>
        </w:rPr>
        <w:t>čtvrtletí se na výsledku produkce obou segmentů</w:t>
      </w:r>
      <w:r w:rsidRPr="008F34F3">
        <w:rPr>
          <w:rFonts w:cs="Arial"/>
        </w:rPr>
        <w:t xml:space="preserve"> </w:t>
      </w:r>
      <w:r w:rsidR="00834510" w:rsidRPr="008F34F3">
        <w:rPr>
          <w:rFonts w:cs="Arial"/>
        </w:rPr>
        <w:t>podepsala</w:t>
      </w:r>
      <w:r w:rsidR="00FA0879" w:rsidRPr="008F34F3">
        <w:rPr>
          <w:rFonts w:cs="Arial"/>
        </w:rPr>
        <w:t xml:space="preserve"> </w:t>
      </w:r>
      <w:r w:rsidR="00834510" w:rsidRPr="008F34F3">
        <w:rPr>
          <w:rFonts w:cs="Arial"/>
        </w:rPr>
        <w:t xml:space="preserve">i </w:t>
      </w:r>
      <w:r w:rsidR="00FA0879" w:rsidRPr="008F34F3">
        <w:rPr>
          <w:rFonts w:cs="Arial"/>
        </w:rPr>
        <w:t xml:space="preserve">výše srovnávací základny. </w:t>
      </w:r>
      <w:r w:rsidR="002E51D9">
        <w:rPr>
          <w:rFonts w:cs="Arial"/>
        </w:rPr>
        <w:t>U </w:t>
      </w:r>
      <w:r w:rsidR="00834510" w:rsidRPr="008F34F3">
        <w:rPr>
          <w:rFonts w:cs="Arial"/>
        </w:rPr>
        <w:t>pozemního stav</w:t>
      </w:r>
      <w:r w:rsidR="00783CE8" w:rsidRPr="008F34F3">
        <w:rPr>
          <w:rFonts w:cs="Arial"/>
        </w:rPr>
        <w:t xml:space="preserve">itelství podpořila pokles o </w:t>
      </w:r>
      <w:r w:rsidR="00220277" w:rsidRPr="008F34F3">
        <w:rPr>
          <w:rFonts w:cs="Arial"/>
        </w:rPr>
        <w:t>7</w:t>
      </w:r>
      <w:r w:rsidR="00783CE8" w:rsidRPr="008F34F3">
        <w:rPr>
          <w:rFonts w:cs="Arial"/>
        </w:rPr>
        <w:t>,</w:t>
      </w:r>
      <w:r w:rsidR="00220277" w:rsidRPr="008F34F3">
        <w:rPr>
          <w:rFonts w:cs="Arial"/>
        </w:rPr>
        <w:t>4</w:t>
      </w:r>
      <w:r w:rsidR="00783CE8" w:rsidRPr="008F34F3">
        <w:rPr>
          <w:rFonts w:cs="Arial"/>
        </w:rPr>
        <w:t> </w:t>
      </w:r>
      <w:r w:rsidR="00834510" w:rsidRPr="008F34F3">
        <w:rPr>
          <w:rFonts w:cs="Arial"/>
        </w:rPr>
        <w:t>%</w:t>
      </w:r>
      <w:r w:rsidR="00783CE8" w:rsidRPr="008F34F3">
        <w:rPr>
          <w:rFonts w:cs="Arial"/>
        </w:rPr>
        <w:t>,</w:t>
      </w:r>
      <w:r w:rsidR="00834510" w:rsidRPr="008F34F3">
        <w:rPr>
          <w:rFonts w:cs="Arial"/>
        </w:rPr>
        <w:t xml:space="preserve"> naopak inž</w:t>
      </w:r>
      <w:r w:rsidR="002E51D9">
        <w:rPr>
          <w:rFonts w:cs="Arial"/>
        </w:rPr>
        <w:t>enýrské stavitelství vzrostlo o </w:t>
      </w:r>
      <w:r w:rsidR="00220277" w:rsidRPr="008F34F3">
        <w:rPr>
          <w:rFonts w:cs="Arial"/>
        </w:rPr>
        <w:t>4</w:t>
      </w:r>
      <w:r w:rsidR="00834510" w:rsidRPr="008F34F3">
        <w:rPr>
          <w:rFonts w:cs="Arial"/>
        </w:rPr>
        <w:t>,</w:t>
      </w:r>
      <w:r w:rsidR="00220277" w:rsidRPr="008F34F3">
        <w:rPr>
          <w:rFonts w:cs="Arial"/>
        </w:rPr>
        <w:t>8</w:t>
      </w:r>
      <w:r w:rsidR="00783CE8" w:rsidRPr="008F34F3">
        <w:rPr>
          <w:rFonts w:cs="Arial"/>
        </w:rPr>
        <w:t> %. Ve 2. </w:t>
      </w:r>
      <w:r w:rsidR="00834510" w:rsidRPr="008F34F3">
        <w:rPr>
          <w:rFonts w:cs="Arial"/>
        </w:rPr>
        <w:t>čtvrtletí</w:t>
      </w:r>
      <w:r w:rsidR="00832327" w:rsidRPr="008F34F3">
        <w:rPr>
          <w:rFonts w:cs="Arial"/>
        </w:rPr>
        <w:t xml:space="preserve"> </w:t>
      </w:r>
      <w:r w:rsidR="00783CE8" w:rsidRPr="008F34F3">
        <w:rPr>
          <w:rFonts w:cs="Arial"/>
        </w:rPr>
        <w:t>nebyly v segmentech</w:t>
      </w:r>
      <w:r w:rsidR="00832327" w:rsidRPr="008F34F3">
        <w:rPr>
          <w:rFonts w:cs="Arial"/>
        </w:rPr>
        <w:t xml:space="preserve"> tak výrazné rozdíly</w:t>
      </w:r>
      <w:r w:rsidR="002E51D9">
        <w:rPr>
          <w:rFonts w:cs="Arial"/>
        </w:rPr>
        <w:t xml:space="preserve">, inženýrské i pozemní stavitelství meziročně klesly </w:t>
      </w:r>
      <w:r w:rsidR="00832327" w:rsidRPr="008F34F3">
        <w:rPr>
          <w:rFonts w:cs="Arial"/>
        </w:rPr>
        <w:t xml:space="preserve">a </w:t>
      </w:r>
      <w:r w:rsidR="00DB2ECF" w:rsidRPr="008F34F3">
        <w:rPr>
          <w:rFonts w:cs="Arial"/>
        </w:rPr>
        <w:t>cel</w:t>
      </w:r>
      <w:r w:rsidR="002E51D9">
        <w:rPr>
          <w:rFonts w:cs="Arial"/>
        </w:rPr>
        <w:t>ková</w:t>
      </w:r>
      <w:r w:rsidR="00DB2ECF" w:rsidRPr="008F34F3">
        <w:rPr>
          <w:rFonts w:cs="Arial"/>
        </w:rPr>
        <w:t xml:space="preserve"> </w:t>
      </w:r>
      <w:r w:rsidR="00832327" w:rsidRPr="008F34F3">
        <w:rPr>
          <w:rFonts w:cs="Arial"/>
        </w:rPr>
        <w:t xml:space="preserve">stavební produkce </w:t>
      </w:r>
      <w:r w:rsidR="00DB2ECF" w:rsidRPr="008F34F3">
        <w:rPr>
          <w:rFonts w:cs="Arial"/>
        </w:rPr>
        <w:t>se snížila o</w:t>
      </w:r>
      <w:r w:rsidR="00783CE8" w:rsidRPr="008F34F3">
        <w:rPr>
          <w:rFonts w:cs="Arial"/>
        </w:rPr>
        <w:t> </w:t>
      </w:r>
      <w:r w:rsidR="00220277" w:rsidRPr="008F34F3">
        <w:rPr>
          <w:rFonts w:cs="Arial"/>
        </w:rPr>
        <w:t>6</w:t>
      </w:r>
      <w:r w:rsidR="00783CE8" w:rsidRPr="008F34F3">
        <w:rPr>
          <w:rFonts w:cs="Arial"/>
        </w:rPr>
        <w:t>,</w:t>
      </w:r>
      <w:r w:rsidR="00220277" w:rsidRPr="008F34F3">
        <w:rPr>
          <w:rFonts w:cs="Arial"/>
        </w:rPr>
        <w:t>0</w:t>
      </w:r>
      <w:r w:rsidR="00783CE8" w:rsidRPr="008F34F3">
        <w:rPr>
          <w:rFonts w:cs="Arial"/>
        </w:rPr>
        <w:t> </w:t>
      </w:r>
      <w:r w:rsidR="00832327" w:rsidRPr="008F34F3">
        <w:rPr>
          <w:rFonts w:cs="Arial"/>
        </w:rPr>
        <w:t>%</w:t>
      </w:r>
      <w:r w:rsidR="00DB2ECF" w:rsidRPr="008F34F3">
        <w:rPr>
          <w:rFonts w:cs="Arial"/>
        </w:rPr>
        <w:t>.</w:t>
      </w:r>
      <w:r w:rsidR="002C12D0">
        <w:rPr>
          <w:rFonts w:cs="Arial"/>
        </w:rPr>
        <w:t xml:space="preserve"> Ve 3. čtvrtletí se inženýrské stavitelství vrátilo k mírnému růstu (+1,0 %), pozemní setrvalo </w:t>
      </w:r>
      <w:r w:rsidR="00C468B5">
        <w:rPr>
          <w:rFonts w:cs="Arial"/>
        </w:rPr>
        <w:t xml:space="preserve">v meziročním poklesu (-3,2 %). </w:t>
      </w:r>
    </w:p>
    <w:p w:rsidR="002E019C" w:rsidRDefault="002E019C" w:rsidP="002E019C">
      <w:pPr>
        <w:spacing w:before="120"/>
        <w:rPr>
          <w:rFonts w:cs="Arial"/>
        </w:rPr>
      </w:pPr>
      <w:r w:rsidRPr="00B176CB">
        <w:rPr>
          <w:rFonts w:cs="Arial"/>
        </w:rPr>
        <w:t xml:space="preserve">Stavební podniky s 50 a více zaměstnanci v </w:t>
      </w:r>
      <w:r w:rsidR="006C2F57" w:rsidRPr="000B596C">
        <w:rPr>
          <w:rFonts w:cs="Arial"/>
          <w:szCs w:val="20"/>
        </w:rPr>
        <w:t>1. </w:t>
      </w:r>
      <w:r w:rsidR="006C2F57">
        <w:rPr>
          <w:rFonts w:cs="Arial"/>
          <w:szCs w:val="20"/>
        </w:rPr>
        <w:t>až 3. čtvrtletí</w:t>
      </w:r>
      <w:r w:rsidRPr="004725CA">
        <w:rPr>
          <w:rFonts w:cs="Arial"/>
        </w:rPr>
        <w:t xml:space="preserve"> 20</w:t>
      </w:r>
      <w:r>
        <w:rPr>
          <w:rFonts w:cs="Arial"/>
        </w:rPr>
        <w:t>24</w:t>
      </w:r>
      <w:r w:rsidRPr="00B176CB">
        <w:rPr>
          <w:rFonts w:cs="Arial"/>
        </w:rPr>
        <w:t xml:space="preserve"> v tuzemsku uzavřely </w:t>
      </w:r>
      <w:r w:rsidR="00B47D4D">
        <w:rPr>
          <w:rFonts w:cs="Arial"/>
        </w:rPr>
        <w:t>59</w:t>
      </w:r>
      <w:r>
        <w:rPr>
          <w:rFonts w:cs="Arial"/>
        </w:rPr>
        <w:t> </w:t>
      </w:r>
      <w:r w:rsidR="00B47D4D">
        <w:rPr>
          <w:rFonts w:cs="Arial"/>
        </w:rPr>
        <w:t>054</w:t>
      </w:r>
      <w:r>
        <w:rPr>
          <w:rFonts w:cs="Arial"/>
        </w:rPr>
        <w:t xml:space="preserve"> </w:t>
      </w:r>
      <w:r w:rsidRPr="00B176CB">
        <w:rPr>
          <w:rFonts w:cs="Arial"/>
        </w:rPr>
        <w:t>stavebních zakázek</w:t>
      </w:r>
      <w:r>
        <w:rPr>
          <w:rFonts w:cs="Arial"/>
        </w:rPr>
        <w:t xml:space="preserve"> a</w:t>
      </w:r>
      <w:r w:rsidRPr="00B176CB">
        <w:rPr>
          <w:rFonts w:cs="Arial"/>
        </w:rPr>
        <w:t xml:space="preserve"> </w:t>
      </w:r>
      <w:r w:rsidR="00C468B5">
        <w:rPr>
          <w:rFonts w:cs="Arial"/>
        </w:rPr>
        <w:t xml:space="preserve">tento počet </w:t>
      </w:r>
      <w:r w:rsidRPr="00B176CB">
        <w:rPr>
          <w:rFonts w:cs="Arial"/>
        </w:rPr>
        <w:t>me</w:t>
      </w:r>
      <w:r>
        <w:rPr>
          <w:rFonts w:cs="Arial"/>
        </w:rPr>
        <w:t>ziročně vzrostl o </w:t>
      </w:r>
      <w:r w:rsidR="009B4AA2">
        <w:rPr>
          <w:rFonts w:cs="Arial"/>
        </w:rPr>
        <w:t>4</w:t>
      </w:r>
      <w:r>
        <w:rPr>
          <w:rFonts w:cs="Arial"/>
        </w:rPr>
        <w:t>,</w:t>
      </w:r>
      <w:r w:rsidR="009B4AA2">
        <w:rPr>
          <w:rFonts w:cs="Arial"/>
        </w:rPr>
        <w:t>5</w:t>
      </w:r>
      <w:r w:rsidRPr="00B176CB">
        <w:rPr>
          <w:rFonts w:cs="Arial"/>
        </w:rPr>
        <w:t xml:space="preserve"> %. Celková hodnota těchto zakázek se meziročně </w:t>
      </w:r>
      <w:r>
        <w:rPr>
          <w:rFonts w:cs="Arial"/>
        </w:rPr>
        <w:t xml:space="preserve">zvýšila o </w:t>
      </w:r>
      <w:r w:rsidR="009B4AA2">
        <w:rPr>
          <w:rFonts w:cs="Arial"/>
        </w:rPr>
        <w:t>15</w:t>
      </w:r>
      <w:r>
        <w:rPr>
          <w:rFonts w:cs="Arial"/>
        </w:rPr>
        <w:t>,</w:t>
      </w:r>
      <w:r w:rsidR="009B4AA2">
        <w:rPr>
          <w:rFonts w:cs="Arial"/>
        </w:rPr>
        <w:t>4</w:t>
      </w:r>
      <w:r w:rsidR="006F4A7F">
        <w:rPr>
          <w:rFonts w:cs="Arial"/>
        </w:rPr>
        <w:t> </w:t>
      </w:r>
      <w:r w:rsidRPr="00B176CB">
        <w:rPr>
          <w:rFonts w:cs="Arial"/>
        </w:rPr>
        <w:t xml:space="preserve">% a činila </w:t>
      </w:r>
      <w:r w:rsidR="00013786">
        <w:rPr>
          <w:rFonts w:cs="Arial"/>
        </w:rPr>
        <w:t>288</w:t>
      </w:r>
      <w:r>
        <w:rPr>
          <w:rFonts w:cs="Arial"/>
        </w:rPr>
        <w:t>,</w:t>
      </w:r>
      <w:r w:rsidR="00013786">
        <w:rPr>
          <w:rFonts w:cs="Arial"/>
        </w:rPr>
        <w:t>3</w:t>
      </w:r>
      <w:r w:rsidRPr="00B176CB">
        <w:rPr>
          <w:rFonts w:cs="Arial"/>
        </w:rPr>
        <w:t xml:space="preserve"> mld. Kč běžných cen. </w:t>
      </w:r>
      <w:r w:rsidR="00474910">
        <w:rPr>
          <w:rFonts w:cs="Arial"/>
        </w:rPr>
        <w:t>V</w:t>
      </w:r>
      <w:r>
        <w:rPr>
          <w:rFonts w:cs="Arial"/>
        </w:rPr>
        <w:t xml:space="preserve"> pozemním stavitelství dosáhly nové stavební zakázky </w:t>
      </w:r>
      <w:r w:rsidR="0005569C">
        <w:rPr>
          <w:rFonts w:cs="Arial"/>
        </w:rPr>
        <w:t>138</w:t>
      </w:r>
      <w:r>
        <w:rPr>
          <w:rFonts w:cs="Arial"/>
        </w:rPr>
        <w:t>,</w:t>
      </w:r>
      <w:r w:rsidR="0005569C">
        <w:rPr>
          <w:rFonts w:cs="Arial"/>
        </w:rPr>
        <w:t>1</w:t>
      </w:r>
      <w:r>
        <w:rPr>
          <w:rFonts w:cs="Arial"/>
        </w:rPr>
        <w:t xml:space="preserve"> mld. Kč a meziročně rostly o </w:t>
      </w:r>
      <w:r w:rsidR="0005569C">
        <w:rPr>
          <w:rFonts w:cs="Arial"/>
        </w:rPr>
        <w:t>22</w:t>
      </w:r>
      <w:r>
        <w:rPr>
          <w:rFonts w:cs="Arial"/>
        </w:rPr>
        <w:t>,</w:t>
      </w:r>
      <w:r w:rsidR="0005569C">
        <w:rPr>
          <w:rFonts w:cs="Arial"/>
        </w:rPr>
        <w:t>4</w:t>
      </w:r>
      <w:r>
        <w:rPr>
          <w:rFonts w:cs="Arial"/>
        </w:rPr>
        <w:t xml:space="preserve"> %</w:t>
      </w:r>
      <w:r w:rsidR="00474910">
        <w:rPr>
          <w:rFonts w:cs="Arial"/>
        </w:rPr>
        <w:t xml:space="preserve"> </w:t>
      </w:r>
      <w:r w:rsidR="00C468B5">
        <w:rPr>
          <w:rFonts w:cs="Arial"/>
        </w:rPr>
        <w:t xml:space="preserve">zejména </w:t>
      </w:r>
      <w:r w:rsidR="00474910">
        <w:rPr>
          <w:rFonts w:cs="Arial"/>
        </w:rPr>
        <w:t>zásluho</w:t>
      </w:r>
      <w:r w:rsidR="00C468B5">
        <w:rPr>
          <w:rFonts w:cs="Arial"/>
        </w:rPr>
        <w:t>u výsledků za 1. pololetí</w:t>
      </w:r>
      <w:r w:rsidR="00474910">
        <w:rPr>
          <w:rFonts w:cs="Arial"/>
        </w:rPr>
        <w:t xml:space="preserve">. Také nové zakázky na inženýrské stavby v 1. až 3. čtvrtletí </w:t>
      </w:r>
      <w:r w:rsidR="00C468B5">
        <w:rPr>
          <w:rFonts w:cs="Arial"/>
        </w:rPr>
        <w:t xml:space="preserve">rostly, </w:t>
      </w:r>
      <w:r w:rsidR="00474910">
        <w:rPr>
          <w:rFonts w:cs="Arial"/>
        </w:rPr>
        <w:t>meziročně o 9,6 %</w:t>
      </w:r>
      <w:r>
        <w:rPr>
          <w:rFonts w:cs="Arial"/>
        </w:rPr>
        <w:t xml:space="preserve">. </w:t>
      </w:r>
      <w:r w:rsidRPr="00B176CB">
        <w:rPr>
          <w:rFonts w:cs="Arial"/>
        </w:rPr>
        <w:t xml:space="preserve">Průměrná hodnota nově uzavřené zakázky činila </w:t>
      </w:r>
      <w:r w:rsidR="00AF191E">
        <w:rPr>
          <w:rFonts w:cs="Arial"/>
        </w:rPr>
        <w:t>4</w:t>
      </w:r>
      <w:r w:rsidRPr="00B176CB">
        <w:rPr>
          <w:rFonts w:cs="Arial"/>
        </w:rPr>
        <w:t>,</w:t>
      </w:r>
      <w:r w:rsidR="00AF191E">
        <w:rPr>
          <w:rFonts w:cs="Arial"/>
        </w:rPr>
        <w:t>9</w:t>
      </w:r>
      <w:r>
        <w:rPr>
          <w:rFonts w:cs="Arial"/>
        </w:rPr>
        <w:t xml:space="preserve"> mil. Kč a byla meziročně o </w:t>
      </w:r>
      <w:r w:rsidR="00A828AA">
        <w:rPr>
          <w:rFonts w:cs="Arial"/>
        </w:rPr>
        <w:t>10</w:t>
      </w:r>
      <w:r>
        <w:rPr>
          <w:rFonts w:cs="Arial"/>
        </w:rPr>
        <w:t>,</w:t>
      </w:r>
      <w:r w:rsidR="00A828AA">
        <w:rPr>
          <w:rFonts w:cs="Arial"/>
        </w:rPr>
        <w:t>4</w:t>
      </w:r>
      <w:r w:rsidRPr="00B176CB">
        <w:rPr>
          <w:rFonts w:cs="Arial"/>
        </w:rPr>
        <w:t xml:space="preserve"> % vyšší. </w:t>
      </w:r>
    </w:p>
    <w:p w:rsidR="002E019C" w:rsidRPr="00B72D53" w:rsidRDefault="002E019C" w:rsidP="002E019C">
      <w:pPr>
        <w:spacing w:before="120"/>
        <w:rPr>
          <w:rFonts w:cs="Arial"/>
          <w:szCs w:val="20"/>
        </w:rPr>
      </w:pPr>
      <w:r w:rsidRPr="00054236">
        <w:t xml:space="preserve">Orientační hodnota </w:t>
      </w:r>
      <w:r w:rsidRPr="00054236">
        <w:rPr>
          <w:bCs/>
        </w:rPr>
        <w:t>staveb</w:t>
      </w:r>
      <w:r w:rsidRPr="00054236">
        <w:t xml:space="preserve"> povolených v </w:t>
      </w:r>
      <w:r w:rsidR="00D678FB" w:rsidRPr="000B596C">
        <w:rPr>
          <w:rFonts w:cs="Arial"/>
          <w:szCs w:val="20"/>
        </w:rPr>
        <w:t>1. </w:t>
      </w:r>
      <w:r w:rsidR="009469ED">
        <w:rPr>
          <w:rFonts w:cs="Arial"/>
          <w:szCs w:val="20"/>
        </w:rPr>
        <w:t>až 3. </w:t>
      </w:r>
      <w:r w:rsidR="00D678FB">
        <w:rPr>
          <w:rFonts w:cs="Arial"/>
          <w:szCs w:val="20"/>
        </w:rPr>
        <w:t>čtvrtletí</w:t>
      </w:r>
      <w:r w:rsidRPr="00054236">
        <w:rPr>
          <w:rFonts w:cs="Arial"/>
        </w:rPr>
        <w:t xml:space="preserve"> 2024</w:t>
      </w:r>
      <w:r w:rsidRPr="00054236">
        <w:t xml:space="preserve"> dosáhla </w:t>
      </w:r>
      <w:r w:rsidR="00B540B0">
        <w:t>415</w:t>
      </w:r>
      <w:r w:rsidRPr="00151067">
        <w:t>,</w:t>
      </w:r>
      <w:r w:rsidR="00B540B0">
        <w:t>1</w:t>
      </w:r>
      <w:r w:rsidR="008545DA">
        <w:t> mld. Kč a </w:t>
      </w:r>
      <w:r w:rsidRPr="00054236">
        <w:t>meziročně</w:t>
      </w:r>
      <w:r w:rsidRPr="00054236">
        <w:rPr>
          <w:rFonts w:cs="Arial"/>
          <w:szCs w:val="20"/>
        </w:rPr>
        <w:t xml:space="preserve"> </w:t>
      </w:r>
      <w:r w:rsidR="00151067" w:rsidRPr="00B540B0">
        <w:t>klesl</w:t>
      </w:r>
      <w:r w:rsidRPr="00B540B0">
        <w:rPr>
          <w:rFonts w:cs="Arial"/>
          <w:szCs w:val="20"/>
        </w:rPr>
        <w:t>a</w:t>
      </w:r>
      <w:r w:rsidRPr="00054236">
        <w:t xml:space="preserve"> o </w:t>
      </w:r>
      <w:r w:rsidR="00B540B0">
        <w:t>1</w:t>
      </w:r>
      <w:r w:rsidR="00151067">
        <w:t>,</w:t>
      </w:r>
      <w:r w:rsidR="00B540B0">
        <w:t>8</w:t>
      </w:r>
      <w:r w:rsidRPr="00054236">
        <w:t> %</w:t>
      </w:r>
      <w:r>
        <w:rPr>
          <w:rFonts w:cs="Arial"/>
          <w:szCs w:val="20"/>
        </w:rPr>
        <w:t xml:space="preserve"> (</w:t>
      </w:r>
      <w:r w:rsidR="008545DA">
        <w:rPr>
          <w:rFonts w:cs="Arial"/>
          <w:szCs w:val="20"/>
        </w:rPr>
        <w:t>v běžných cenách) a k</w:t>
      </w:r>
      <w:r w:rsidR="006F4A7F" w:rsidRPr="00B540B0">
        <w:rPr>
          <w:rFonts w:cs="Arial"/>
          <w:szCs w:val="20"/>
        </w:rPr>
        <w:t> p</w:t>
      </w:r>
      <w:r w:rsidR="00151067" w:rsidRPr="00B540B0">
        <w:rPr>
          <w:rFonts w:cs="Arial"/>
          <w:szCs w:val="20"/>
        </w:rPr>
        <w:t>okles</w:t>
      </w:r>
      <w:r w:rsidR="006F4A7F" w:rsidRPr="00B540B0">
        <w:rPr>
          <w:rFonts w:cs="Arial"/>
          <w:szCs w:val="20"/>
        </w:rPr>
        <w:t>u přispěl</w:t>
      </w:r>
      <w:r w:rsidR="006A28DB">
        <w:rPr>
          <w:rFonts w:cs="Arial"/>
          <w:szCs w:val="20"/>
        </w:rPr>
        <w:t>a</w:t>
      </w:r>
      <w:r w:rsidR="006F4A7F" w:rsidRPr="00B540B0">
        <w:rPr>
          <w:rFonts w:cs="Arial"/>
          <w:szCs w:val="20"/>
        </w:rPr>
        <w:t xml:space="preserve"> </w:t>
      </w:r>
      <w:r w:rsidR="008545DA">
        <w:rPr>
          <w:rFonts w:cs="Arial"/>
          <w:szCs w:val="20"/>
        </w:rPr>
        <w:t xml:space="preserve">zejména </w:t>
      </w:r>
      <w:r w:rsidR="005C0E10" w:rsidRPr="00876F29">
        <w:rPr>
          <w:rFonts w:cs="Arial"/>
          <w:szCs w:val="20"/>
        </w:rPr>
        <w:t>povolení</w:t>
      </w:r>
      <w:r w:rsidR="008545DA" w:rsidRPr="00876F29">
        <w:rPr>
          <w:rFonts w:cs="Arial"/>
          <w:szCs w:val="20"/>
        </w:rPr>
        <w:t xml:space="preserve"> inženýrských staveb</w:t>
      </w:r>
      <w:r w:rsidR="006F4A7F" w:rsidRPr="00876F29">
        <w:rPr>
          <w:rFonts w:cs="Arial"/>
          <w:szCs w:val="20"/>
        </w:rPr>
        <w:t xml:space="preserve"> ve 2. čtvrtletí.</w:t>
      </w:r>
      <w:r w:rsidR="003954CA" w:rsidRPr="00876F29">
        <w:rPr>
          <w:rFonts w:cs="Arial"/>
          <w:szCs w:val="20"/>
        </w:rPr>
        <w:t xml:space="preserve"> </w:t>
      </w:r>
      <w:r w:rsidR="008545DA" w:rsidRPr="00876F29">
        <w:rPr>
          <w:rFonts w:cs="Arial"/>
          <w:szCs w:val="20"/>
        </w:rPr>
        <w:t xml:space="preserve">Od počátku roku se více </w:t>
      </w:r>
      <w:r w:rsidR="00B72D53" w:rsidRPr="00876F29">
        <w:rPr>
          <w:rFonts w:cs="Arial"/>
          <w:szCs w:val="20"/>
        </w:rPr>
        <w:t>dařilo nové výstavbě bytových a </w:t>
      </w:r>
      <w:r w:rsidR="008545DA" w:rsidRPr="00876F29">
        <w:rPr>
          <w:rFonts w:cs="Arial"/>
          <w:szCs w:val="20"/>
        </w:rPr>
        <w:t>nebytových budov, pokles v kategorii změn dokončených staveb tlumily dopravní stavby.</w:t>
      </w:r>
      <w:r w:rsidR="00B72D5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</w:t>
      </w:r>
      <w:r w:rsidR="00D678FB" w:rsidRPr="000B596C">
        <w:rPr>
          <w:rFonts w:cs="Arial"/>
          <w:szCs w:val="20"/>
        </w:rPr>
        <w:t>1. </w:t>
      </w:r>
      <w:r w:rsidR="00D678FB">
        <w:rPr>
          <w:rFonts w:cs="Arial"/>
          <w:szCs w:val="20"/>
        </w:rPr>
        <w:t>až 3. čtvrtletí</w:t>
      </w:r>
      <w:r w:rsidRPr="00054236">
        <w:rPr>
          <w:rFonts w:cs="Arial"/>
        </w:rPr>
        <w:t xml:space="preserve"> 2024</w:t>
      </w:r>
      <w:r>
        <w:rPr>
          <w:rFonts w:cs="Arial"/>
        </w:rPr>
        <w:t xml:space="preserve"> </w:t>
      </w:r>
      <w:r w:rsidRPr="000040F7">
        <w:rPr>
          <w:rFonts w:cs="Arial"/>
        </w:rPr>
        <w:t xml:space="preserve">bylo povoleno </w:t>
      </w:r>
      <w:r w:rsidR="00EE1414">
        <w:rPr>
          <w:rFonts w:cs="Arial"/>
        </w:rPr>
        <w:t>30</w:t>
      </w:r>
      <w:r w:rsidRPr="000040F7">
        <w:rPr>
          <w:rFonts w:cs="Arial"/>
        </w:rPr>
        <w:t xml:space="preserve"> staveb nad 1 mld. Kč za </w:t>
      </w:r>
      <w:r w:rsidR="00EE1414">
        <w:rPr>
          <w:rFonts w:cs="Arial"/>
        </w:rPr>
        <w:t>85</w:t>
      </w:r>
      <w:r w:rsidRPr="000040F7">
        <w:rPr>
          <w:rFonts w:cs="Arial"/>
        </w:rPr>
        <w:t>,</w:t>
      </w:r>
      <w:r w:rsidR="00EE1414">
        <w:rPr>
          <w:rFonts w:cs="Arial"/>
        </w:rPr>
        <w:t>4</w:t>
      </w:r>
      <w:r w:rsidRPr="000040F7">
        <w:rPr>
          <w:rFonts w:cs="Arial"/>
        </w:rPr>
        <w:t xml:space="preserve"> mld. Kč</w:t>
      </w:r>
      <w:r w:rsidR="00B72D53">
        <w:rPr>
          <w:rFonts w:cs="Arial"/>
        </w:rPr>
        <w:t>,</w:t>
      </w:r>
      <w:r w:rsidRPr="000040F7">
        <w:rPr>
          <w:rFonts w:cs="Arial"/>
        </w:rPr>
        <w:t xml:space="preserve"> </w:t>
      </w:r>
      <w:r w:rsidR="00EE1414">
        <w:rPr>
          <w:rFonts w:cs="Arial"/>
        </w:rPr>
        <w:t>většina</w:t>
      </w:r>
      <w:r w:rsidRPr="000040F7">
        <w:rPr>
          <w:rFonts w:cs="Arial"/>
        </w:rPr>
        <w:t xml:space="preserve"> na novou výstavbu</w:t>
      </w:r>
      <w:r w:rsidR="00B72D53">
        <w:rPr>
          <w:rFonts w:cs="Arial"/>
        </w:rPr>
        <w:t>, ale jejich orientační hodnota celkový vývoj významně neovlivnila</w:t>
      </w:r>
      <w:r w:rsidRPr="00D54567">
        <w:rPr>
          <w:rFonts w:cs="Arial"/>
          <w:szCs w:val="20"/>
        </w:rPr>
        <w:t>.</w:t>
      </w:r>
      <w:r w:rsidRPr="00D54567">
        <w:t xml:space="preserve"> Vyšší investice se plánují ve </w:t>
      </w:r>
      <w:r w:rsidR="008A4690" w:rsidRPr="00CE5974">
        <w:t>Středočeském</w:t>
      </w:r>
      <w:r w:rsidRPr="00CE5974">
        <w:t>, </w:t>
      </w:r>
      <w:r w:rsidR="00CE5974" w:rsidRPr="00CE5974">
        <w:rPr>
          <w:rFonts w:cs="Arial"/>
          <w:szCs w:val="20"/>
        </w:rPr>
        <w:t>Jihomoravském kraji a v Praze</w:t>
      </w:r>
      <w:r w:rsidRPr="00CE5974">
        <w:t>.</w:t>
      </w:r>
    </w:p>
    <w:p w:rsidR="002E019C" w:rsidRDefault="002E019C" w:rsidP="002E019C">
      <w:pPr>
        <w:spacing w:before="120"/>
      </w:pPr>
      <w:r w:rsidRPr="00F27BC8">
        <w:t>V </w:t>
      </w:r>
      <w:r w:rsidR="00081C6D" w:rsidRPr="00F27BC8">
        <w:rPr>
          <w:rFonts w:cs="Arial"/>
          <w:szCs w:val="20"/>
        </w:rPr>
        <w:t>1. až 3. čtvrtletí</w:t>
      </w:r>
      <w:r w:rsidRPr="00F27BC8">
        <w:rPr>
          <w:rFonts w:cs="Arial"/>
        </w:rPr>
        <w:t xml:space="preserve"> 2024</w:t>
      </w:r>
      <w:r w:rsidRPr="00F27BC8">
        <w:t xml:space="preserve"> byla zahájena výstavba </w:t>
      </w:r>
      <w:r w:rsidR="00937F02" w:rsidRPr="00F27BC8">
        <w:t>27</w:t>
      </w:r>
      <w:r w:rsidR="00FA6DB0">
        <w:t> </w:t>
      </w:r>
      <w:r w:rsidR="00937F02" w:rsidRPr="00F27BC8">
        <w:t>316</w:t>
      </w:r>
      <w:r w:rsidR="00FA6DB0">
        <w:t xml:space="preserve"> </w:t>
      </w:r>
      <w:r w:rsidRPr="00F27BC8">
        <w:t xml:space="preserve">bytů a tento počet meziročně </w:t>
      </w:r>
      <w:r w:rsidR="00937F02" w:rsidRPr="00F27BC8">
        <w:rPr>
          <w:rFonts w:cs="Arial"/>
          <w:szCs w:val="20"/>
        </w:rPr>
        <w:t>zůstal</w:t>
      </w:r>
      <w:r w:rsidR="007B6028" w:rsidRPr="00F27BC8">
        <w:rPr>
          <w:rFonts w:cs="Arial"/>
          <w:szCs w:val="20"/>
        </w:rPr>
        <w:t xml:space="preserve"> na úrovní loňského </w:t>
      </w:r>
      <w:r w:rsidR="009469ED">
        <w:rPr>
          <w:rFonts w:cs="Arial"/>
          <w:szCs w:val="20"/>
        </w:rPr>
        <w:t>roku</w:t>
      </w:r>
      <w:r w:rsidR="00937F02" w:rsidRPr="00F27BC8">
        <w:rPr>
          <w:rFonts w:cs="Arial"/>
          <w:szCs w:val="20"/>
        </w:rPr>
        <w:t xml:space="preserve">. </w:t>
      </w:r>
      <w:r w:rsidRPr="00F27BC8">
        <w:rPr>
          <w:rFonts w:cs="Arial"/>
          <w:szCs w:val="20"/>
        </w:rPr>
        <w:t xml:space="preserve">Bytů v rodinných domech bylo od ledna do konce </w:t>
      </w:r>
      <w:r w:rsidR="00EC178A" w:rsidRPr="00F27BC8">
        <w:rPr>
          <w:rFonts w:cs="Arial"/>
          <w:szCs w:val="20"/>
        </w:rPr>
        <w:t>září</w:t>
      </w:r>
      <w:r w:rsidRPr="00F27BC8">
        <w:rPr>
          <w:rFonts w:cs="Arial"/>
          <w:szCs w:val="20"/>
        </w:rPr>
        <w:t xml:space="preserve"> zahájeno</w:t>
      </w:r>
      <w:r w:rsidRPr="00F27BC8">
        <w:t xml:space="preserve"> </w:t>
      </w:r>
      <w:r w:rsidR="002A2F2F" w:rsidRPr="00F27BC8">
        <w:rPr>
          <w:rFonts w:cs="Arial"/>
          <w:szCs w:val="20"/>
        </w:rPr>
        <w:t>o </w:t>
      </w:r>
      <w:r w:rsidR="00937F02" w:rsidRPr="00F27BC8">
        <w:rPr>
          <w:rFonts w:cs="Arial"/>
          <w:szCs w:val="20"/>
        </w:rPr>
        <w:t>10</w:t>
      </w:r>
      <w:r w:rsidRPr="00F27BC8">
        <w:rPr>
          <w:rFonts w:cs="Arial"/>
          <w:szCs w:val="20"/>
        </w:rPr>
        <w:t>,</w:t>
      </w:r>
      <w:r w:rsidR="00937F02" w:rsidRPr="00F27BC8">
        <w:rPr>
          <w:rFonts w:cs="Arial"/>
          <w:szCs w:val="20"/>
        </w:rPr>
        <w:t>3</w:t>
      </w:r>
      <w:r w:rsidRPr="00F27BC8">
        <w:rPr>
          <w:rFonts w:cs="Arial"/>
          <w:szCs w:val="20"/>
        </w:rPr>
        <w:t xml:space="preserve"> % méně než loni </w:t>
      </w:r>
      <w:r w:rsidR="002A2F2F" w:rsidRPr="00F27BC8">
        <w:t>a </w:t>
      </w:r>
      <w:r w:rsidR="009469ED">
        <w:t>pokles se odehrával ve všech čtvrtletích.</w:t>
      </w:r>
      <w:r w:rsidRPr="00F27BC8">
        <w:t xml:space="preserve"> Počty bytů zahájených v bytových domech meziročně rostly</w:t>
      </w:r>
      <w:r w:rsidR="000D3B5F" w:rsidRPr="00F27BC8">
        <w:t xml:space="preserve"> téměř</w:t>
      </w:r>
      <w:r w:rsidR="002A2F2F" w:rsidRPr="00F27BC8">
        <w:t xml:space="preserve"> o </w:t>
      </w:r>
      <w:r w:rsidR="005E3499" w:rsidRPr="00F27BC8">
        <w:t>čtvrtinu</w:t>
      </w:r>
      <w:r w:rsidR="009469ED">
        <w:t>.</w:t>
      </w:r>
      <w:r w:rsidR="003B469F" w:rsidRPr="00064549">
        <w:t xml:space="preserve"> </w:t>
      </w:r>
      <w:r w:rsidRPr="00064549">
        <w:t xml:space="preserve">Meziroční pokles zaznamenaly </w:t>
      </w:r>
      <w:r w:rsidR="00823B1B">
        <w:t>konverze rodinných i </w:t>
      </w:r>
      <w:r w:rsidRPr="00064549">
        <w:t>bytových domů</w:t>
      </w:r>
      <w:r w:rsidR="002A2F2F">
        <w:t xml:space="preserve"> a </w:t>
      </w:r>
      <w:r w:rsidR="002A2F2F" w:rsidRPr="007B6028">
        <w:t>také</w:t>
      </w:r>
      <w:r w:rsidRPr="007B6028">
        <w:t xml:space="preserve"> byty zahájené v nebytových budovách</w:t>
      </w:r>
      <w:r w:rsidRPr="003B469F">
        <w:t>.</w:t>
      </w:r>
      <w:r w:rsidRPr="00C250EC">
        <w:t xml:space="preserve"> Nejvíce bytů se zahájilo v</w:t>
      </w:r>
      <w:r w:rsidR="009469ED">
        <w:t> </w:t>
      </w:r>
      <w:r w:rsidRPr="00722489">
        <w:t>Praze</w:t>
      </w:r>
      <w:r w:rsidR="009469ED">
        <w:t xml:space="preserve"> </w:t>
      </w:r>
      <w:r w:rsidRPr="00722489">
        <w:t xml:space="preserve">(bytové domy), </w:t>
      </w:r>
      <w:r w:rsidR="009469ED">
        <w:t>ve </w:t>
      </w:r>
      <w:r w:rsidR="000A2FCD" w:rsidRPr="000A2FCD">
        <w:t>Středočeském kraji</w:t>
      </w:r>
      <w:r w:rsidR="00823B1B">
        <w:t xml:space="preserve"> (rodinné</w:t>
      </w:r>
      <w:r w:rsidR="000A2FCD" w:rsidRPr="000A2FCD">
        <w:t xml:space="preserve"> domy</w:t>
      </w:r>
      <w:r w:rsidR="00823B1B">
        <w:t>)</w:t>
      </w:r>
      <w:r w:rsidR="000A2FCD" w:rsidRPr="000A2FCD">
        <w:t xml:space="preserve"> a </w:t>
      </w:r>
      <w:r w:rsidR="003B469F" w:rsidRPr="000A2FCD">
        <w:t>v Jihomoravském</w:t>
      </w:r>
      <w:r w:rsidR="009469ED">
        <w:t xml:space="preserve"> kraji</w:t>
      </w:r>
      <w:r w:rsidRPr="000A2FCD">
        <w:t>.</w:t>
      </w:r>
    </w:p>
    <w:p w:rsidR="002E019C" w:rsidRDefault="002E019C" w:rsidP="002E019C">
      <w:pPr>
        <w:spacing w:before="120"/>
      </w:pPr>
      <w:r w:rsidRPr="009277D6">
        <w:rPr>
          <w:bCs/>
        </w:rPr>
        <w:t>V </w:t>
      </w:r>
      <w:r w:rsidR="00EC178A" w:rsidRPr="000B596C">
        <w:rPr>
          <w:rFonts w:cs="Arial"/>
          <w:szCs w:val="20"/>
        </w:rPr>
        <w:t>1. </w:t>
      </w:r>
      <w:r w:rsidR="00EC178A">
        <w:rPr>
          <w:rFonts w:cs="Arial"/>
          <w:szCs w:val="20"/>
        </w:rPr>
        <w:t>až 3. čtvrtletí</w:t>
      </w:r>
      <w:r w:rsidRPr="009277D6">
        <w:rPr>
          <w:rFonts w:cs="Arial"/>
        </w:rPr>
        <w:t xml:space="preserve"> 2024</w:t>
      </w:r>
      <w:r w:rsidRPr="009277D6">
        <w:rPr>
          <w:bCs/>
        </w:rPr>
        <w:t xml:space="preserve"> bylo dokončeno </w:t>
      </w:r>
      <w:r w:rsidR="000D3B5F" w:rsidRPr="000D3B5F">
        <w:t>24</w:t>
      </w:r>
      <w:r w:rsidR="000212C4">
        <w:t> </w:t>
      </w:r>
      <w:r w:rsidR="000D3B5F" w:rsidRPr="000D3B5F">
        <w:t>266</w:t>
      </w:r>
      <w:r w:rsidRPr="009277D6">
        <w:t> bytů a tento p</w:t>
      </w:r>
      <w:r w:rsidRPr="009277D6">
        <w:rPr>
          <w:bCs/>
        </w:rPr>
        <w:t xml:space="preserve">očet </w:t>
      </w:r>
      <w:r w:rsidRPr="009277D6">
        <w:t xml:space="preserve">meziročně </w:t>
      </w:r>
      <w:r w:rsidRPr="000D3B5F">
        <w:t>klesl</w:t>
      </w:r>
      <w:r w:rsidRPr="009277D6">
        <w:t xml:space="preserve"> o </w:t>
      </w:r>
      <w:r w:rsidR="000D3B5F">
        <w:t>6</w:t>
      </w:r>
      <w:r w:rsidRPr="009277D6">
        <w:t>,</w:t>
      </w:r>
      <w:r w:rsidR="000D3B5F">
        <w:t>5</w:t>
      </w:r>
      <w:r w:rsidRPr="009277D6">
        <w:t xml:space="preserve"> %. </w:t>
      </w:r>
      <w:r w:rsidRPr="000D3B5F">
        <w:t>Meziroční pokles počtu</w:t>
      </w:r>
      <w:r w:rsidRPr="00DC72FF">
        <w:t xml:space="preserve"> dokončených bytů se </w:t>
      </w:r>
      <w:r w:rsidRPr="002D5DCD">
        <w:t>odehrával především v kategorii rodinných</w:t>
      </w:r>
      <w:r w:rsidRPr="00DC72FF">
        <w:t xml:space="preserve"> domů, </w:t>
      </w:r>
      <w:r w:rsidR="000212C4">
        <w:t xml:space="preserve">počet bytů dokončených </w:t>
      </w:r>
      <w:r w:rsidRPr="000D3B5F">
        <w:t>v bytových</w:t>
      </w:r>
      <w:r w:rsidRPr="00DC72FF">
        <w:t xml:space="preserve"> domech </w:t>
      </w:r>
      <w:r w:rsidR="000212C4">
        <w:t>stagnoval</w:t>
      </w:r>
      <w:r w:rsidRPr="00DC72FF">
        <w:t xml:space="preserve">. </w:t>
      </w:r>
      <w:r w:rsidR="00472BFA" w:rsidRPr="008311A1">
        <w:t>Meziroční pokles zaznamenaly</w:t>
      </w:r>
      <w:r w:rsidR="00472BFA" w:rsidRPr="005E3499">
        <w:t xml:space="preserve"> </w:t>
      </w:r>
      <w:r w:rsidR="000212C4">
        <w:t>konverze rodinných i </w:t>
      </w:r>
      <w:r w:rsidR="00472BFA" w:rsidRPr="000D3B5F">
        <w:t xml:space="preserve">bytových domů a </w:t>
      </w:r>
      <w:r w:rsidR="000212C4">
        <w:t xml:space="preserve">méně se </w:t>
      </w:r>
      <w:r w:rsidR="00472BFA" w:rsidRPr="000D3B5F">
        <w:t xml:space="preserve">také </w:t>
      </w:r>
      <w:r w:rsidR="000212C4">
        <w:t>zatím</w:t>
      </w:r>
      <w:r w:rsidR="00472BFA" w:rsidRPr="000D3B5F">
        <w:t xml:space="preserve"> </w:t>
      </w:r>
      <w:r w:rsidRPr="000D3B5F">
        <w:t>dokončilo bytů v nebytových</w:t>
      </w:r>
      <w:r w:rsidRPr="00A15EEC">
        <w:t xml:space="preserve"> budovách</w:t>
      </w:r>
      <w:r w:rsidRPr="000D3B5F">
        <w:t>.</w:t>
      </w:r>
      <w:r w:rsidRPr="009277D6">
        <w:t xml:space="preserve"> Nejvíce se dokončovalo v </w:t>
      </w:r>
      <w:r w:rsidRPr="000A2FCD">
        <w:t>Praze, ve Středočeském a Jihomoravském</w:t>
      </w:r>
      <w:r w:rsidRPr="00A0327D">
        <w:t xml:space="preserve"> kraji.</w:t>
      </w:r>
    </w:p>
    <w:p w:rsidR="00A63B3C" w:rsidRDefault="00A63B3C" w:rsidP="002E019C">
      <w:pPr>
        <w:spacing w:before="120"/>
      </w:pPr>
    </w:p>
    <w:p w:rsidR="00B957A6" w:rsidRDefault="00B957A6" w:rsidP="00221C9E">
      <w:pPr>
        <w:pStyle w:val="Poznmky0"/>
        <w:pBdr>
          <w:top w:val="single" w:sz="4" w:space="1" w:color="auto"/>
        </w:pBdr>
        <w:spacing w:before="0" w:line="240" w:lineRule="auto"/>
        <w:rPr>
          <w:iCs/>
        </w:rPr>
      </w:pPr>
      <w:r w:rsidRPr="00C52044">
        <w:t>Poznámky:</w:t>
      </w:r>
      <w:r w:rsidR="00221C9E">
        <w:t xml:space="preserve"> </w:t>
      </w:r>
      <w:r w:rsidRPr="004E2B8D">
        <w:rPr>
          <w:iCs/>
        </w:rPr>
        <w:t>Meziroční</w:t>
      </w:r>
      <w:r w:rsidRPr="00C52044">
        <w:rPr>
          <w:iCs/>
        </w:rPr>
        <w:t xml:space="preserve"> vývoj stavební produkce je publikován po očiště</w:t>
      </w:r>
      <w:r w:rsidR="00CB2356">
        <w:rPr>
          <w:iCs/>
        </w:rPr>
        <w:t>ní o vliv počtu pracovních dnů.</w:t>
      </w:r>
      <w:bookmarkStart w:id="0" w:name="_GoBack"/>
      <w:bookmarkEnd w:id="0"/>
    </w:p>
    <w:p w:rsidR="00B957A6" w:rsidRDefault="00B957A6" w:rsidP="00B957A6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>Metodika:</w:t>
      </w:r>
      <w:r w:rsidR="00E57983">
        <w:rPr>
          <w:iCs/>
        </w:rPr>
        <w:t xml:space="preserve"> </w:t>
      </w:r>
      <w:hyperlink r:id="rId10" w:history="1">
        <w:r w:rsidR="00E57983" w:rsidRPr="005D08F8">
          <w:rPr>
            <w:rStyle w:val="Hypertextovodkaz"/>
            <w:iCs/>
          </w:rPr>
          <w:t>https://csu.gov.cz/stavebnictvi_metodika</w:t>
        </w:r>
      </w:hyperlink>
      <w:r w:rsidR="00E57983">
        <w:rPr>
          <w:iCs/>
        </w:rPr>
        <w:t xml:space="preserve"> </w:t>
      </w:r>
    </w:p>
    <w:p w:rsidR="00B957A6" w:rsidRPr="00627B07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1" w:history="1">
        <w:r w:rsidR="001E7AB8" w:rsidRPr="005D08F8">
          <w:rPr>
            <w:rStyle w:val="Hypertextovodkaz"/>
            <w:rFonts w:cs="Arial"/>
            <w:i/>
          </w:rPr>
          <w:t>petra.curinova@csu.gov.cz</w:t>
        </w:r>
      </w:hyperlink>
      <w:r w:rsidR="001E7AB8">
        <w:rPr>
          <w:rFonts w:ascii="ArialMT" w:hAnsi="ArialMT"/>
          <w:i/>
        </w:rPr>
        <w:t xml:space="preserve"> </w:t>
      </w:r>
      <w:r w:rsidRPr="00627B07">
        <w:rPr>
          <w:rFonts w:ascii="ArialMT" w:hAnsi="ArialMT"/>
          <w:i/>
        </w:rPr>
        <w:t xml:space="preserve"> </w:t>
      </w:r>
    </w:p>
    <w:p w:rsidR="00E57983" w:rsidRDefault="00B957A6" w:rsidP="00E57983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</w:rPr>
      </w:pPr>
      <w:r w:rsidRPr="00627B07">
        <w:rPr>
          <w:i/>
          <w:color w:val="auto"/>
        </w:rPr>
        <w:lastRenderedPageBreak/>
        <w:t>Navazující výstupy:</w:t>
      </w:r>
      <w:r w:rsidRPr="00627B07">
        <w:rPr>
          <w:i/>
          <w:color w:val="auto"/>
        </w:rPr>
        <w:tab/>
      </w:r>
      <w:hyperlink r:id="rId12" w:history="1">
        <w:r w:rsidR="00E57983" w:rsidRPr="005D08F8">
          <w:rPr>
            <w:rStyle w:val="Hypertextovodkaz"/>
            <w:rFonts w:cs="Arial"/>
            <w:i/>
          </w:rPr>
          <w:t>https://csu.gov.cz/produkty/sta_cr</w:t>
        </w:r>
      </w:hyperlink>
      <w:r w:rsidR="00E57983">
        <w:rPr>
          <w:rFonts w:cs="Arial"/>
          <w:i/>
        </w:rPr>
        <w:t xml:space="preserve"> </w:t>
      </w:r>
    </w:p>
    <w:p w:rsidR="00B957A6" w:rsidRPr="00627B07" w:rsidRDefault="00C07D90" w:rsidP="00E57983">
      <w:pPr>
        <w:pStyle w:val="Poznmky"/>
        <w:pBdr>
          <w:top w:val="none" w:sz="0" w:space="0" w:color="auto"/>
        </w:pBdr>
        <w:spacing w:before="0" w:line="247" w:lineRule="auto"/>
        <w:ind w:left="2694"/>
        <w:jc w:val="both"/>
        <w:rPr>
          <w:i/>
        </w:rPr>
      </w:pPr>
      <w:hyperlink r:id="rId13" w:history="1">
        <w:r w:rsidR="00E57983" w:rsidRPr="005D08F8">
          <w:rPr>
            <w:rStyle w:val="Hypertextovodkaz"/>
            <w:i/>
          </w:rPr>
          <w:t>https://csu.gov.cz/produkty/bvz_cr</w:t>
        </w:r>
      </w:hyperlink>
      <w:r w:rsidR="00E57983">
        <w:rPr>
          <w:i/>
        </w:rPr>
        <w:t xml:space="preserve"> </w:t>
      </w:r>
    </w:p>
    <w:p w:rsidR="00B957A6" w:rsidRDefault="00B957A6" w:rsidP="00B957A6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B957A6" w:rsidRDefault="00B957A6" w:rsidP="00B957A6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209A7" w:rsidRPr="00B957A6" w:rsidRDefault="00D209A7" w:rsidP="00B957A6"/>
    <w:sectPr w:rsidR="00D209A7" w:rsidRPr="00B957A6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90" w:rsidRDefault="00C07D90" w:rsidP="00BA6370">
      <w:r>
        <w:separator/>
      </w:r>
    </w:p>
  </w:endnote>
  <w:endnote w:type="continuationSeparator" w:id="0">
    <w:p w:rsidR="00C07D90" w:rsidRDefault="00C07D9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B235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B235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437CB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90" w:rsidRDefault="00C07D90" w:rsidP="00BA6370">
      <w:r>
        <w:separator/>
      </w:r>
    </w:p>
  </w:footnote>
  <w:footnote w:type="continuationSeparator" w:id="0">
    <w:p w:rsidR="00C07D90" w:rsidRDefault="00C07D9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CB6F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A"/>
    <w:rsid w:val="000040F7"/>
    <w:rsid w:val="00005396"/>
    <w:rsid w:val="00013786"/>
    <w:rsid w:val="000212C4"/>
    <w:rsid w:val="00043BF4"/>
    <w:rsid w:val="0005569C"/>
    <w:rsid w:val="000634B1"/>
    <w:rsid w:val="00064549"/>
    <w:rsid w:val="00073569"/>
    <w:rsid w:val="00081C6D"/>
    <w:rsid w:val="000843A5"/>
    <w:rsid w:val="00086EAE"/>
    <w:rsid w:val="000910DA"/>
    <w:rsid w:val="00096D6C"/>
    <w:rsid w:val="000A2FCD"/>
    <w:rsid w:val="000B6F63"/>
    <w:rsid w:val="000C0AAD"/>
    <w:rsid w:val="000D093F"/>
    <w:rsid w:val="000D3B5F"/>
    <w:rsid w:val="000E43CC"/>
    <w:rsid w:val="00111493"/>
    <w:rsid w:val="001404AB"/>
    <w:rsid w:val="0015088E"/>
    <w:rsid w:val="00151067"/>
    <w:rsid w:val="001511B3"/>
    <w:rsid w:val="0017231D"/>
    <w:rsid w:val="001810DC"/>
    <w:rsid w:val="00181F7B"/>
    <w:rsid w:val="001A5A9A"/>
    <w:rsid w:val="001B607F"/>
    <w:rsid w:val="001C125E"/>
    <w:rsid w:val="001D369A"/>
    <w:rsid w:val="001E7AB8"/>
    <w:rsid w:val="001F08B3"/>
    <w:rsid w:val="001F2FE0"/>
    <w:rsid w:val="00200061"/>
    <w:rsid w:val="00200854"/>
    <w:rsid w:val="002070FB"/>
    <w:rsid w:val="00213729"/>
    <w:rsid w:val="00220277"/>
    <w:rsid w:val="00221C9E"/>
    <w:rsid w:val="002406FA"/>
    <w:rsid w:val="002503C3"/>
    <w:rsid w:val="0026107B"/>
    <w:rsid w:val="00275DF8"/>
    <w:rsid w:val="00283F21"/>
    <w:rsid w:val="002A2F2F"/>
    <w:rsid w:val="002B0488"/>
    <w:rsid w:val="002B2E47"/>
    <w:rsid w:val="002B6445"/>
    <w:rsid w:val="002C12D0"/>
    <w:rsid w:val="002D5DCD"/>
    <w:rsid w:val="002D7F4F"/>
    <w:rsid w:val="002E019C"/>
    <w:rsid w:val="002E51D9"/>
    <w:rsid w:val="003118DE"/>
    <w:rsid w:val="003123FE"/>
    <w:rsid w:val="00316415"/>
    <w:rsid w:val="003301A3"/>
    <w:rsid w:val="00352B56"/>
    <w:rsid w:val="0036777B"/>
    <w:rsid w:val="00371B3E"/>
    <w:rsid w:val="0038282A"/>
    <w:rsid w:val="003954CA"/>
    <w:rsid w:val="00397580"/>
    <w:rsid w:val="003A45C8"/>
    <w:rsid w:val="003B469F"/>
    <w:rsid w:val="003C2DCF"/>
    <w:rsid w:val="003C4F7B"/>
    <w:rsid w:val="003C7FE7"/>
    <w:rsid w:val="003D0499"/>
    <w:rsid w:val="003D3576"/>
    <w:rsid w:val="003F526A"/>
    <w:rsid w:val="00405244"/>
    <w:rsid w:val="004073CF"/>
    <w:rsid w:val="004154C7"/>
    <w:rsid w:val="004155A2"/>
    <w:rsid w:val="00431F45"/>
    <w:rsid w:val="00437C50"/>
    <w:rsid w:val="004436EE"/>
    <w:rsid w:val="0045547F"/>
    <w:rsid w:val="0046250E"/>
    <w:rsid w:val="00471DEF"/>
    <w:rsid w:val="00472310"/>
    <w:rsid w:val="00472BFA"/>
    <w:rsid w:val="00474910"/>
    <w:rsid w:val="004920AD"/>
    <w:rsid w:val="004932B6"/>
    <w:rsid w:val="004A49E4"/>
    <w:rsid w:val="004B377A"/>
    <w:rsid w:val="004D05B3"/>
    <w:rsid w:val="004E479E"/>
    <w:rsid w:val="004F686C"/>
    <w:rsid w:val="004F78E6"/>
    <w:rsid w:val="0050420E"/>
    <w:rsid w:val="00505571"/>
    <w:rsid w:val="00512D99"/>
    <w:rsid w:val="00514224"/>
    <w:rsid w:val="00521696"/>
    <w:rsid w:val="00531DBB"/>
    <w:rsid w:val="00573994"/>
    <w:rsid w:val="005A30C5"/>
    <w:rsid w:val="005B7117"/>
    <w:rsid w:val="005C0E10"/>
    <w:rsid w:val="005D221F"/>
    <w:rsid w:val="005D281B"/>
    <w:rsid w:val="005D5EBB"/>
    <w:rsid w:val="005E3499"/>
    <w:rsid w:val="005F79FB"/>
    <w:rsid w:val="00604406"/>
    <w:rsid w:val="00605F4A"/>
    <w:rsid w:val="00607822"/>
    <w:rsid w:val="006103AA"/>
    <w:rsid w:val="006123E3"/>
    <w:rsid w:val="00613BBF"/>
    <w:rsid w:val="00622B80"/>
    <w:rsid w:val="006254F3"/>
    <w:rsid w:val="00632260"/>
    <w:rsid w:val="0064139A"/>
    <w:rsid w:val="00650BB9"/>
    <w:rsid w:val="006672FF"/>
    <w:rsid w:val="006738A9"/>
    <w:rsid w:val="00681F7A"/>
    <w:rsid w:val="00682184"/>
    <w:rsid w:val="00692211"/>
    <w:rsid w:val="006931CF"/>
    <w:rsid w:val="006A28DB"/>
    <w:rsid w:val="006B14B4"/>
    <w:rsid w:val="006B72FD"/>
    <w:rsid w:val="006C2F57"/>
    <w:rsid w:val="006D21EB"/>
    <w:rsid w:val="006E024F"/>
    <w:rsid w:val="006E4E81"/>
    <w:rsid w:val="006E58E4"/>
    <w:rsid w:val="006F4A7F"/>
    <w:rsid w:val="00707F7D"/>
    <w:rsid w:val="00717EC5"/>
    <w:rsid w:val="00722489"/>
    <w:rsid w:val="00723B54"/>
    <w:rsid w:val="00727C3F"/>
    <w:rsid w:val="00740B79"/>
    <w:rsid w:val="00754C20"/>
    <w:rsid w:val="00760E91"/>
    <w:rsid w:val="00783CE8"/>
    <w:rsid w:val="007A2048"/>
    <w:rsid w:val="007A4BD7"/>
    <w:rsid w:val="007A57F2"/>
    <w:rsid w:val="007B1333"/>
    <w:rsid w:val="007B6028"/>
    <w:rsid w:val="007C1974"/>
    <w:rsid w:val="007E318F"/>
    <w:rsid w:val="007F4AEB"/>
    <w:rsid w:val="007F5BD6"/>
    <w:rsid w:val="007F75B2"/>
    <w:rsid w:val="00803993"/>
    <w:rsid w:val="008043C4"/>
    <w:rsid w:val="0082089D"/>
    <w:rsid w:val="00823B1B"/>
    <w:rsid w:val="008311A1"/>
    <w:rsid w:val="00831B1B"/>
    <w:rsid w:val="00832327"/>
    <w:rsid w:val="00834510"/>
    <w:rsid w:val="008545DA"/>
    <w:rsid w:val="0085464A"/>
    <w:rsid w:val="00855FB3"/>
    <w:rsid w:val="00861D0E"/>
    <w:rsid w:val="008662BB"/>
    <w:rsid w:val="00867569"/>
    <w:rsid w:val="00867A5C"/>
    <w:rsid w:val="00876F29"/>
    <w:rsid w:val="00890FEC"/>
    <w:rsid w:val="008A3871"/>
    <w:rsid w:val="008A4690"/>
    <w:rsid w:val="008A750A"/>
    <w:rsid w:val="008B2E06"/>
    <w:rsid w:val="008B3970"/>
    <w:rsid w:val="008C384C"/>
    <w:rsid w:val="008C6988"/>
    <w:rsid w:val="008D0F11"/>
    <w:rsid w:val="008F34F3"/>
    <w:rsid w:val="008F73B4"/>
    <w:rsid w:val="009022F8"/>
    <w:rsid w:val="00903018"/>
    <w:rsid w:val="00937F02"/>
    <w:rsid w:val="009469ED"/>
    <w:rsid w:val="009651CE"/>
    <w:rsid w:val="00980CAB"/>
    <w:rsid w:val="00986DD7"/>
    <w:rsid w:val="009B4AA2"/>
    <w:rsid w:val="009B55B1"/>
    <w:rsid w:val="009B62A7"/>
    <w:rsid w:val="009D6F15"/>
    <w:rsid w:val="00A0327D"/>
    <w:rsid w:val="00A0762A"/>
    <w:rsid w:val="00A1095E"/>
    <w:rsid w:val="00A15EEC"/>
    <w:rsid w:val="00A340A4"/>
    <w:rsid w:val="00A4343D"/>
    <w:rsid w:val="00A502F1"/>
    <w:rsid w:val="00A63B3C"/>
    <w:rsid w:val="00A70A83"/>
    <w:rsid w:val="00A73FAE"/>
    <w:rsid w:val="00A74358"/>
    <w:rsid w:val="00A81EB3"/>
    <w:rsid w:val="00A828AA"/>
    <w:rsid w:val="00A955BC"/>
    <w:rsid w:val="00AB3410"/>
    <w:rsid w:val="00AD16C2"/>
    <w:rsid w:val="00AD1DA6"/>
    <w:rsid w:val="00AE373B"/>
    <w:rsid w:val="00AE613C"/>
    <w:rsid w:val="00AF191E"/>
    <w:rsid w:val="00B00C1D"/>
    <w:rsid w:val="00B25D02"/>
    <w:rsid w:val="00B47D4D"/>
    <w:rsid w:val="00B50117"/>
    <w:rsid w:val="00B53925"/>
    <w:rsid w:val="00B540B0"/>
    <w:rsid w:val="00B55375"/>
    <w:rsid w:val="00B632CC"/>
    <w:rsid w:val="00B72D53"/>
    <w:rsid w:val="00B75D14"/>
    <w:rsid w:val="00B8676E"/>
    <w:rsid w:val="00B957A6"/>
    <w:rsid w:val="00BA12F1"/>
    <w:rsid w:val="00BA439F"/>
    <w:rsid w:val="00BA6370"/>
    <w:rsid w:val="00C07D90"/>
    <w:rsid w:val="00C16676"/>
    <w:rsid w:val="00C269D4"/>
    <w:rsid w:val="00C275E1"/>
    <w:rsid w:val="00C35900"/>
    <w:rsid w:val="00C37ADB"/>
    <w:rsid w:val="00C4160D"/>
    <w:rsid w:val="00C468B5"/>
    <w:rsid w:val="00C538D3"/>
    <w:rsid w:val="00C819BC"/>
    <w:rsid w:val="00C8406E"/>
    <w:rsid w:val="00C843C7"/>
    <w:rsid w:val="00C947B1"/>
    <w:rsid w:val="00CA18F9"/>
    <w:rsid w:val="00CB2356"/>
    <w:rsid w:val="00CB2709"/>
    <w:rsid w:val="00CB6F89"/>
    <w:rsid w:val="00CC0AE9"/>
    <w:rsid w:val="00CD618A"/>
    <w:rsid w:val="00CE13A2"/>
    <w:rsid w:val="00CE228C"/>
    <w:rsid w:val="00CE5974"/>
    <w:rsid w:val="00CE71D9"/>
    <w:rsid w:val="00CF545B"/>
    <w:rsid w:val="00D209A7"/>
    <w:rsid w:val="00D27D69"/>
    <w:rsid w:val="00D33658"/>
    <w:rsid w:val="00D3597A"/>
    <w:rsid w:val="00D448C2"/>
    <w:rsid w:val="00D45031"/>
    <w:rsid w:val="00D54567"/>
    <w:rsid w:val="00D666C3"/>
    <w:rsid w:val="00D678FB"/>
    <w:rsid w:val="00D67AAE"/>
    <w:rsid w:val="00D81899"/>
    <w:rsid w:val="00D9189F"/>
    <w:rsid w:val="00DB2ECF"/>
    <w:rsid w:val="00DC72FF"/>
    <w:rsid w:val="00DF47FE"/>
    <w:rsid w:val="00E0156A"/>
    <w:rsid w:val="00E26704"/>
    <w:rsid w:val="00E31980"/>
    <w:rsid w:val="00E57983"/>
    <w:rsid w:val="00E6423C"/>
    <w:rsid w:val="00E84401"/>
    <w:rsid w:val="00E93830"/>
    <w:rsid w:val="00E93E0E"/>
    <w:rsid w:val="00E94DEC"/>
    <w:rsid w:val="00EB1ED3"/>
    <w:rsid w:val="00EC178A"/>
    <w:rsid w:val="00EE1414"/>
    <w:rsid w:val="00EE5789"/>
    <w:rsid w:val="00F06C43"/>
    <w:rsid w:val="00F27BC8"/>
    <w:rsid w:val="00F31C83"/>
    <w:rsid w:val="00F6042D"/>
    <w:rsid w:val="00F75F2A"/>
    <w:rsid w:val="00F95F92"/>
    <w:rsid w:val="00F97BAE"/>
    <w:rsid w:val="00FA0879"/>
    <w:rsid w:val="00FA6DB0"/>
    <w:rsid w:val="00FB687C"/>
    <w:rsid w:val="00FF6050"/>
    <w:rsid w:val="00FF677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789CE6E"/>
  <w15:docId w15:val="{D7367DA9-AFD6-4C33-8395-784312E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957A6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B957A6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B957A6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957A6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B957A6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B957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957A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produkty/bvz_c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u.gov.cz/produkty/sta_c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curinova@csu.gov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su.gov.cz/stavebnictvi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uskova1595\Documents\u\RI24\05\csta07082024__RI_CZ_GOV_TEX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DBE4-A131-4E52-943A-898ED451B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545F29-752C-49D5-A36B-B2FA9EB3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csta07082024__RI_CZ_GOV_TEXT.dotx</Template>
  <TotalTime>360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Dušková Drahomíra</dc:creator>
  <cp:lastModifiedBy>Cuřínová Petra</cp:lastModifiedBy>
  <cp:revision>42</cp:revision>
  <cp:lastPrinted>2024-08-01T14:40:00Z</cp:lastPrinted>
  <dcterms:created xsi:type="dcterms:W3CDTF">2024-10-07T07:50:00Z</dcterms:created>
  <dcterms:modified xsi:type="dcterms:W3CDTF">2024-11-04T12:20:00Z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