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ED728" w14:textId="77777777" w:rsidR="00375706" w:rsidRPr="00E57455" w:rsidRDefault="00346F51" w:rsidP="00375706">
      <w:pPr>
        <w:pStyle w:val="Datum"/>
      </w:pPr>
      <w:r w:rsidRPr="00E57455">
        <w:t>3 </w:t>
      </w:r>
      <w:r w:rsidR="0057581B" w:rsidRPr="00E57455">
        <w:t>April </w:t>
      </w:r>
      <w:r w:rsidRPr="00E57455">
        <w:t>2023</w:t>
      </w:r>
    </w:p>
    <w:p w14:paraId="0B60D5A1" w14:textId="21BFC3EE" w:rsidR="00375706" w:rsidRPr="00E57455" w:rsidRDefault="0057581B" w:rsidP="00375706">
      <w:pPr>
        <w:pStyle w:val="Podtitulek"/>
        <w:rPr>
          <w:color w:val="BD1B21"/>
          <w:sz w:val="32"/>
          <w:szCs w:val="32"/>
        </w:rPr>
      </w:pPr>
      <w:r w:rsidRPr="00E57455">
        <w:rPr>
          <w:color w:val="BD1B21"/>
          <w:sz w:val="32"/>
          <w:szCs w:val="32"/>
        </w:rPr>
        <w:t xml:space="preserve">General government sector balance </w:t>
      </w:r>
      <w:r w:rsidR="005D4F5B" w:rsidRPr="00E57455">
        <w:rPr>
          <w:color w:val="BD1B21"/>
          <w:sz w:val="32"/>
          <w:szCs w:val="32"/>
        </w:rPr>
        <w:t>ended up</w:t>
      </w:r>
      <w:r w:rsidRPr="00E57455">
        <w:rPr>
          <w:color w:val="BD1B21"/>
          <w:sz w:val="32"/>
          <w:szCs w:val="32"/>
        </w:rPr>
        <w:t xml:space="preserve"> </w:t>
      </w:r>
      <w:r w:rsidR="003E1495" w:rsidRPr="00E57455">
        <w:rPr>
          <w:color w:val="BD1B21"/>
          <w:sz w:val="32"/>
          <w:szCs w:val="32"/>
        </w:rPr>
        <w:t>with</w:t>
      </w:r>
      <w:r w:rsidRPr="00E57455">
        <w:rPr>
          <w:color w:val="BD1B21"/>
          <w:sz w:val="32"/>
          <w:szCs w:val="32"/>
        </w:rPr>
        <w:t xml:space="preserve"> </w:t>
      </w:r>
      <w:r w:rsidR="001427B6" w:rsidRPr="00E57455">
        <w:rPr>
          <w:color w:val="BD1B21"/>
          <w:sz w:val="32"/>
          <w:szCs w:val="32"/>
        </w:rPr>
        <w:t>a </w:t>
      </w:r>
      <w:r w:rsidRPr="00E57455">
        <w:rPr>
          <w:color w:val="BD1B21"/>
          <w:sz w:val="32"/>
          <w:szCs w:val="32"/>
        </w:rPr>
        <w:t>deficit</w:t>
      </w:r>
      <w:r w:rsidR="005D4F5B" w:rsidRPr="00E57455">
        <w:rPr>
          <w:color w:val="BD1B21"/>
          <w:sz w:val="32"/>
          <w:szCs w:val="32"/>
        </w:rPr>
        <w:t xml:space="preserve"> in the 4th quarter of 2022</w:t>
      </w:r>
    </w:p>
    <w:p w14:paraId="1CF02887" w14:textId="77777777" w:rsidR="00375706" w:rsidRPr="00E57455" w:rsidRDefault="00B522E8" w:rsidP="00375706">
      <w:pPr>
        <w:pStyle w:val="Podtitulek"/>
      </w:pPr>
      <w:r w:rsidRPr="00E57455">
        <w:t xml:space="preserve">Government deficit and debt – the fourth quarter of </w:t>
      </w:r>
      <w:r w:rsidR="00346F51" w:rsidRPr="00E57455">
        <w:t>2022</w:t>
      </w:r>
    </w:p>
    <w:p w14:paraId="444F8EDF" w14:textId="18354F32" w:rsidR="00FE3782" w:rsidRPr="00E57455" w:rsidRDefault="00FE3782" w:rsidP="00375706">
      <w:pPr>
        <w:rPr>
          <w:b/>
          <w:lang w:val="en-GB"/>
        </w:rPr>
      </w:pPr>
      <w:r w:rsidRPr="00E57455">
        <w:rPr>
          <w:b/>
          <w:lang w:val="en-GB"/>
        </w:rPr>
        <w:t xml:space="preserve">In </w:t>
      </w:r>
      <w:r w:rsidR="00BE29B9" w:rsidRPr="00E57455">
        <w:rPr>
          <w:b/>
          <w:lang w:val="en-GB"/>
        </w:rPr>
        <w:t xml:space="preserve">the </w:t>
      </w:r>
      <w:r w:rsidRPr="00E57455">
        <w:rPr>
          <w:b/>
          <w:lang w:val="en-GB"/>
        </w:rPr>
        <w:t xml:space="preserve">Q4 </w:t>
      </w:r>
      <w:r w:rsidR="00346F51" w:rsidRPr="00E57455">
        <w:rPr>
          <w:b/>
          <w:lang w:val="en-GB"/>
        </w:rPr>
        <w:t>2022</w:t>
      </w:r>
      <w:r w:rsidRPr="00E57455">
        <w:rPr>
          <w:b/>
          <w:lang w:val="en-GB"/>
        </w:rPr>
        <w:t xml:space="preserve">, the general government sector balance </w:t>
      </w:r>
      <w:r w:rsidR="00330AFB" w:rsidRPr="00E57455">
        <w:rPr>
          <w:b/>
          <w:lang w:val="en-GB"/>
        </w:rPr>
        <w:t>ended up with a</w:t>
      </w:r>
      <w:r w:rsidRPr="00E57455">
        <w:rPr>
          <w:b/>
          <w:lang w:val="en-GB"/>
        </w:rPr>
        <w:t xml:space="preserve"> deficit </w:t>
      </w:r>
      <w:r w:rsidR="00330AFB" w:rsidRPr="00E57455">
        <w:rPr>
          <w:b/>
          <w:lang w:val="en-GB"/>
        </w:rPr>
        <w:t>corresponding</w:t>
      </w:r>
      <w:r w:rsidRPr="00E57455">
        <w:rPr>
          <w:b/>
          <w:lang w:val="en-GB"/>
        </w:rPr>
        <w:t xml:space="preserve"> to </w:t>
      </w:r>
      <w:r w:rsidR="00330AFB" w:rsidRPr="00E57455">
        <w:rPr>
          <w:b/>
          <w:lang w:val="en-GB"/>
        </w:rPr>
        <w:t>5</w:t>
      </w:r>
      <w:r w:rsidRPr="00E57455">
        <w:rPr>
          <w:b/>
          <w:lang w:val="en-GB"/>
        </w:rPr>
        <w:t>.</w:t>
      </w:r>
      <w:r w:rsidR="00330AFB" w:rsidRPr="00E57455">
        <w:rPr>
          <w:b/>
          <w:lang w:val="en-GB"/>
        </w:rPr>
        <w:t>8</w:t>
      </w:r>
      <w:r w:rsidRPr="00E57455">
        <w:rPr>
          <w:b/>
          <w:lang w:val="en-GB"/>
        </w:rPr>
        <w:t>% of</w:t>
      </w:r>
      <w:r w:rsidR="00BE29B9" w:rsidRPr="00E57455">
        <w:rPr>
          <w:b/>
          <w:lang w:val="en-GB"/>
        </w:rPr>
        <w:t xml:space="preserve"> </w:t>
      </w:r>
      <w:r w:rsidRPr="00E57455">
        <w:rPr>
          <w:b/>
          <w:lang w:val="en-GB"/>
        </w:rPr>
        <w:t>GDP.</w:t>
      </w:r>
      <w:r w:rsidR="00330AFB" w:rsidRPr="00E57455">
        <w:rPr>
          <w:b/>
          <w:lang w:val="en-GB"/>
        </w:rPr>
        <w:t xml:space="preserve"> </w:t>
      </w:r>
      <w:r w:rsidRPr="00E57455">
        <w:rPr>
          <w:b/>
          <w:lang w:val="en-GB"/>
        </w:rPr>
        <w:t xml:space="preserve">The government debt ratio increased by </w:t>
      </w:r>
      <w:r w:rsidR="00330AFB" w:rsidRPr="00E57455">
        <w:rPr>
          <w:b/>
          <w:lang w:val="en-GB"/>
        </w:rPr>
        <w:t>2</w:t>
      </w:r>
      <w:r w:rsidRPr="00E57455">
        <w:rPr>
          <w:b/>
          <w:lang w:val="en-GB"/>
        </w:rPr>
        <w:t>.</w:t>
      </w:r>
      <w:r w:rsidR="00330AFB" w:rsidRPr="00E57455">
        <w:rPr>
          <w:b/>
          <w:lang w:val="en-GB"/>
        </w:rPr>
        <w:t>1 </w:t>
      </w:r>
      <w:r w:rsidRPr="00E57455">
        <w:rPr>
          <w:b/>
          <w:lang w:val="en-GB"/>
        </w:rPr>
        <w:t>percentage points (p. p.</w:t>
      </w:r>
      <w:r w:rsidR="00BE29B9" w:rsidRPr="00E57455">
        <w:rPr>
          <w:b/>
          <w:lang w:val="en-GB"/>
        </w:rPr>
        <w:t>), year-on-year (y-o-y),</w:t>
      </w:r>
      <w:r w:rsidR="00330AFB" w:rsidRPr="00E57455">
        <w:rPr>
          <w:b/>
          <w:lang w:val="en-GB"/>
        </w:rPr>
        <w:t xml:space="preserve"> to 44</w:t>
      </w:r>
      <w:r w:rsidRPr="00E57455">
        <w:rPr>
          <w:b/>
          <w:lang w:val="en-GB"/>
        </w:rPr>
        <w:t>.</w:t>
      </w:r>
      <w:r w:rsidR="00330AFB" w:rsidRPr="00E57455">
        <w:rPr>
          <w:b/>
          <w:lang w:val="en-GB"/>
        </w:rPr>
        <w:t>1</w:t>
      </w:r>
      <w:r w:rsidRPr="00E57455">
        <w:rPr>
          <w:b/>
          <w:lang w:val="en-GB"/>
        </w:rPr>
        <w:t>% of GDP.</w:t>
      </w:r>
    </w:p>
    <w:p w14:paraId="3B28D3F5" w14:textId="77777777" w:rsidR="00982D15" w:rsidRPr="00E57455" w:rsidRDefault="00982D15" w:rsidP="00375706">
      <w:pPr>
        <w:rPr>
          <w:lang w:val="en-GB"/>
        </w:rPr>
      </w:pPr>
    </w:p>
    <w:p w14:paraId="28583AC4" w14:textId="47F19ED9" w:rsidR="00982D15" w:rsidRPr="00E57455" w:rsidRDefault="00982D15" w:rsidP="00375706">
      <w:pPr>
        <w:rPr>
          <w:lang w:val="en-GB"/>
        </w:rPr>
      </w:pPr>
      <w:r w:rsidRPr="00E57455">
        <w:rPr>
          <w:lang w:val="en-GB"/>
        </w:rPr>
        <w:t xml:space="preserve">In the Q4 </w:t>
      </w:r>
      <w:r w:rsidR="00346F51" w:rsidRPr="00E57455">
        <w:rPr>
          <w:lang w:val="en-GB"/>
        </w:rPr>
        <w:t>2022</w:t>
      </w:r>
      <w:r w:rsidRPr="00E57455">
        <w:rPr>
          <w:lang w:val="en-GB"/>
        </w:rPr>
        <w:t xml:space="preserve">, the general government sector </w:t>
      </w:r>
      <w:r w:rsidR="00D74CD1" w:rsidRPr="00E57455">
        <w:rPr>
          <w:lang w:val="en-GB"/>
        </w:rPr>
        <w:t xml:space="preserve">deficit reached CZK 103.8 billion, which means that it worsened by CZK 7.0 billion in the year-on-year comparison. </w:t>
      </w:r>
      <w:r w:rsidR="003A016E" w:rsidRPr="00E57455">
        <w:rPr>
          <w:lang w:val="en-GB"/>
        </w:rPr>
        <w:t xml:space="preserve">All sub-sectors of the general government sector fell to a deficit. </w:t>
      </w:r>
      <w:r w:rsidR="007967D7" w:rsidRPr="00E57455">
        <w:rPr>
          <w:lang w:val="en-GB"/>
        </w:rPr>
        <w:t xml:space="preserve">The </w:t>
      </w:r>
      <w:r w:rsidR="00BE6592" w:rsidRPr="00E57455">
        <w:rPr>
          <w:lang w:val="en-GB"/>
        </w:rPr>
        <w:t>highest</w:t>
      </w:r>
      <w:r w:rsidR="007967D7" w:rsidRPr="00E57455">
        <w:rPr>
          <w:lang w:val="en-GB"/>
        </w:rPr>
        <w:t xml:space="preserve"> </w:t>
      </w:r>
      <w:r w:rsidR="00C41D02" w:rsidRPr="00E57455">
        <w:rPr>
          <w:lang w:val="en-GB"/>
        </w:rPr>
        <w:t xml:space="preserve">proportion in that belongs, as usually, to the central government, which ended up with a deficit of CZK 67.2 billion that improved, however, by CZK 6.1 billion, y-o-y. </w:t>
      </w:r>
      <w:r w:rsidRPr="00E57455">
        <w:rPr>
          <w:lang w:val="en-GB"/>
        </w:rPr>
        <w:t>The local government sector balance end</w:t>
      </w:r>
      <w:r w:rsidR="00884090" w:rsidRPr="00E57455">
        <w:rPr>
          <w:lang w:val="en-GB"/>
        </w:rPr>
        <w:t>ed</w:t>
      </w:r>
      <w:r w:rsidRPr="00E57455">
        <w:rPr>
          <w:lang w:val="en-GB"/>
        </w:rPr>
        <w:t xml:space="preserve"> up with a </w:t>
      </w:r>
      <w:r w:rsidR="00884090" w:rsidRPr="00E57455">
        <w:rPr>
          <w:lang w:val="en-GB"/>
        </w:rPr>
        <w:t>deficit</w:t>
      </w:r>
      <w:r w:rsidRPr="00E57455">
        <w:rPr>
          <w:lang w:val="en-GB"/>
        </w:rPr>
        <w:t xml:space="preserve"> of CZK </w:t>
      </w:r>
      <w:r w:rsidR="00C41D02" w:rsidRPr="00E57455">
        <w:rPr>
          <w:lang w:val="en-GB"/>
        </w:rPr>
        <w:t>19.2 </w:t>
      </w:r>
      <w:proofErr w:type="spellStart"/>
      <w:r w:rsidR="00D079D2" w:rsidRPr="00E57455">
        <w:rPr>
          <w:lang w:val="en-GB"/>
        </w:rPr>
        <w:t>bn</w:t>
      </w:r>
      <w:proofErr w:type="spellEnd"/>
      <w:r w:rsidR="00C41D02" w:rsidRPr="00E57455">
        <w:rPr>
          <w:lang w:val="en-GB"/>
        </w:rPr>
        <w:t>, which worsened by CZK 6.0 </w:t>
      </w:r>
      <w:proofErr w:type="spellStart"/>
      <w:r w:rsidR="00C41D02" w:rsidRPr="00E57455">
        <w:rPr>
          <w:lang w:val="en-GB"/>
        </w:rPr>
        <w:t>bn</w:t>
      </w:r>
      <w:proofErr w:type="spellEnd"/>
      <w:r w:rsidR="00C41D02" w:rsidRPr="00E57455">
        <w:rPr>
          <w:lang w:val="en-GB"/>
        </w:rPr>
        <w:t xml:space="preserve">, y-o-y, </w:t>
      </w:r>
      <w:r w:rsidR="00D079D2" w:rsidRPr="00E57455">
        <w:rPr>
          <w:lang w:val="en-GB"/>
        </w:rPr>
        <w:t xml:space="preserve">and </w:t>
      </w:r>
      <w:r w:rsidRPr="00E57455">
        <w:rPr>
          <w:lang w:val="en-GB"/>
        </w:rPr>
        <w:t>social security funds</w:t>
      </w:r>
      <w:r w:rsidR="0087438C" w:rsidRPr="00E57455">
        <w:rPr>
          <w:lang w:val="en-GB"/>
        </w:rPr>
        <w:t xml:space="preserve"> </w:t>
      </w:r>
      <w:r w:rsidR="00C41D02" w:rsidRPr="00E57455">
        <w:rPr>
          <w:lang w:val="en-GB"/>
        </w:rPr>
        <w:t xml:space="preserve">(health insurance companies) </w:t>
      </w:r>
      <w:r w:rsidR="0087438C" w:rsidRPr="00E57455">
        <w:rPr>
          <w:lang w:val="en-GB"/>
        </w:rPr>
        <w:t>ended up</w:t>
      </w:r>
      <w:r w:rsidR="00D079D2" w:rsidRPr="00E57455">
        <w:rPr>
          <w:lang w:val="en-GB"/>
        </w:rPr>
        <w:t xml:space="preserve"> with a deficit of </w:t>
      </w:r>
      <w:r w:rsidRPr="00E57455">
        <w:rPr>
          <w:lang w:val="en-GB"/>
        </w:rPr>
        <w:t>CZK</w:t>
      </w:r>
      <w:r w:rsidR="00B13FAD" w:rsidRPr="00E57455">
        <w:rPr>
          <w:lang w:val="en-GB"/>
        </w:rPr>
        <w:t> 17</w:t>
      </w:r>
      <w:r w:rsidRPr="00E57455">
        <w:rPr>
          <w:lang w:val="en-GB"/>
        </w:rPr>
        <w:t>.</w:t>
      </w:r>
      <w:r w:rsidR="00B13FAD" w:rsidRPr="00E57455">
        <w:rPr>
          <w:lang w:val="en-GB"/>
        </w:rPr>
        <w:t>3 </w:t>
      </w:r>
      <w:r w:rsidRPr="00E57455">
        <w:rPr>
          <w:lang w:val="en-GB"/>
        </w:rPr>
        <w:t>bn.</w:t>
      </w:r>
    </w:p>
    <w:p w14:paraId="1B67C63F" w14:textId="16B3A90F" w:rsidR="008E1D32" w:rsidRPr="00E57455" w:rsidRDefault="008E1D32" w:rsidP="00375706">
      <w:pPr>
        <w:rPr>
          <w:lang w:val="en-GB"/>
        </w:rPr>
      </w:pPr>
    </w:p>
    <w:p w14:paraId="056960B2" w14:textId="3887DC6D" w:rsidR="008E1D32" w:rsidRPr="00E57455" w:rsidRDefault="001559F8" w:rsidP="00375706">
      <w:pPr>
        <w:rPr>
          <w:i/>
          <w:lang w:val="en-GB"/>
        </w:rPr>
      </w:pPr>
      <w:r w:rsidRPr="00E57455">
        <w:rPr>
          <w:i/>
          <w:lang w:val="en-GB"/>
        </w:rPr>
        <w:t>“The general government sector ended up with a deficit of CZK</w:t>
      </w:r>
      <w:r w:rsidR="005C231F" w:rsidRPr="00E57455">
        <w:rPr>
          <w:i/>
          <w:lang w:val="en-GB"/>
        </w:rPr>
        <w:t> 103.8 billion in the fourth quarter of 2022. Expenditure on social benefits contributed the most to the result. The government debt ratio increased by 2.1 p. p.</w:t>
      </w:r>
      <w:r w:rsidR="00F179E6" w:rsidRPr="00E57455">
        <w:rPr>
          <w:i/>
          <w:lang w:val="en-GB"/>
        </w:rPr>
        <w:t xml:space="preserve">, y-o-y, and reached 44.1% of GDP,” </w:t>
      </w:r>
      <w:r w:rsidR="008E1D32" w:rsidRPr="00E57455">
        <w:t xml:space="preserve">Helena Houžvičková, </w:t>
      </w:r>
      <w:r w:rsidR="008E1D32" w:rsidRPr="00E57455">
        <w:rPr>
          <w:lang w:val="en-GB"/>
        </w:rPr>
        <w:t>Director of the Government and Financial Accounts Department of the Czech Statistical Office (CZSO), stated.</w:t>
      </w:r>
      <w:r w:rsidR="008E1D32" w:rsidRPr="00E57455">
        <w:t xml:space="preserve"> </w:t>
      </w:r>
    </w:p>
    <w:p w14:paraId="5BD34618" w14:textId="77777777" w:rsidR="00375706" w:rsidRPr="00E57455" w:rsidRDefault="00375706" w:rsidP="00375706">
      <w:pPr>
        <w:rPr>
          <w:lang w:val="en-GB"/>
        </w:rPr>
      </w:pPr>
    </w:p>
    <w:p w14:paraId="6FA73AAF" w14:textId="77777777" w:rsidR="000221A2" w:rsidRPr="00E57455" w:rsidRDefault="000221A2" w:rsidP="000221A2">
      <w:pPr>
        <w:pStyle w:val="TabulkaGraf"/>
      </w:pPr>
      <w:r w:rsidRPr="00E57455">
        <w:t>The general government sector balance, Q4 2020 – Q4 2022</w:t>
      </w:r>
    </w:p>
    <w:tbl>
      <w:tblPr>
        <w:tblW w:w="8588" w:type="dxa"/>
        <w:tblInd w:w="-10" w:type="dxa"/>
        <w:tblLook w:val="04A0" w:firstRow="1" w:lastRow="0" w:firstColumn="1" w:lastColumn="0" w:noHBand="0" w:noVBand="1"/>
      </w:tblPr>
      <w:tblGrid>
        <w:gridCol w:w="1028"/>
        <w:gridCol w:w="840"/>
        <w:gridCol w:w="840"/>
        <w:gridCol w:w="840"/>
        <w:gridCol w:w="840"/>
        <w:gridCol w:w="840"/>
        <w:gridCol w:w="840"/>
        <w:gridCol w:w="840"/>
        <w:gridCol w:w="840"/>
        <w:gridCol w:w="840"/>
      </w:tblGrid>
      <w:tr w:rsidR="000221A2" w:rsidRPr="00E57455" w14:paraId="16C38041" w14:textId="77777777" w:rsidTr="005D5CEC">
        <w:trPr>
          <w:trHeight w:val="480"/>
        </w:trPr>
        <w:tc>
          <w:tcPr>
            <w:tcW w:w="10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832D81" w14:textId="77777777" w:rsidR="000221A2" w:rsidRPr="00E57455" w:rsidRDefault="000221A2" w:rsidP="005D5CEC">
            <w:pPr>
              <w:spacing w:line="240" w:lineRule="auto"/>
              <w:jc w:val="center"/>
              <w:rPr>
                <w:rFonts w:eastAsia="Times New Roman" w:cs="Arial"/>
                <w:color w:val="000000"/>
                <w:sz w:val="18"/>
                <w:szCs w:val="18"/>
                <w:lang w:val="en-GB"/>
              </w:rPr>
            </w:pPr>
            <w:r w:rsidRPr="00E57455">
              <w:rPr>
                <w:rFonts w:eastAsia="Times New Roman" w:cs="Arial"/>
                <w:color w:val="000000"/>
                <w:sz w:val="18"/>
                <w:szCs w:val="18"/>
                <w:lang w:val="en-GB"/>
              </w:rPr>
              <w:t>Period</w:t>
            </w:r>
          </w:p>
        </w:tc>
        <w:tc>
          <w:tcPr>
            <w:tcW w:w="840" w:type="dxa"/>
            <w:tcBorders>
              <w:top w:val="single" w:sz="8" w:space="0" w:color="auto"/>
              <w:left w:val="nil"/>
              <w:bottom w:val="single" w:sz="8" w:space="0" w:color="auto"/>
              <w:right w:val="single" w:sz="8" w:space="0" w:color="auto"/>
            </w:tcBorders>
            <w:shd w:val="clear" w:color="auto" w:fill="auto"/>
            <w:vAlign w:val="center"/>
            <w:hideMark/>
          </w:tcPr>
          <w:p w14:paraId="2C75974A" w14:textId="77777777" w:rsidR="000221A2" w:rsidRPr="00E57455" w:rsidRDefault="000221A2" w:rsidP="005D5CEC">
            <w:pPr>
              <w:jc w:val="center"/>
              <w:rPr>
                <w:rFonts w:cs="Arial"/>
                <w:color w:val="000000"/>
                <w:sz w:val="18"/>
                <w:szCs w:val="18"/>
                <w:lang w:val="en-GB"/>
              </w:rPr>
            </w:pPr>
            <w:r w:rsidRPr="00E57455">
              <w:rPr>
                <w:rFonts w:cs="Arial"/>
                <w:color w:val="000000"/>
                <w:sz w:val="18"/>
                <w:szCs w:val="18"/>
                <w:lang w:val="en-GB"/>
              </w:rPr>
              <w:t>Q4 2020</w:t>
            </w:r>
          </w:p>
        </w:tc>
        <w:tc>
          <w:tcPr>
            <w:tcW w:w="840" w:type="dxa"/>
            <w:tcBorders>
              <w:top w:val="single" w:sz="8" w:space="0" w:color="auto"/>
              <w:left w:val="nil"/>
              <w:bottom w:val="single" w:sz="8" w:space="0" w:color="auto"/>
              <w:right w:val="single" w:sz="8" w:space="0" w:color="auto"/>
            </w:tcBorders>
            <w:shd w:val="clear" w:color="auto" w:fill="auto"/>
            <w:vAlign w:val="center"/>
            <w:hideMark/>
          </w:tcPr>
          <w:p w14:paraId="3639BB3D" w14:textId="77777777" w:rsidR="000221A2" w:rsidRPr="00E57455" w:rsidRDefault="000221A2" w:rsidP="005D5CEC">
            <w:pPr>
              <w:jc w:val="center"/>
              <w:rPr>
                <w:rFonts w:cs="Arial"/>
                <w:color w:val="000000"/>
                <w:sz w:val="18"/>
                <w:szCs w:val="18"/>
                <w:lang w:val="en-GB"/>
              </w:rPr>
            </w:pPr>
            <w:r w:rsidRPr="00E57455">
              <w:rPr>
                <w:rFonts w:cs="Arial"/>
                <w:color w:val="000000"/>
                <w:sz w:val="18"/>
                <w:szCs w:val="18"/>
                <w:lang w:val="en-GB"/>
              </w:rPr>
              <w:t>Q1 2021</w:t>
            </w:r>
          </w:p>
        </w:tc>
        <w:tc>
          <w:tcPr>
            <w:tcW w:w="840" w:type="dxa"/>
            <w:tcBorders>
              <w:top w:val="single" w:sz="8" w:space="0" w:color="auto"/>
              <w:left w:val="nil"/>
              <w:bottom w:val="single" w:sz="8" w:space="0" w:color="auto"/>
              <w:right w:val="single" w:sz="8" w:space="0" w:color="auto"/>
            </w:tcBorders>
            <w:shd w:val="clear" w:color="auto" w:fill="auto"/>
            <w:vAlign w:val="center"/>
            <w:hideMark/>
          </w:tcPr>
          <w:p w14:paraId="5FD0E654" w14:textId="77777777" w:rsidR="000221A2" w:rsidRPr="00E57455" w:rsidRDefault="000221A2" w:rsidP="005D5CEC">
            <w:pPr>
              <w:jc w:val="center"/>
              <w:rPr>
                <w:rFonts w:cs="Arial"/>
                <w:color w:val="000000"/>
                <w:sz w:val="18"/>
                <w:szCs w:val="18"/>
                <w:lang w:val="en-GB"/>
              </w:rPr>
            </w:pPr>
            <w:r w:rsidRPr="00E57455">
              <w:rPr>
                <w:rFonts w:cs="Arial"/>
                <w:color w:val="000000"/>
                <w:sz w:val="18"/>
                <w:szCs w:val="18"/>
                <w:lang w:val="en-GB"/>
              </w:rPr>
              <w:t>Q2 2021</w:t>
            </w:r>
          </w:p>
        </w:tc>
        <w:tc>
          <w:tcPr>
            <w:tcW w:w="840" w:type="dxa"/>
            <w:tcBorders>
              <w:top w:val="single" w:sz="8" w:space="0" w:color="auto"/>
              <w:left w:val="nil"/>
              <w:bottom w:val="single" w:sz="8" w:space="0" w:color="auto"/>
              <w:right w:val="single" w:sz="8" w:space="0" w:color="auto"/>
            </w:tcBorders>
            <w:shd w:val="clear" w:color="auto" w:fill="auto"/>
            <w:vAlign w:val="center"/>
            <w:hideMark/>
          </w:tcPr>
          <w:p w14:paraId="6C21162E" w14:textId="77777777" w:rsidR="000221A2" w:rsidRPr="00E57455" w:rsidRDefault="000221A2" w:rsidP="005D5CEC">
            <w:pPr>
              <w:jc w:val="center"/>
              <w:rPr>
                <w:rFonts w:cs="Arial"/>
                <w:color w:val="000000"/>
                <w:sz w:val="18"/>
                <w:szCs w:val="18"/>
                <w:lang w:val="en-GB"/>
              </w:rPr>
            </w:pPr>
            <w:r w:rsidRPr="00E57455">
              <w:rPr>
                <w:rFonts w:cs="Arial"/>
                <w:color w:val="000000"/>
                <w:sz w:val="18"/>
                <w:szCs w:val="18"/>
                <w:lang w:val="en-GB"/>
              </w:rPr>
              <w:t>Q3 2021</w:t>
            </w:r>
          </w:p>
        </w:tc>
        <w:tc>
          <w:tcPr>
            <w:tcW w:w="840" w:type="dxa"/>
            <w:tcBorders>
              <w:top w:val="single" w:sz="8" w:space="0" w:color="auto"/>
              <w:left w:val="nil"/>
              <w:bottom w:val="single" w:sz="8" w:space="0" w:color="auto"/>
              <w:right w:val="single" w:sz="8" w:space="0" w:color="auto"/>
            </w:tcBorders>
            <w:shd w:val="clear" w:color="auto" w:fill="auto"/>
            <w:vAlign w:val="center"/>
            <w:hideMark/>
          </w:tcPr>
          <w:p w14:paraId="4C5CD19B" w14:textId="77777777" w:rsidR="000221A2" w:rsidRPr="00E57455" w:rsidRDefault="000221A2" w:rsidP="005D5CEC">
            <w:pPr>
              <w:jc w:val="center"/>
              <w:rPr>
                <w:rFonts w:cs="Arial"/>
                <w:color w:val="000000"/>
                <w:sz w:val="18"/>
                <w:szCs w:val="18"/>
                <w:lang w:val="en-GB"/>
              </w:rPr>
            </w:pPr>
            <w:r w:rsidRPr="00E57455">
              <w:rPr>
                <w:rFonts w:cs="Arial"/>
                <w:color w:val="000000"/>
                <w:sz w:val="18"/>
                <w:szCs w:val="18"/>
                <w:lang w:val="en-GB"/>
              </w:rPr>
              <w:t>Q4 2021</w:t>
            </w:r>
          </w:p>
        </w:tc>
        <w:tc>
          <w:tcPr>
            <w:tcW w:w="840" w:type="dxa"/>
            <w:tcBorders>
              <w:top w:val="single" w:sz="8" w:space="0" w:color="auto"/>
              <w:left w:val="nil"/>
              <w:bottom w:val="single" w:sz="8" w:space="0" w:color="auto"/>
              <w:right w:val="single" w:sz="8" w:space="0" w:color="auto"/>
            </w:tcBorders>
            <w:shd w:val="clear" w:color="auto" w:fill="auto"/>
            <w:vAlign w:val="center"/>
            <w:hideMark/>
          </w:tcPr>
          <w:p w14:paraId="1FE1FA8E" w14:textId="77777777" w:rsidR="000221A2" w:rsidRPr="00E57455" w:rsidRDefault="000221A2" w:rsidP="005D5CEC">
            <w:pPr>
              <w:jc w:val="center"/>
              <w:rPr>
                <w:rFonts w:cs="Arial"/>
                <w:color w:val="000000"/>
                <w:sz w:val="18"/>
                <w:szCs w:val="18"/>
                <w:lang w:val="en-GB"/>
              </w:rPr>
            </w:pPr>
            <w:r w:rsidRPr="00E57455">
              <w:rPr>
                <w:rFonts w:cs="Arial"/>
                <w:color w:val="000000"/>
                <w:sz w:val="18"/>
                <w:szCs w:val="18"/>
                <w:lang w:val="en-GB"/>
              </w:rPr>
              <w:t>Q1 2022</w:t>
            </w:r>
          </w:p>
        </w:tc>
        <w:tc>
          <w:tcPr>
            <w:tcW w:w="840" w:type="dxa"/>
            <w:tcBorders>
              <w:top w:val="single" w:sz="8" w:space="0" w:color="auto"/>
              <w:left w:val="nil"/>
              <w:bottom w:val="single" w:sz="8" w:space="0" w:color="auto"/>
              <w:right w:val="single" w:sz="8" w:space="0" w:color="auto"/>
            </w:tcBorders>
            <w:shd w:val="clear" w:color="auto" w:fill="auto"/>
            <w:vAlign w:val="center"/>
            <w:hideMark/>
          </w:tcPr>
          <w:p w14:paraId="3B55EBDC" w14:textId="77777777" w:rsidR="000221A2" w:rsidRPr="00E57455" w:rsidRDefault="000221A2" w:rsidP="005D5CEC">
            <w:pPr>
              <w:jc w:val="center"/>
              <w:rPr>
                <w:rFonts w:cs="Arial"/>
                <w:color w:val="000000"/>
                <w:sz w:val="18"/>
                <w:szCs w:val="18"/>
                <w:lang w:val="en-GB"/>
              </w:rPr>
            </w:pPr>
            <w:r w:rsidRPr="00E57455">
              <w:rPr>
                <w:rFonts w:cs="Arial"/>
                <w:color w:val="000000"/>
                <w:sz w:val="18"/>
                <w:szCs w:val="18"/>
                <w:lang w:val="en-GB"/>
              </w:rPr>
              <w:t>Q2 2022</w:t>
            </w:r>
          </w:p>
        </w:tc>
        <w:tc>
          <w:tcPr>
            <w:tcW w:w="840" w:type="dxa"/>
            <w:tcBorders>
              <w:top w:val="single" w:sz="8" w:space="0" w:color="auto"/>
              <w:left w:val="nil"/>
              <w:bottom w:val="single" w:sz="8" w:space="0" w:color="auto"/>
              <w:right w:val="single" w:sz="8" w:space="0" w:color="auto"/>
            </w:tcBorders>
            <w:shd w:val="clear" w:color="auto" w:fill="auto"/>
            <w:vAlign w:val="center"/>
            <w:hideMark/>
          </w:tcPr>
          <w:p w14:paraId="6A461B54" w14:textId="77777777" w:rsidR="000221A2" w:rsidRPr="00E57455" w:rsidRDefault="000221A2" w:rsidP="005D5CEC">
            <w:pPr>
              <w:jc w:val="center"/>
              <w:rPr>
                <w:rFonts w:cs="Arial"/>
                <w:color w:val="000000"/>
                <w:sz w:val="18"/>
                <w:szCs w:val="18"/>
                <w:lang w:val="en-GB"/>
              </w:rPr>
            </w:pPr>
            <w:r w:rsidRPr="00E57455">
              <w:rPr>
                <w:rFonts w:cs="Arial"/>
                <w:color w:val="000000"/>
                <w:sz w:val="18"/>
                <w:szCs w:val="18"/>
                <w:lang w:val="en-GB"/>
              </w:rPr>
              <w:t>Q3 2022</w:t>
            </w:r>
          </w:p>
        </w:tc>
        <w:tc>
          <w:tcPr>
            <w:tcW w:w="840" w:type="dxa"/>
            <w:tcBorders>
              <w:top w:val="single" w:sz="8" w:space="0" w:color="auto"/>
              <w:left w:val="nil"/>
              <w:bottom w:val="single" w:sz="8" w:space="0" w:color="auto"/>
              <w:right w:val="single" w:sz="8" w:space="0" w:color="auto"/>
            </w:tcBorders>
            <w:shd w:val="clear" w:color="auto" w:fill="auto"/>
            <w:vAlign w:val="center"/>
            <w:hideMark/>
          </w:tcPr>
          <w:p w14:paraId="1E935F80" w14:textId="77777777" w:rsidR="000221A2" w:rsidRPr="00E57455" w:rsidRDefault="000221A2" w:rsidP="005D5CEC">
            <w:pPr>
              <w:jc w:val="center"/>
              <w:rPr>
                <w:rFonts w:cs="Arial"/>
                <w:color w:val="000000"/>
                <w:sz w:val="18"/>
                <w:szCs w:val="18"/>
                <w:lang w:val="en-GB"/>
              </w:rPr>
            </w:pPr>
            <w:r w:rsidRPr="00E57455">
              <w:rPr>
                <w:rFonts w:cs="Arial"/>
                <w:color w:val="000000"/>
                <w:sz w:val="18"/>
                <w:szCs w:val="18"/>
                <w:lang w:val="en-GB"/>
              </w:rPr>
              <w:t>Q4 2022</w:t>
            </w:r>
          </w:p>
        </w:tc>
      </w:tr>
      <w:tr w:rsidR="000221A2" w:rsidRPr="00E57455" w14:paraId="7766D07C" w14:textId="77777777" w:rsidTr="005D5CEC">
        <w:trPr>
          <w:trHeight w:val="315"/>
        </w:trPr>
        <w:tc>
          <w:tcPr>
            <w:tcW w:w="1028" w:type="dxa"/>
            <w:tcBorders>
              <w:top w:val="nil"/>
              <w:left w:val="single" w:sz="8" w:space="0" w:color="auto"/>
              <w:bottom w:val="single" w:sz="8" w:space="0" w:color="auto"/>
              <w:right w:val="single" w:sz="8" w:space="0" w:color="auto"/>
            </w:tcBorders>
            <w:shd w:val="clear" w:color="auto" w:fill="auto"/>
            <w:vAlign w:val="center"/>
            <w:hideMark/>
          </w:tcPr>
          <w:p w14:paraId="651BED6A" w14:textId="77777777" w:rsidR="000221A2" w:rsidRPr="00E57455" w:rsidRDefault="000221A2" w:rsidP="005D5CEC">
            <w:pPr>
              <w:spacing w:line="240" w:lineRule="auto"/>
              <w:jc w:val="center"/>
              <w:rPr>
                <w:rFonts w:eastAsia="Times New Roman" w:cs="Arial"/>
                <w:color w:val="000000"/>
                <w:sz w:val="18"/>
                <w:szCs w:val="18"/>
                <w:lang w:val="en-GB"/>
              </w:rPr>
            </w:pPr>
            <w:r w:rsidRPr="00E57455">
              <w:rPr>
                <w:rFonts w:eastAsia="Times New Roman" w:cs="Arial"/>
                <w:color w:val="000000"/>
                <w:sz w:val="18"/>
                <w:szCs w:val="18"/>
                <w:lang w:val="en-GB"/>
              </w:rPr>
              <w:t xml:space="preserve">CZK </w:t>
            </w:r>
            <w:proofErr w:type="spellStart"/>
            <w:r w:rsidRPr="00E57455">
              <w:rPr>
                <w:rFonts w:eastAsia="Times New Roman" w:cs="Arial"/>
                <w:color w:val="000000"/>
                <w:sz w:val="18"/>
                <w:szCs w:val="18"/>
                <w:lang w:val="en-GB"/>
              </w:rPr>
              <w:t>bn</w:t>
            </w:r>
            <w:proofErr w:type="spellEnd"/>
          </w:p>
        </w:tc>
        <w:tc>
          <w:tcPr>
            <w:tcW w:w="840" w:type="dxa"/>
            <w:tcBorders>
              <w:top w:val="nil"/>
              <w:left w:val="nil"/>
              <w:bottom w:val="single" w:sz="8" w:space="0" w:color="auto"/>
              <w:right w:val="single" w:sz="8" w:space="0" w:color="auto"/>
            </w:tcBorders>
            <w:shd w:val="clear" w:color="auto" w:fill="auto"/>
            <w:vAlign w:val="center"/>
            <w:hideMark/>
          </w:tcPr>
          <w:p w14:paraId="7B6FF75C" w14:textId="77777777" w:rsidR="000221A2" w:rsidRPr="00E57455" w:rsidRDefault="000221A2" w:rsidP="005D5CEC">
            <w:pPr>
              <w:spacing w:line="240" w:lineRule="auto"/>
              <w:jc w:val="right"/>
              <w:rPr>
                <w:rFonts w:cs="Arial"/>
                <w:color w:val="000000"/>
                <w:sz w:val="18"/>
                <w:szCs w:val="18"/>
                <w:lang w:val="en-GB" w:eastAsia="cs-CZ"/>
              </w:rPr>
            </w:pPr>
            <w:r w:rsidRPr="00E57455">
              <w:rPr>
                <w:rFonts w:cs="Arial"/>
                <w:color w:val="000000"/>
                <w:sz w:val="18"/>
                <w:szCs w:val="18"/>
                <w:lang w:val="en-GB"/>
              </w:rPr>
              <w:t>-137.5</w:t>
            </w:r>
          </w:p>
        </w:tc>
        <w:tc>
          <w:tcPr>
            <w:tcW w:w="840" w:type="dxa"/>
            <w:tcBorders>
              <w:top w:val="nil"/>
              <w:left w:val="nil"/>
              <w:bottom w:val="single" w:sz="8" w:space="0" w:color="auto"/>
              <w:right w:val="single" w:sz="8" w:space="0" w:color="auto"/>
            </w:tcBorders>
            <w:shd w:val="clear" w:color="auto" w:fill="auto"/>
            <w:vAlign w:val="center"/>
            <w:hideMark/>
          </w:tcPr>
          <w:p w14:paraId="11718E4B" w14:textId="77777777" w:rsidR="000221A2" w:rsidRPr="00E57455" w:rsidRDefault="000221A2" w:rsidP="005D5CEC">
            <w:pPr>
              <w:jc w:val="right"/>
              <w:rPr>
                <w:rFonts w:cs="Arial"/>
                <w:color w:val="000000"/>
                <w:sz w:val="18"/>
                <w:szCs w:val="18"/>
                <w:lang w:val="en-GB"/>
              </w:rPr>
            </w:pPr>
            <w:r w:rsidRPr="00E57455">
              <w:rPr>
                <w:rFonts w:cs="Arial"/>
                <w:color w:val="000000"/>
                <w:sz w:val="18"/>
                <w:szCs w:val="18"/>
                <w:lang w:val="en-GB"/>
              </w:rPr>
              <w:t>-131.1</w:t>
            </w:r>
          </w:p>
        </w:tc>
        <w:tc>
          <w:tcPr>
            <w:tcW w:w="840" w:type="dxa"/>
            <w:tcBorders>
              <w:top w:val="nil"/>
              <w:left w:val="nil"/>
              <w:bottom w:val="single" w:sz="8" w:space="0" w:color="auto"/>
              <w:right w:val="single" w:sz="8" w:space="0" w:color="auto"/>
            </w:tcBorders>
            <w:shd w:val="clear" w:color="auto" w:fill="auto"/>
            <w:vAlign w:val="center"/>
            <w:hideMark/>
          </w:tcPr>
          <w:p w14:paraId="4C6C8F1D" w14:textId="77777777" w:rsidR="000221A2" w:rsidRPr="00E57455" w:rsidRDefault="000221A2" w:rsidP="005D5CEC">
            <w:pPr>
              <w:jc w:val="right"/>
              <w:rPr>
                <w:rFonts w:cs="Arial"/>
                <w:color w:val="000000"/>
                <w:sz w:val="18"/>
                <w:szCs w:val="18"/>
                <w:lang w:val="en-GB"/>
              </w:rPr>
            </w:pPr>
            <w:r w:rsidRPr="00E57455">
              <w:rPr>
                <w:rFonts w:cs="Arial"/>
                <w:color w:val="000000"/>
                <w:sz w:val="18"/>
                <w:szCs w:val="18"/>
                <w:lang w:val="en-GB"/>
              </w:rPr>
              <w:t>-40.1</w:t>
            </w:r>
          </w:p>
        </w:tc>
        <w:tc>
          <w:tcPr>
            <w:tcW w:w="840" w:type="dxa"/>
            <w:tcBorders>
              <w:top w:val="nil"/>
              <w:left w:val="nil"/>
              <w:bottom w:val="single" w:sz="8" w:space="0" w:color="auto"/>
              <w:right w:val="single" w:sz="8" w:space="0" w:color="auto"/>
            </w:tcBorders>
            <w:shd w:val="clear" w:color="auto" w:fill="auto"/>
            <w:vAlign w:val="center"/>
            <w:hideMark/>
          </w:tcPr>
          <w:p w14:paraId="7BBB2A64" w14:textId="77777777" w:rsidR="000221A2" w:rsidRPr="00E57455" w:rsidRDefault="000221A2" w:rsidP="005D5CEC">
            <w:pPr>
              <w:jc w:val="right"/>
              <w:rPr>
                <w:rFonts w:cs="Arial"/>
                <w:color w:val="000000"/>
                <w:sz w:val="18"/>
                <w:szCs w:val="18"/>
                <w:lang w:val="en-GB"/>
              </w:rPr>
            </w:pPr>
            <w:r w:rsidRPr="00E57455">
              <w:rPr>
                <w:rFonts w:cs="Arial"/>
                <w:color w:val="000000"/>
                <w:sz w:val="18"/>
                <w:szCs w:val="18"/>
                <w:lang w:val="en-GB"/>
              </w:rPr>
              <w:t>-42.7</w:t>
            </w:r>
          </w:p>
        </w:tc>
        <w:tc>
          <w:tcPr>
            <w:tcW w:w="840" w:type="dxa"/>
            <w:tcBorders>
              <w:top w:val="nil"/>
              <w:left w:val="nil"/>
              <w:bottom w:val="single" w:sz="8" w:space="0" w:color="auto"/>
              <w:right w:val="single" w:sz="8" w:space="0" w:color="auto"/>
            </w:tcBorders>
            <w:shd w:val="clear" w:color="auto" w:fill="auto"/>
            <w:vAlign w:val="center"/>
            <w:hideMark/>
          </w:tcPr>
          <w:p w14:paraId="56563CE2" w14:textId="77777777" w:rsidR="000221A2" w:rsidRPr="00E57455" w:rsidRDefault="000221A2" w:rsidP="005D5CEC">
            <w:pPr>
              <w:jc w:val="right"/>
              <w:rPr>
                <w:rFonts w:cs="Arial"/>
                <w:color w:val="000000"/>
                <w:sz w:val="18"/>
                <w:szCs w:val="18"/>
                <w:lang w:val="en-GB"/>
              </w:rPr>
            </w:pPr>
            <w:r w:rsidRPr="00E57455">
              <w:rPr>
                <w:rFonts w:cs="Arial"/>
                <w:color w:val="000000"/>
                <w:sz w:val="18"/>
                <w:szCs w:val="18"/>
                <w:lang w:val="en-GB"/>
              </w:rPr>
              <w:t>-96.8</w:t>
            </w:r>
          </w:p>
        </w:tc>
        <w:tc>
          <w:tcPr>
            <w:tcW w:w="840" w:type="dxa"/>
            <w:tcBorders>
              <w:top w:val="nil"/>
              <w:left w:val="nil"/>
              <w:bottom w:val="single" w:sz="8" w:space="0" w:color="auto"/>
              <w:right w:val="single" w:sz="8" w:space="0" w:color="auto"/>
            </w:tcBorders>
            <w:shd w:val="clear" w:color="auto" w:fill="auto"/>
            <w:vAlign w:val="center"/>
            <w:hideMark/>
          </w:tcPr>
          <w:p w14:paraId="456A7C00" w14:textId="77777777" w:rsidR="000221A2" w:rsidRPr="00E57455" w:rsidRDefault="000221A2" w:rsidP="005D5CEC">
            <w:pPr>
              <w:jc w:val="right"/>
              <w:rPr>
                <w:rFonts w:cs="Arial"/>
                <w:color w:val="000000"/>
                <w:sz w:val="18"/>
                <w:szCs w:val="18"/>
                <w:lang w:val="en-GB"/>
              </w:rPr>
            </w:pPr>
            <w:r w:rsidRPr="00E57455">
              <w:rPr>
                <w:rFonts w:cs="Arial"/>
                <w:color w:val="000000"/>
                <w:sz w:val="18"/>
                <w:szCs w:val="18"/>
                <w:lang w:val="en-GB"/>
              </w:rPr>
              <w:t>-69.0</w:t>
            </w:r>
          </w:p>
        </w:tc>
        <w:tc>
          <w:tcPr>
            <w:tcW w:w="840" w:type="dxa"/>
            <w:tcBorders>
              <w:top w:val="nil"/>
              <w:left w:val="nil"/>
              <w:bottom w:val="single" w:sz="8" w:space="0" w:color="auto"/>
              <w:right w:val="single" w:sz="8" w:space="0" w:color="auto"/>
            </w:tcBorders>
            <w:shd w:val="clear" w:color="auto" w:fill="auto"/>
            <w:vAlign w:val="center"/>
            <w:hideMark/>
          </w:tcPr>
          <w:p w14:paraId="2123D3EF" w14:textId="77777777" w:rsidR="000221A2" w:rsidRPr="00E57455" w:rsidRDefault="000221A2" w:rsidP="005D5CEC">
            <w:pPr>
              <w:jc w:val="right"/>
              <w:rPr>
                <w:rFonts w:cs="Arial"/>
                <w:color w:val="000000"/>
                <w:sz w:val="18"/>
                <w:szCs w:val="18"/>
                <w:lang w:val="en-GB"/>
              </w:rPr>
            </w:pPr>
            <w:r w:rsidRPr="00E57455">
              <w:rPr>
                <w:rFonts w:cs="Arial"/>
                <w:color w:val="000000"/>
                <w:sz w:val="18"/>
                <w:szCs w:val="18"/>
                <w:lang w:val="en-GB"/>
              </w:rPr>
              <w:t>-8.7</w:t>
            </w:r>
          </w:p>
        </w:tc>
        <w:tc>
          <w:tcPr>
            <w:tcW w:w="840" w:type="dxa"/>
            <w:tcBorders>
              <w:top w:val="nil"/>
              <w:left w:val="nil"/>
              <w:bottom w:val="single" w:sz="8" w:space="0" w:color="auto"/>
              <w:right w:val="single" w:sz="8" w:space="0" w:color="auto"/>
            </w:tcBorders>
            <w:shd w:val="clear" w:color="auto" w:fill="auto"/>
            <w:vAlign w:val="center"/>
            <w:hideMark/>
          </w:tcPr>
          <w:p w14:paraId="768639AF" w14:textId="77777777" w:rsidR="000221A2" w:rsidRPr="00E57455" w:rsidRDefault="000221A2" w:rsidP="005D5CEC">
            <w:pPr>
              <w:jc w:val="right"/>
              <w:rPr>
                <w:rFonts w:cs="Arial"/>
                <w:color w:val="000000"/>
                <w:sz w:val="18"/>
                <w:szCs w:val="18"/>
                <w:lang w:val="en-GB"/>
              </w:rPr>
            </w:pPr>
            <w:r w:rsidRPr="00E57455">
              <w:rPr>
                <w:rFonts w:cs="Arial"/>
                <w:color w:val="000000"/>
                <w:sz w:val="18"/>
                <w:szCs w:val="18"/>
                <w:lang w:val="en-GB"/>
              </w:rPr>
              <w:t>-66.0</w:t>
            </w:r>
          </w:p>
        </w:tc>
        <w:tc>
          <w:tcPr>
            <w:tcW w:w="840" w:type="dxa"/>
            <w:tcBorders>
              <w:top w:val="nil"/>
              <w:left w:val="nil"/>
              <w:bottom w:val="single" w:sz="8" w:space="0" w:color="auto"/>
              <w:right w:val="single" w:sz="8" w:space="0" w:color="auto"/>
            </w:tcBorders>
            <w:shd w:val="clear" w:color="auto" w:fill="auto"/>
            <w:vAlign w:val="center"/>
            <w:hideMark/>
          </w:tcPr>
          <w:p w14:paraId="165FE1D1" w14:textId="77777777" w:rsidR="000221A2" w:rsidRPr="00E57455" w:rsidRDefault="000221A2" w:rsidP="005D5CEC">
            <w:pPr>
              <w:jc w:val="right"/>
              <w:rPr>
                <w:rFonts w:cs="Arial"/>
                <w:sz w:val="18"/>
                <w:szCs w:val="18"/>
                <w:lang w:val="en-GB"/>
              </w:rPr>
            </w:pPr>
            <w:r w:rsidRPr="00E57455">
              <w:rPr>
                <w:rFonts w:cs="Arial"/>
                <w:sz w:val="18"/>
                <w:szCs w:val="18"/>
                <w:lang w:val="en-GB"/>
              </w:rPr>
              <w:t>-103.8</w:t>
            </w:r>
          </w:p>
        </w:tc>
      </w:tr>
      <w:tr w:rsidR="000221A2" w:rsidRPr="00E57455" w14:paraId="36DC8BD6" w14:textId="77777777" w:rsidTr="005D5CEC">
        <w:trPr>
          <w:trHeight w:val="315"/>
        </w:trPr>
        <w:tc>
          <w:tcPr>
            <w:tcW w:w="1028" w:type="dxa"/>
            <w:tcBorders>
              <w:top w:val="nil"/>
              <w:left w:val="single" w:sz="8" w:space="0" w:color="auto"/>
              <w:bottom w:val="single" w:sz="8" w:space="0" w:color="auto"/>
              <w:right w:val="single" w:sz="8" w:space="0" w:color="auto"/>
            </w:tcBorders>
            <w:shd w:val="clear" w:color="auto" w:fill="auto"/>
            <w:vAlign w:val="center"/>
            <w:hideMark/>
          </w:tcPr>
          <w:p w14:paraId="3E5922C7" w14:textId="77777777" w:rsidR="000221A2" w:rsidRPr="00E57455" w:rsidRDefault="000221A2" w:rsidP="005D5CEC">
            <w:pPr>
              <w:spacing w:line="240" w:lineRule="auto"/>
              <w:jc w:val="center"/>
              <w:rPr>
                <w:rFonts w:eastAsia="Times New Roman" w:cs="Arial"/>
                <w:color w:val="000000"/>
                <w:sz w:val="18"/>
                <w:szCs w:val="18"/>
                <w:lang w:val="en-GB"/>
              </w:rPr>
            </w:pPr>
            <w:r w:rsidRPr="00E57455">
              <w:rPr>
                <w:rFonts w:eastAsia="Times New Roman" w:cs="Arial"/>
                <w:color w:val="000000"/>
                <w:sz w:val="18"/>
                <w:szCs w:val="18"/>
                <w:lang w:val="en-GB"/>
              </w:rPr>
              <w:t>% of GDP</w:t>
            </w:r>
          </w:p>
        </w:tc>
        <w:tc>
          <w:tcPr>
            <w:tcW w:w="840" w:type="dxa"/>
            <w:tcBorders>
              <w:top w:val="nil"/>
              <w:left w:val="nil"/>
              <w:bottom w:val="single" w:sz="8" w:space="0" w:color="auto"/>
              <w:right w:val="single" w:sz="8" w:space="0" w:color="auto"/>
            </w:tcBorders>
            <w:shd w:val="clear" w:color="auto" w:fill="auto"/>
            <w:vAlign w:val="center"/>
            <w:hideMark/>
          </w:tcPr>
          <w:p w14:paraId="7C97FE56" w14:textId="77777777" w:rsidR="000221A2" w:rsidRPr="00E57455" w:rsidRDefault="000221A2" w:rsidP="005D5CEC">
            <w:pPr>
              <w:jc w:val="right"/>
              <w:rPr>
                <w:rFonts w:cs="Arial"/>
                <w:sz w:val="18"/>
                <w:szCs w:val="18"/>
                <w:lang w:val="en-GB"/>
              </w:rPr>
            </w:pPr>
            <w:r w:rsidRPr="00E57455">
              <w:rPr>
                <w:rFonts w:cs="Arial"/>
                <w:sz w:val="18"/>
                <w:szCs w:val="18"/>
                <w:lang w:val="en-GB"/>
              </w:rPr>
              <w:t>-9.0</w:t>
            </w:r>
          </w:p>
        </w:tc>
        <w:tc>
          <w:tcPr>
            <w:tcW w:w="840" w:type="dxa"/>
            <w:tcBorders>
              <w:top w:val="nil"/>
              <w:left w:val="nil"/>
              <w:bottom w:val="single" w:sz="8" w:space="0" w:color="auto"/>
              <w:right w:val="single" w:sz="8" w:space="0" w:color="auto"/>
            </w:tcBorders>
            <w:shd w:val="clear" w:color="auto" w:fill="auto"/>
            <w:vAlign w:val="center"/>
            <w:hideMark/>
          </w:tcPr>
          <w:p w14:paraId="6E052579" w14:textId="77777777" w:rsidR="000221A2" w:rsidRPr="00E57455" w:rsidRDefault="000221A2" w:rsidP="005D5CEC">
            <w:pPr>
              <w:jc w:val="right"/>
              <w:rPr>
                <w:rFonts w:cs="Arial"/>
                <w:sz w:val="18"/>
                <w:szCs w:val="18"/>
                <w:lang w:val="en-GB"/>
              </w:rPr>
            </w:pPr>
            <w:r w:rsidRPr="00E57455">
              <w:rPr>
                <w:rFonts w:cs="Arial"/>
                <w:sz w:val="18"/>
                <w:szCs w:val="18"/>
                <w:lang w:val="en-GB"/>
              </w:rPr>
              <w:t>-9.5</w:t>
            </w:r>
          </w:p>
        </w:tc>
        <w:tc>
          <w:tcPr>
            <w:tcW w:w="840" w:type="dxa"/>
            <w:tcBorders>
              <w:top w:val="nil"/>
              <w:left w:val="nil"/>
              <w:bottom w:val="single" w:sz="8" w:space="0" w:color="auto"/>
              <w:right w:val="single" w:sz="8" w:space="0" w:color="auto"/>
            </w:tcBorders>
            <w:shd w:val="clear" w:color="auto" w:fill="auto"/>
            <w:vAlign w:val="center"/>
            <w:hideMark/>
          </w:tcPr>
          <w:p w14:paraId="567B7317" w14:textId="77777777" w:rsidR="000221A2" w:rsidRPr="00E57455" w:rsidRDefault="000221A2" w:rsidP="005D5CEC">
            <w:pPr>
              <w:jc w:val="right"/>
              <w:rPr>
                <w:rFonts w:cs="Arial"/>
                <w:sz w:val="18"/>
                <w:szCs w:val="18"/>
                <w:lang w:val="en-GB"/>
              </w:rPr>
            </w:pPr>
            <w:r w:rsidRPr="00E57455">
              <w:rPr>
                <w:rFonts w:cs="Arial"/>
                <w:sz w:val="18"/>
                <w:szCs w:val="18"/>
                <w:lang w:val="en-GB"/>
              </w:rPr>
              <w:t>-2.6</w:t>
            </w:r>
          </w:p>
        </w:tc>
        <w:tc>
          <w:tcPr>
            <w:tcW w:w="840" w:type="dxa"/>
            <w:tcBorders>
              <w:top w:val="nil"/>
              <w:left w:val="nil"/>
              <w:bottom w:val="single" w:sz="8" w:space="0" w:color="auto"/>
              <w:right w:val="single" w:sz="8" w:space="0" w:color="auto"/>
            </w:tcBorders>
            <w:shd w:val="clear" w:color="auto" w:fill="auto"/>
            <w:vAlign w:val="center"/>
            <w:hideMark/>
          </w:tcPr>
          <w:p w14:paraId="58FB14FE" w14:textId="77777777" w:rsidR="000221A2" w:rsidRPr="00E57455" w:rsidRDefault="000221A2" w:rsidP="005D5CEC">
            <w:pPr>
              <w:jc w:val="right"/>
              <w:rPr>
                <w:rFonts w:cs="Arial"/>
                <w:sz w:val="18"/>
                <w:szCs w:val="18"/>
                <w:lang w:val="en-GB"/>
              </w:rPr>
            </w:pPr>
            <w:r w:rsidRPr="00E57455">
              <w:rPr>
                <w:rFonts w:cs="Arial"/>
                <w:sz w:val="18"/>
                <w:szCs w:val="18"/>
                <w:lang w:val="en-GB"/>
              </w:rPr>
              <w:t>-2.7</w:t>
            </w:r>
          </w:p>
        </w:tc>
        <w:tc>
          <w:tcPr>
            <w:tcW w:w="840" w:type="dxa"/>
            <w:tcBorders>
              <w:top w:val="nil"/>
              <w:left w:val="nil"/>
              <w:bottom w:val="single" w:sz="8" w:space="0" w:color="auto"/>
              <w:right w:val="single" w:sz="8" w:space="0" w:color="auto"/>
            </w:tcBorders>
            <w:shd w:val="clear" w:color="auto" w:fill="auto"/>
            <w:vAlign w:val="center"/>
            <w:hideMark/>
          </w:tcPr>
          <w:p w14:paraId="336133BC" w14:textId="77777777" w:rsidR="000221A2" w:rsidRPr="00E57455" w:rsidRDefault="000221A2" w:rsidP="005D5CEC">
            <w:pPr>
              <w:jc w:val="right"/>
              <w:rPr>
                <w:rFonts w:cs="Arial"/>
                <w:sz w:val="18"/>
                <w:szCs w:val="18"/>
                <w:lang w:val="en-GB"/>
              </w:rPr>
            </w:pPr>
            <w:r w:rsidRPr="00E57455">
              <w:rPr>
                <w:rFonts w:cs="Arial"/>
                <w:sz w:val="18"/>
                <w:szCs w:val="18"/>
                <w:lang w:val="en-GB"/>
              </w:rPr>
              <w:t>-6.0</w:t>
            </w:r>
          </w:p>
        </w:tc>
        <w:tc>
          <w:tcPr>
            <w:tcW w:w="840" w:type="dxa"/>
            <w:tcBorders>
              <w:top w:val="nil"/>
              <w:left w:val="nil"/>
              <w:bottom w:val="single" w:sz="8" w:space="0" w:color="auto"/>
              <w:right w:val="single" w:sz="8" w:space="0" w:color="auto"/>
            </w:tcBorders>
            <w:shd w:val="clear" w:color="auto" w:fill="auto"/>
            <w:vAlign w:val="center"/>
            <w:hideMark/>
          </w:tcPr>
          <w:p w14:paraId="330A7682" w14:textId="77777777" w:rsidR="000221A2" w:rsidRPr="00E57455" w:rsidRDefault="000221A2" w:rsidP="005D5CEC">
            <w:pPr>
              <w:jc w:val="right"/>
              <w:rPr>
                <w:rFonts w:cs="Arial"/>
                <w:sz w:val="18"/>
                <w:szCs w:val="18"/>
                <w:lang w:val="en-GB"/>
              </w:rPr>
            </w:pPr>
            <w:r w:rsidRPr="00E57455">
              <w:rPr>
                <w:rFonts w:cs="Arial"/>
                <w:sz w:val="18"/>
                <w:szCs w:val="18"/>
                <w:lang w:val="en-GB"/>
              </w:rPr>
              <w:t>-4.5</w:t>
            </w:r>
          </w:p>
        </w:tc>
        <w:tc>
          <w:tcPr>
            <w:tcW w:w="840" w:type="dxa"/>
            <w:tcBorders>
              <w:top w:val="nil"/>
              <w:left w:val="nil"/>
              <w:bottom w:val="single" w:sz="8" w:space="0" w:color="auto"/>
              <w:right w:val="single" w:sz="8" w:space="0" w:color="auto"/>
            </w:tcBorders>
            <w:shd w:val="clear" w:color="auto" w:fill="auto"/>
            <w:vAlign w:val="center"/>
            <w:hideMark/>
          </w:tcPr>
          <w:p w14:paraId="33713072" w14:textId="77777777" w:rsidR="000221A2" w:rsidRPr="00E57455" w:rsidRDefault="000221A2" w:rsidP="005D5CEC">
            <w:pPr>
              <w:jc w:val="right"/>
              <w:rPr>
                <w:rFonts w:cs="Arial"/>
                <w:sz w:val="18"/>
                <w:szCs w:val="18"/>
                <w:lang w:val="en-GB"/>
              </w:rPr>
            </w:pPr>
            <w:r w:rsidRPr="00E57455">
              <w:rPr>
                <w:rFonts w:cs="Arial"/>
                <w:sz w:val="18"/>
                <w:szCs w:val="18"/>
                <w:lang w:val="en-GB"/>
              </w:rPr>
              <w:t>-0.5</w:t>
            </w:r>
          </w:p>
        </w:tc>
        <w:tc>
          <w:tcPr>
            <w:tcW w:w="840" w:type="dxa"/>
            <w:tcBorders>
              <w:top w:val="nil"/>
              <w:left w:val="nil"/>
              <w:bottom w:val="single" w:sz="8" w:space="0" w:color="auto"/>
              <w:right w:val="single" w:sz="8" w:space="0" w:color="auto"/>
            </w:tcBorders>
            <w:shd w:val="clear" w:color="auto" w:fill="auto"/>
            <w:vAlign w:val="center"/>
            <w:hideMark/>
          </w:tcPr>
          <w:p w14:paraId="185C4960" w14:textId="77777777" w:rsidR="000221A2" w:rsidRPr="00E57455" w:rsidRDefault="000221A2" w:rsidP="005D5CEC">
            <w:pPr>
              <w:jc w:val="right"/>
              <w:rPr>
                <w:rFonts w:cs="Arial"/>
                <w:sz w:val="18"/>
                <w:szCs w:val="18"/>
                <w:lang w:val="en-GB"/>
              </w:rPr>
            </w:pPr>
            <w:r w:rsidRPr="00E57455">
              <w:rPr>
                <w:rFonts w:cs="Arial"/>
                <w:sz w:val="18"/>
                <w:szCs w:val="18"/>
                <w:lang w:val="en-GB"/>
              </w:rPr>
              <w:t>-3.8</w:t>
            </w:r>
          </w:p>
        </w:tc>
        <w:tc>
          <w:tcPr>
            <w:tcW w:w="840" w:type="dxa"/>
            <w:tcBorders>
              <w:top w:val="nil"/>
              <w:left w:val="nil"/>
              <w:bottom w:val="single" w:sz="8" w:space="0" w:color="auto"/>
              <w:right w:val="single" w:sz="8" w:space="0" w:color="auto"/>
            </w:tcBorders>
            <w:shd w:val="clear" w:color="auto" w:fill="auto"/>
            <w:vAlign w:val="center"/>
            <w:hideMark/>
          </w:tcPr>
          <w:p w14:paraId="2777B80D" w14:textId="77777777" w:rsidR="000221A2" w:rsidRPr="00E57455" w:rsidRDefault="000221A2" w:rsidP="005D5CEC">
            <w:pPr>
              <w:jc w:val="right"/>
              <w:rPr>
                <w:rFonts w:cs="Arial"/>
                <w:sz w:val="18"/>
                <w:szCs w:val="18"/>
                <w:lang w:val="en-GB"/>
              </w:rPr>
            </w:pPr>
            <w:r w:rsidRPr="00E57455">
              <w:rPr>
                <w:rFonts w:cs="Arial"/>
                <w:sz w:val="18"/>
                <w:szCs w:val="18"/>
                <w:lang w:val="en-GB"/>
              </w:rPr>
              <w:t>-5.8</w:t>
            </w:r>
          </w:p>
        </w:tc>
      </w:tr>
    </w:tbl>
    <w:p w14:paraId="45ED64A9" w14:textId="77777777" w:rsidR="000221A2" w:rsidRPr="00E57455" w:rsidRDefault="000221A2" w:rsidP="000221A2">
      <w:pPr>
        <w:rPr>
          <w:i/>
          <w:lang w:val="en-GB"/>
        </w:rPr>
      </w:pPr>
      <w:r w:rsidRPr="00E57455">
        <w:rPr>
          <w:i/>
          <w:lang w:val="en-GB"/>
        </w:rPr>
        <w:t>Note: Data in the table are not seasonally adjusted and cannot be compared quarter-on-quarter.</w:t>
      </w:r>
    </w:p>
    <w:p w14:paraId="6F7B378F" w14:textId="77777777" w:rsidR="00375706" w:rsidRPr="00E57455" w:rsidRDefault="00375706" w:rsidP="00375706">
      <w:pPr>
        <w:rPr>
          <w:lang w:val="en-GB"/>
        </w:rPr>
      </w:pPr>
    </w:p>
    <w:p w14:paraId="69C5AD5F" w14:textId="66B1A200" w:rsidR="00554994" w:rsidRPr="00E57455" w:rsidRDefault="00B05DBF" w:rsidP="00375706">
      <w:pPr>
        <w:rPr>
          <w:lang w:val="en-GB"/>
        </w:rPr>
      </w:pPr>
      <w:r w:rsidRPr="00E57455">
        <w:rPr>
          <w:lang w:val="en-GB"/>
        </w:rPr>
        <w:t>The total go</w:t>
      </w:r>
      <w:r w:rsidR="00696EAD" w:rsidRPr="00E57455">
        <w:rPr>
          <w:lang w:val="en-GB"/>
        </w:rPr>
        <w:t>vernment revenues increased by 9.2%, y-o-y, and reached 40.3% of GDP.</w:t>
      </w:r>
      <w:r w:rsidRPr="00E57455">
        <w:rPr>
          <w:lang w:val="en-GB"/>
        </w:rPr>
        <w:t xml:space="preserve"> </w:t>
      </w:r>
      <w:r w:rsidR="00AA73AF" w:rsidRPr="00E57455">
        <w:rPr>
          <w:lang w:val="en-GB"/>
        </w:rPr>
        <w:t xml:space="preserve">Especially the following contributed to the y-o-y increase in revenues: growth of revenues from received social contributions, </w:t>
      </w:r>
      <w:r w:rsidR="00BD05C3" w:rsidRPr="00E57455">
        <w:rPr>
          <w:lang w:val="en-GB"/>
        </w:rPr>
        <w:t xml:space="preserve">interest received, </w:t>
      </w:r>
      <w:r w:rsidR="00AA73AF" w:rsidRPr="00E57455">
        <w:rPr>
          <w:lang w:val="en-GB"/>
        </w:rPr>
        <w:t xml:space="preserve">and </w:t>
      </w:r>
      <w:r w:rsidRPr="00E57455">
        <w:rPr>
          <w:lang w:val="en-GB"/>
        </w:rPr>
        <w:t>taxes on income.</w:t>
      </w:r>
      <w:r w:rsidR="005A3541" w:rsidRPr="00E57455">
        <w:rPr>
          <w:lang w:val="en-GB"/>
        </w:rPr>
        <w:t xml:space="preserve"> </w:t>
      </w:r>
      <w:r w:rsidR="001D0252" w:rsidRPr="00E57455">
        <w:rPr>
          <w:lang w:val="en-GB"/>
        </w:rPr>
        <w:t xml:space="preserve">The total government expenditure </w:t>
      </w:r>
      <w:r w:rsidR="005A3541" w:rsidRPr="00E57455">
        <w:rPr>
          <w:lang w:val="en-GB"/>
        </w:rPr>
        <w:t>increased by 8.9%, y-o-y, and reached 46.1% of GDP.</w:t>
      </w:r>
      <w:r w:rsidR="001D0252" w:rsidRPr="00E57455">
        <w:rPr>
          <w:lang w:val="en-GB"/>
        </w:rPr>
        <w:t xml:space="preserve"> </w:t>
      </w:r>
      <w:r w:rsidR="00554994" w:rsidRPr="00E57455">
        <w:rPr>
          <w:lang w:val="en-GB"/>
        </w:rPr>
        <w:t>The following expenditure in</w:t>
      </w:r>
      <w:r w:rsidR="001D0252" w:rsidRPr="00E57455">
        <w:rPr>
          <w:lang w:val="en-GB"/>
        </w:rPr>
        <w:t>creased the most:</w:t>
      </w:r>
      <w:r w:rsidR="00943F6C" w:rsidRPr="00E57455">
        <w:rPr>
          <w:lang w:val="en-GB"/>
        </w:rPr>
        <w:t xml:space="preserve"> </w:t>
      </w:r>
      <w:r w:rsidR="00E55CE2" w:rsidRPr="00E57455">
        <w:rPr>
          <w:lang w:val="en-GB"/>
        </w:rPr>
        <w:t xml:space="preserve">expenditure on </w:t>
      </w:r>
      <w:r w:rsidR="00554994" w:rsidRPr="00E57455">
        <w:rPr>
          <w:lang w:val="en-GB"/>
        </w:rPr>
        <w:t xml:space="preserve">social benefits, compensation </w:t>
      </w:r>
      <w:r w:rsidR="00561255" w:rsidRPr="00E57455">
        <w:rPr>
          <w:lang w:val="en-GB"/>
        </w:rPr>
        <w:t>of</w:t>
      </w:r>
      <w:r w:rsidR="00554994" w:rsidRPr="00E57455">
        <w:rPr>
          <w:lang w:val="en-GB"/>
        </w:rPr>
        <w:t xml:space="preserve"> employees, and</w:t>
      </w:r>
      <w:r w:rsidR="00561255" w:rsidRPr="00E57455">
        <w:rPr>
          <w:lang w:val="en-GB"/>
        </w:rPr>
        <w:t xml:space="preserve"> interest paid. </w:t>
      </w:r>
      <w:r w:rsidR="00554994" w:rsidRPr="00E57455">
        <w:rPr>
          <w:lang w:val="en-GB"/>
        </w:rPr>
        <w:t xml:space="preserve"> </w:t>
      </w:r>
    </w:p>
    <w:p w14:paraId="3B1B5A42" w14:textId="494C8320" w:rsidR="00375706" w:rsidRPr="00E57455" w:rsidRDefault="00375706" w:rsidP="00375706">
      <w:pPr>
        <w:rPr>
          <w:lang w:val="en-GB"/>
        </w:rPr>
      </w:pPr>
    </w:p>
    <w:p w14:paraId="25B7D64A" w14:textId="6EACE4BB" w:rsidR="00002F63" w:rsidRPr="00E57455" w:rsidRDefault="00561255" w:rsidP="00375706">
      <w:pPr>
        <w:rPr>
          <w:lang w:val="en-GB"/>
        </w:rPr>
      </w:pPr>
      <w:r w:rsidRPr="00E57455">
        <w:rPr>
          <w:lang w:val="en-GB"/>
        </w:rPr>
        <w:t>The nominal debt of the general government increased by CZK </w:t>
      </w:r>
      <w:r w:rsidR="002F0E22" w:rsidRPr="00E57455">
        <w:rPr>
          <w:lang w:val="en-GB"/>
        </w:rPr>
        <w:t>430</w:t>
      </w:r>
      <w:r w:rsidRPr="00E57455">
        <w:rPr>
          <w:lang w:val="en-GB"/>
        </w:rPr>
        <w:t>.</w:t>
      </w:r>
      <w:r w:rsidR="002F0E22" w:rsidRPr="00E57455">
        <w:rPr>
          <w:lang w:val="en-GB"/>
        </w:rPr>
        <w:t>4 </w:t>
      </w:r>
      <w:proofErr w:type="spellStart"/>
      <w:r w:rsidRPr="00E57455">
        <w:rPr>
          <w:lang w:val="en-GB"/>
        </w:rPr>
        <w:t>bn</w:t>
      </w:r>
      <w:proofErr w:type="spellEnd"/>
      <w:r w:rsidRPr="00E57455">
        <w:rPr>
          <w:lang w:val="en-GB"/>
        </w:rPr>
        <w:t xml:space="preserve"> to CZK 2 </w:t>
      </w:r>
      <w:r w:rsidR="002F0E22" w:rsidRPr="00E57455">
        <w:rPr>
          <w:lang w:val="en-GB"/>
        </w:rPr>
        <w:t>997</w:t>
      </w:r>
      <w:r w:rsidRPr="00E57455">
        <w:rPr>
          <w:lang w:val="en-GB"/>
        </w:rPr>
        <w:t>.</w:t>
      </w:r>
      <w:r w:rsidR="002F0E22" w:rsidRPr="00E57455">
        <w:rPr>
          <w:lang w:val="en-GB"/>
        </w:rPr>
        <w:t>1 </w:t>
      </w:r>
      <w:r w:rsidRPr="00E57455">
        <w:rPr>
          <w:lang w:val="en-GB"/>
        </w:rPr>
        <w:t xml:space="preserve">bn. </w:t>
      </w:r>
      <w:r w:rsidR="00076550" w:rsidRPr="00E57455">
        <w:rPr>
          <w:lang w:val="en-GB"/>
        </w:rPr>
        <w:t>The government debt ratio increased from</w:t>
      </w:r>
      <w:r w:rsidR="00B81ADE" w:rsidRPr="00E57455">
        <w:rPr>
          <w:lang w:val="en-GB"/>
        </w:rPr>
        <w:t xml:space="preserve"> 42.0% to 44.1</w:t>
      </w:r>
      <w:r w:rsidR="00076550" w:rsidRPr="00E57455">
        <w:rPr>
          <w:lang w:val="en-GB"/>
        </w:rPr>
        <w:t xml:space="preserve">% of GDP, </w:t>
      </w:r>
      <w:r w:rsidR="00357CA7" w:rsidRPr="00E57455">
        <w:rPr>
          <w:lang w:val="en-GB"/>
        </w:rPr>
        <w:t>year-on-year; the influence of the nominal change of the debt was</w:t>
      </w:r>
      <w:r w:rsidR="00697CC4" w:rsidRPr="00E57455">
        <w:rPr>
          <w:lang w:val="en-GB"/>
        </w:rPr>
        <w:t xml:space="preserve"> +6</w:t>
      </w:r>
      <w:r w:rsidR="00357CA7" w:rsidRPr="00E57455">
        <w:rPr>
          <w:lang w:val="en-GB"/>
        </w:rPr>
        <w:t>.3 p. p., while the increasing nominal GDP contributed to a decrease in indebtedness by –</w:t>
      </w:r>
      <w:r w:rsidR="00697CC4" w:rsidRPr="00E57455">
        <w:rPr>
          <w:lang w:val="en-GB"/>
        </w:rPr>
        <w:t>4.2 </w:t>
      </w:r>
      <w:r w:rsidR="00357CA7" w:rsidRPr="00E57455">
        <w:rPr>
          <w:lang w:val="en-GB"/>
        </w:rPr>
        <w:t>p. p. In the quarter-on-quarter comparison, the debt increased by CZK</w:t>
      </w:r>
      <w:r w:rsidR="000A202E" w:rsidRPr="00E57455">
        <w:rPr>
          <w:lang w:val="en-GB"/>
        </w:rPr>
        <w:t xml:space="preserve"> 13.8 </w:t>
      </w:r>
      <w:proofErr w:type="spellStart"/>
      <w:r w:rsidR="00357CA7" w:rsidRPr="00E57455">
        <w:rPr>
          <w:lang w:val="en-GB"/>
        </w:rPr>
        <w:t>bn</w:t>
      </w:r>
      <w:proofErr w:type="spellEnd"/>
      <w:r w:rsidR="00357CA7" w:rsidRPr="00E57455">
        <w:rPr>
          <w:lang w:val="en-GB"/>
        </w:rPr>
        <w:t xml:space="preserve">, which means that the debt ratio increased by </w:t>
      </w:r>
      <w:r w:rsidR="000A202E" w:rsidRPr="00E57455">
        <w:rPr>
          <w:lang w:val="en-GB"/>
        </w:rPr>
        <w:t>0.2 </w:t>
      </w:r>
      <w:r w:rsidR="00357CA7" w:rsidRPr="00E57455">
        <w:rPr>
          <w:lang w:val="en-GB"/>
        </w:rPr>
        <w:t xml:space="preserve">p. p. An increase in the nominal GDP contributed to </w:t>
      </w:r>
      <w:r w:rsidR="00002F63" w:rsidRPr="00E57455">
        <w:rPr>
          <w:lang w:val="en-GB"/>
        </w:rPr>
        <w:t>a decrease in the indebtedness by –1.2 p. p.</w:t>
      </w:r>
    </w:p>
    <w:p w14:paraId="118B208F" w14:textId="181769D0" w:rsidR="00076550" w:rsidRPr="00E57455" w:rsidRDefault="00076550" w:rsidP="00375706">
      <w:pPr>
        <w:rPr>
          <w:lang w:val="en-GB"/>
        </w:rPr>
      </w:pPr>
    </w:p>
    <w:p w14:paraId="216CCB65" w14:textId="15B2AE69" w:rsidR="00304C19" w:rsidRPr="00E57455" w:rsidRDefault="00304C19" w:rsidP="00375706">
      <w:pPr>
        <w:rPr>
          <w:lang w:val="en-GB"/>
        </w:rPr>
      </w:pPr>
      <w:r w:rsidRPr="00E57455">
        <w:rPr>
          <w:lang w:val="en-GB"/>
        </w:rPr>
        <w:t>Regarding the debt structure, mainly the following increased, year-on-year: issued debt securities (CZK +</w:t>
      </w:r>
      <w:r w:rsidR="002C29D6" w:rsidRPr="00E57455">
        <w:rPr>
          <w:lang w:val="en-GB"/>
        </w:rPr>
        <w:t>239</w:t>
      </w:r>
      <w:r w:rsidR="00214E92" w:rsidRPr="00E57455">
        <w:rPr>
          <w:lang w:val="en-GB"/>
        </w:rPr>
        <w:t>.</w:t>
      </w:r>
      <w:r w:rsidR="002C29D6" w:rsidRPr="00E57455">
        <w:rPr>
          <w:lang w:val="en-GB"/>
        </w:rPr>
        <w:t>3</w:t>
      </w:r>
      <w:r w:rsidRPr="00E57455">
        <w:rPr>
          <w:lang w:val="en-GB"/>
        </w:rPr>
        <w:t> </w:t>
      </w:r>
      <w:proofErr w:type="spellStart"/>
      <w:r w:rsidRPr="00E57455">
        <w:rPr>
          <w:lang w:val="en-GB"/>
        </w:rPr>
        <w:t>bn</w:t>
      </w:r>
      <w:proofErr w:type="spellEnd"/>
      <w:r w:rsidRPr="00E57455">
        <w:rPr>
          <w:lang w:val="en-GB"/>
        </w:rPr>
        <w:t>) and received loans (CZK +</w:t>
      </w:r>
      <w:r w:rsidR="002C29D6" w:rsidRPr="00E57455">
        <w:rPr>
          <w:lang w:val="en-GB"/>
        </w:rPr>
        <w:t>184.9</w:t>
      </w:r>
      <w:r w:rsidRPr="00E57455">
        <w:rPr>
          <w:lang w:val="en-GB"/>
        </w:rPr>
        <w:t> </w:t>
      </w:r>
      <w:proofErr w:type="spellStart"/>
      <w:r w:rsidRPr="00E57455">
        <w:rPr>
          <w:lang w:val="en-GB"/>
        </w:rPr>
        <w:t>bn</w:t>
      </w:r>
      <w:proofErr w:type="spellEnd"/>
      <w:r w:rsidRPr="00E57455">
        <w:rPr>
          <w:lang w:val="en-GB"/>
        </w:rPr>
        <w:t xml:space="preserve">). </w:t>
      </w:r>
    </w:p>
    <w:p w14:paraId="65C39311" w14:textId="77777777" w:rsidR="00375706" w:rsidRPr="00E57455" w:rsidRDefault="00375706" w:rsidP="00375706">
      <w:pPr>
        <w:rPr>
          <w:lang w:val="en-GB"/>
        </w:rPr>
      </w:pPr>
    </w:p>
    <w:p w14:paraId="48F6CBD7" w14:textId="77777777" w:rsidR="00ED095B" w:rsidRPr="00E57455" w:rsidRDefault="00ED095B" w:rsidP="00ED095B">
      <w:pPr>
        <w:jc w:val="left"/>
        <w:rPr>
          <w:noProof/>
          <w:lang w:val="en-GB" w:eastAsia="cs-CZ"/>
        </w:rPr>
      </w:pPr>
      <w:r w:rsidRPr="00E57455">
        <w:rPr>
          <w:rFonts w:eastAsia="Times New Roman"/>
          <w:b/>
          <w:bCs/>
          <w:szCs w:val="28"/>
          <w:lang w:val="en-GB"/>
        </w:rPr>
        <w:t>Debt of the general government sector, Q4 2020 – Q4 2022</w:t>
      </w:r>
    </w:p>
    <w:p w14:paraId="3EF6DE0F" w14:textId="77777777" w:rsidR="00ED095B" w:rsidRPr="00E57455" w:rsidRDefault="00ED095B" w:rsidP="00ED095B">
      <w:r w:rsidRPr="00E57455">
        <w:rPr>
          <w:noProof/>
          <w:lang w:eastAsia="cs-CZ"/>
        </w:rPr>
        <w:drawing>
          <wp:inline distT="0" distB="0" distL="0" distR="0" wp14:anchorId="34DD33D0" wp14:editId="25197BEB">
            <wp:extent cx="5412740" cy="2819400"/>
            <wp:effectExtent l="0" t="0" r="16510"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FB1AEF5" w14:textId="77777777" w:rsidR="00ED095B" w:rsidRPr="00E57455" w:rsidRDefault="00ED095B" w:rsidP="00ED095B"/>
    <w:p w14:paraId="7E91A7BF" w14:textId="3E0E091A" w:rsidR="00ED095B" w:rsidRPr="00E57455" w:rsidRDefault="0066063E" w:rsidP="00ED095B">
      <w:r>
        <w:rPr>
          <w:noProof/>
          <w:lang w:eastAsia="cs-CZ"/>
        </w:rPr>
        <w:drawing>
          <wp:inline distT="0" distB="0" distL="0" distR="0" wp14:anchorId="3B7FFE71" wp14:editId="23103C2F">
            <wp:extent cx="5400040" cy="2044700"/>
            <wp:effectExtent l="0" t="0" r="10160" b="1270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9A0F7C3" w14:textId="77777777" w:rsidR="00375706" w:rsidRPr="00E57455" w:rsidRDefault="00375706" w:rsidP="00375706">
      <w:pPr>
        <w:rPr>
          <w:lang w:val="en-GB"/>
        </w:rPr>
      </w:pPr>
    </w:p>
    <w:p w14:paraId="6F4DD578" w14:textId="40888199" w:rsidR="00783A3B" w:rsidRPr="00E57455" w:rsidRDefault="00783A3B" w:rsidP="00375706">
      <w:pPr>
        <w:rPr>
          <w:lang w:val="en-GB"/>
        </w:rPr>
      </w:pPr>
      <w:r w:rsidRPr="00E57455">
        <w:rPr>
          <w:lang w:val="en-GB"/>
        </w:rPr>
        <w:t>The general government sector balance after seasonal adjustment as well as adjustment for calendar effects ended up with a deficit of CZK </w:t>
      </w:r>
      <w:r w:rsidR="00917954" w:rsidRPr="00E57455">
        <w:rPr>
          <w:lang w:val="en-GB"/>
        </w:rPr>
        <w:t>68.3 </w:t>
      </w:r>
      <w:proofErr w:type="spellStart"/>
      <w:r w:rsidRPr="00E57455">
        <w:rPr>
          <w:lang w:val="en-GB"/>
        </w:rPr>
        <w:t>bn</w:t>
      </w:r>
      <w:proofErr w:type="spellEnd"/>
      <w:r w:rsidRPr="00E57455">
        <w:rPr>
          <w:lang w:val="en-GB"/>
        </w:rPr>
        <w:t xml:space="preserve">, which corresponded to </w:t>
      </w:r>
      <w:r w:rsidR="00917954" w:rsidRPr="00E57455">
        <w:rPr>
          <w:lang w:val="en-GB"/>
        </w:rPr>
        <w:t>3</w:t>
      </w:r>
      <w:r w:rsidRPr="00E57455">
        <w:rPr>
          <w:lang w:val="en-GB"/>
        </w:rPr>
        <w:t>.</w:t>
      </w:r>
      <w:r w:rsidR="00917954" w:rsidRPr="00E57455">
        <w:rPr>
          <w:lang w:val="en-GB"/>
        </w:rPr>
        <w:t>9</w:t>
      </w:r>
      <w:r w:rsidRPr="00E57455">
        <w:rPr>
          <w:lang w:val="en-GB"/>
        </w:rPr>
        <w:t xml:space="preserve">% of GDP. The general government sector balance </w:t>
      </w:r>
      <w:r w:rsidR="00F94CDB" w:rsidRPr="00E57455">
        <w:rPr>
          <w:lang w:val="en-GB"/>
        </w:rPr>
        <w:t>improved</w:t>
      </w:r>
      <w:r w:rsidRPr="00E57455">
        <w:rPr>
          <w:lang w:val="en-GB"/>
        </w:rPr>
        <w:t xml:space="preserve"> by CZK</w:t>
      </w:r>
      <w:r w:rsidR="00917954" w:rsidRPr="00E57455">
        <w:rPr>
          <w:lang w:val="en-GB"/>
        </w:rPr>
        <w:t> 11.6</w:t>
      </w:r>
      <w:r w:rsidRPr="00E57455">
        <w:rPr>
          <w:lang w:val="en-GB"/>
        </w:rPr>
        <w:t> </w:t>
      </w:r>
      <w:proofErr w:type="spellStart"/>
      <w:r w:rsidRPr="00E57455">
        <w:rPr>
          <w:lang w:val="en-GB"/>
        </w:rPr>
        <w:t>bn</w:t>
      </w:r>
      <w:proofErr w:type="spellEnd"/>
      <w:r w:rsidRPr="00E57455">
        <w:rPr>
          <w:lang w:val="en-GB"/>
        </w:rPr>
        <w:t>, q-o-q. The development of the general government sector balance adjusted by seasonal and calendar effects is shown in the chart below.</w:t>
      </w:r>
    </w:p>
    <w:p w14:paraId="18035070" w14:textId="77777777" w:rsidR="00375706" w:rsidRPr="00E57455" w:rsidRDefault="00375706" w:rsidP="00375706">
      <w:pPr>
        <w:rPr>
          <w:lang w:val="en-GB"/>
        </w:rPr>
      </w:pPr>
    </w:p>
    <w:p w14:paraId="52318545" w14:textId="7ADCB17E" w:rsidR="00375706" w:rsidRPr="00E57455" w:rsidRDefault="0099333B" w:rsidP="00375706">
      <w:pPr>
        <w:jc w:val="left"/>
        <w:rPr>
          <w:lang w:val="en-GB"/>
        </w:rPr>
      </w:pPr>
      <w:bookmarkStart w:id="0" w:name="_GoBack"/>
      <w:bookmarkEnd w:id="0"/>
      <w:r w:rsidRPr="00E57455">
        <w:rPr>
          <w:rFonts w:eastAsia="Times New Roman"/>
          <w:b/>
          <w:bCs/>
          <w:szCs w:val="28"/>
          <w:lang w:val="en-GB"/>
        </w:rPr>
        <w:t xml:space="preserve">Seasonally adjusted </w:t>
      </w:r>
      <w:r w:rsidR="00375706" w:rsidRPr="00E57455">
        <w:rPr>
          <w:rFonts w:eastAsia="Times New Roman"/>
          <w:b/>
          <w:bCs/>
          <w:szCs w:val="28"/>
          <w:lang w:val="en-GB"/>
        </w:rPr>
        <w:t>general government sector</w:t>
      </w:r>
      <w:r w:rsidRPr="00E57455">
        <w:rPr>
          <w:rFonts w:eastAsia="Times New Roman"/>
          <w:b/>
          <w:bCs/>
          <w:szCs w:val="28"/>
          <w:lang w:val="en-GB"/>
        </w:rPr>
        <w:t xml:space="preserve"> balance</w:t>
      </w:r>
      <w:r w:rsidR="00375706" w:rsidRPr="00E57455">
        <w:rPr>
          <w:rFonts w:eastAsia="Times New Roman"/>
          <w:b/>
          <w:bCs/>
          <w:szCs w:val="28"/>
          <w:lang w:val="en-GB"/>
        </w:rPr>
        <w:t xml:space="preserve">, </w:t>
      </w:r>
      <w:r w:rsidR="00A20E62" w:rsidRPr="00E57455">
        <w:rPr>
          <w:rFonts w:eastAsia="Times New Roman"/>
          <w:b/>
          <w:bCs/>
          <w:szCs w:val="28"/>
        </w:rPr>
        <w:t>Q4 2020 – Q4 2022</w:t>
      </w:r>
    </w:p>
    <w:p w14:paraId="0F88B273" w14:textId="77777777" w:rsidR="0093302C" w:rsidRPr="00E57455" w:rsidRDefault="0093302C" w:rsidP="0093302C">
      <w:r w:rsidRPr="00E57455">
        <w:rPr>
          <w:noProof/>
          <w:lang w:eastAsia="cs-CZ"/>
        </w:rPr>
        <w:lastRenderedPageBreak/>
        <w:drawing>
          <wp:inline distT="0" distB="0" distL="0" distR="0" wp14:anchorId="0A32B1FC" wp14:editId="55E2B99B">
            <wp:extent cx="5400040" cy="2117090"/>
            <wp:effectExtent l="0" t="0" r="10160" b="1651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73E8DE9" w14:textId="77777777" w:rsidR="00375706" w:rsidRPr="00E57455" w:rsidRDefault="001B3556" w:rsidP="00375706">
      <w:pPr>
        <w:pStyle w:val="Poznmky0"/>
      </w:pPr>
      <w:r w:rsidRPr="00E57455">
        <w:t>Notes</w:t>
      </w:r>
      <w:r w:rsidR="00375706" w:rsidRPr="00E57455">
        <w:t>:</w:t>
      </w:r>
    </w:p>
    <w:p w14:paraId="75D6F5C3" w14:textId="77777777" w:rsidR="00027299" w:rsidRPr="00E57455" w:rsidRDefault="00027299" w:rsidP="00375706">
      <w:pPr>
        <w:rPr>
          <w:rFonts w:cs="Arial"/>
          <w:i/>
          <w:sz w:val="18"/>
          <w:szCs w:val="20"/>
          <w:lang w:val="en-GB"/>
        </w:rPr>
      </w:pPr>
      <w:r w:rsidRPr="00E57455">
        <w:rPr>
          <w:rFonts w:cs="Arial"/>
          <w:i/>
          <w:sz w:val="18"/>
          <w:szCs w:val="20"/>
          <w:lang w:val="en-GB"/>
        </w:rPr>
        <w:t xml:space="preserve">Quantification of fiscal indicators of government deficit and debt mentioned above is based on the ESA2010 methodology. Data published in this news release are methodologically consistent with the data used for the statistics of the excessive deficit procedure (EDP) purposes and for the assessment of how Maastricht convergence criteria are met. </w:t>
      </w:r>
    </w:p>
    <w:p w14:paraId="529F3D0A" w14:textId="77777777" w:rsidR="00027299" w:rsidRPr="00E57455" w:rsidRDefault="00027299" w:rsidP="00375706">
      <w:pPr>
        <w:rPr>
          <w:rFonts w:cs="Arial"/>
          <w:i/>
          <w:sz w:val="18"/>
          <w:szCs w:val="18"/>
          <w:lang w:val="en-GB"/>
        </w:rPr>
      </w:pPr>
    </w:p>
    <w:p w14:paraId="41F58492" w14:textId="77777777" w:rsidR="00881D66" w:rsidRPr="00E57455" w:rsidRDefault="00881D66" w:rsidP="00375706">
      <w:pPr>
        <w:rPr>
          <w:rFonts w:cs="Arial"/>
          <w:i/>
          <w:sz w:val="18"/>
          <w:szCs w:val="18"/>
          <w:lang w:val="en-GB"/>
        </w:rPr>
      </w:pPr>
      <w:r w:rsidRPr="00E57455">
        <w:rPr>
          <w:rFonts w:cs="Arial"/>
          <w:i/>
          <w:sz w:val="18"/>
          <w:szCs w:val="20"/>
          <w:lang w:val="en-GB"/>
        </w:rPr>
        <w:t>The government surplus/deficit is represented by the item B.9 “net borrowing (−) or net lending (+)” in the system of national accounts. It refers to the ability of the general government sector to finance other sectors of the economy (+) or the need of the general government sector to be financed (−) by other sectors of the economy in the given period.</w:t>
      </w:r>
    </w:p>
    <w:p w14:paraId="02EBAA03" w14:textId="77777777" w:rsidR="00203A38" w:rsidRPr="00E57455" w:rsidRDefault="00203A38" w:rsidP="00375706">
      <w:pPr>
        <w:rPr>
          <w:rFonts w:cs="Arial"/>
          <w:i/>
          <w:sz w:val="18"/>
          <w:szCs w:val="18"/>
          <w:lang w:val="en-GB"/>
        </w:rPr>
      </w:pPr>
    </w:p>
    <w:p w14:paraId="25E5E7D1" w14:textId="77777777" w:rsidR="00203A38" w:rsidRPr="00E57455" w:rsidRDefault="00203A38" w:rsidP="00375706">
      <w:pPr>
        <w:rPr>
          <w:rFonts w:cs="Arial"/>
          <w:i/>
          <w:sz w:val="18"/>
          <w:szCs w:val="18"/>
          <w:lang w:val="en-GB"/>
        </w:rPr>
      </w:pPr>
      <w:r w:rsidRPr="00E57455">
        <w:rPr>
          <w:rFonts w:cs="Arial"/>
          <w:i/>
          <w:sz w:val="18"/>
          <w:szCs w:val="20"/>
          <w:lang w:val="en-GB"/>
        </w:rPr>
        <w:t>The general government debt is the amount of consolidated liabilities of the general government sector comprising the following items: received deposits, issued debt securities, and received loans. In case of foreign exchange debt instruments hedged against the currency risk, the value in CZK is obtained by means of the contractual exchange rate.</w:t>
      </w:r>
    </w:p>
    <w:p w14:paraId="7FFB15A4" w14:textId="77777777" w:rsidR="008A5B46" w:rsidRPr="00E57455" w:rsidRDefault="008A5B46" w:rsidP="00375706">
      <w:pPr>
        <w:rPr>
          <w:i/>
          <w:sz w:val="18"/>
          <w:szCs w:val="18"/>
          <w:lang w:val="en-GB"/>
        </w:rPr>
      </w:pPr>
    </w:p>
    <w:p w14:paraId="75F2A414" w14:textId="6804FDB5" w:rsidR="00E57455" w:rsidRPr="00E57455" w:rsidRDefault="008A5B46" w:rsidP="00E57455">
      <w:pPr>
        <w:pStyle w:val="Zkladntext"/>
        <w:spacing w:line="276" w:lineRule="auto"/>
        <w:rPr>
          <w:rStyle w:val="Hypertextovodkaz"/>
          <w:rFonts w:ascii="Arial" w:hAnsi="Arial" w:cs="Arial"/>
          <w:i/>
          <w:color w:val="auto"/>
          <w:sz w:val="18"/>
          <w:szCs w:val="18"/>
          <w:u w:val="none"/>
        </w:rPr>
      </w:pPr>
      <w:r w:rsidRPr="00E57455">
        <w:rPr>
          <w:rFonts w:ascii="Arial" w:hAnsi="Arial" w:cs="Arial"/>
          <w:i/>
          <w:sz w:val="18"/>
          <w:szCs w:val="20"/>
        </w:rPr>
        <w:t xml:space="preserve">The general government sector balance is compared with the amount of the GDP in the given quarter at current prices. The amount of </w:t>
      </w:r>
      <w:r w:rsidR="00F7063E" w:rsidRPr="00E57455">
        <w:rPr>
          <w:rFonts w:ascii="Arial" w:hAnsi="Arial" w:cs="Arial"/>
          <w:i/>
          <w:sz w:val="18"/>
          <w:szCs w:val="20"/>
        </w:rPr>
        <w:t xml:space="preserve">the </w:t>
      </w:r>
      <w:r w:rsidRPr="00E57455">
        <w:rPr>
          <w:rFonts w:ascii="Arial" w:hAnsi="Arial" w:cs="Arial"/>
          <w:i/>
          <w:sz w:val="18"/>
          <w:szCs w:val="20"/>
        </w:rPr>
        <w:t>consolidated general government debt is compared with the sum of quarterly GDP for the last four quarters at current prices. Fiscal indicators of quarterly government deficit and debt are published within the Transmission programme (Table 25 and Table 28) on the website</w:t>
      </w:r>
      <w:r w:rsidR="00E57455" w:rsidRPr="00E57455">
        <w:rPr>
          <w:rFonts w:ascii="Arial" w:hAnsi="Arial" w:cs="Arial"/>
          <w:i/>
          <w:sz w:val="18"/>
          <w:szCs w:val="20"/>
        </w:rPr>
        <w:t xml:space="preserve"> </w:t>
      </w:r>
      <w:hyperlink r:id="rId13" w:history="1">
        <w:r w:rsidR="00E57455" w:rsidRPr="00E57455">
          <w:rPr>
            <w:rStyle w:val="Hypertextovodkaz"/>
            <w:rFonts w:ascii="Arial" w:hAnsi="Arial" w:cs="Arial"/>
            <w:i/>
            <w:sz w:val="18"/>
            <w:szCs w:val="18"/>
          </w:rPr>
          <w:t>General government sector</w:t>
        </w:r>
      </w:hyperlink>
      <w:r w:rsidR="00E57455" w:rsidRPr="00E57455">
        <w:rPr>
          <w:rFonts w:ascii="Arial" w:hAnsi="Arial" w:cs="Arial"/>
          <w:i/>
          <w:sz w:val="18"/>
          <w:szCs w:val="18"/>
        </w:rPr>
        <w:t xml:space="preserve"> in the “GDP, National Accounts” section. Unless otherwise stated, data are not seasonally adjusted as well as they are not adjusted for calendar effects. Time series of seasonally adjusted sector accounts for the government sector (the item of net lending / net borrowing) </w:t>
      </w:r>
      <w:hyperlink r:id="rId14" w:history="1">
        <w:r w:rsidR="00E57455" w:rsidRPr="00E57455">
          <w:rPr>
            <w:rStyle w:val="Hypertextovodkaz"/>
            <w:rFonts w:ascii="Arial" w:hAnsi="Arial" w:cs="Arial"/>
            <w:i/>
            <w:sz w:val="18"/>
            <w:szCs w:val="18"/>
          </w:rPr>
          <w:t>Time series of seasonally adjusted sector accounts for S.13</w:t>
        </w:r>
      </w:hyperlink>
      <w:r w:rsidR="00E57455" w:rsidRPr="00E57455">
        <w:rPr>
          <w:rStyle w:val="Hypertextovodkaz"/>
          <w:rFonts w:ascii="Arial" w:hAnsi="Arial" w:cs="Arial"/>
          <w:i/>
          <w:color w:val="auto"/>
          <w:sz w:val="18"/>
          <w:szCs w:val="18"/>
          <w:u w:val="none"/>
        </w:rPr>
        <w:t>.</w:t>
      </w:r>
    </w:p>
    <w:p w14:paraId="22860A28" w14:textId="77777777" w:rsidR="00E57455" w:rsidRPr="00E57455" w:rsidRDefault="00E57455" w:rsidP="00E57455">
      <w:pPr>
        <w:pStyle w:val="Zkladntext"/>
        <w:spacing w:line="276" w:lineRule="auto"/>
        <w:rPr>
          <w:rFonts w:ascii="Arial" w:hAnsi="Arial" w:cs="Arial"/>
          <w:sz w:val="18"/>
          <w:szCs w:val="18"/>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7"/>
        <w:gridCol w:w="5197"/>
      </w:tblGrid>
      <w:tr w:rsidR="00375706" w:rsidRPr="00E57455" w14:paraId="2F8AFE88" w14:textId="77777777" w:rsidTr="00E57455">
        <w:tc>
          <w:tcPr>
            <w:tcW w:w="3307" w:type="dxa"/>
          </w:tcPr>
          <w:p w14:paraId="5B583878" w14:textId="77777777" w:rsidR="00375706" w:rsidRPr="00E57455" w:rsidRDefault="000E63AD" w:rsidP="00A73435">
            <w:pPr>
              <w:rPr>
                <w:i/>
                <w:iCs/>
                <w:sz w:val="18"/>
                <w:szCs w:val="18"/>
                <w:lang w:val="en-GB"/>
              </w:rPr>
            </w:pPr>
            <w:r w:rsidRPr="00E57455">
              <w:rPr>
                <w:i/>
                <w:iCs/>
                <w:sz w:val="18"/>
                <w:szCs w:val="18"/>
                <w:lang w:val="en-GB"/>
              </w:rPr>
              <w:t>Responsible head at the CZSO</w:t>
            </w:r>
            <w:r w:rsidR="00375706" w:rsidRPr="00E57455">
              <w:rPr>
                <w:i/>
                <w:iCs/>
                <w:sz w:val="18"/>
                <w:szCs w:val="18"/>
                <w:lang w:val="en-GB"/>
              </w:rPr>
              <w:t>:</w:t>
            </w:r>
          </w:p>
        </w:tc>
        <w:tc>
          <w:tcPr>
            <w:tcW w:w="5197" w:type="dxa"/>
          </w:tcPr>
          <w:p w14:paraId="627B4209" w14:textId="77777777" w:rsidR="00375706" w:rsidRPr="00E57455" w:rsidRDefault="000E63AD" w:rsidP="00A73435">
            <w:pPr>
              <w:jc w:val="left"/>
              <w:rPr>
                <w:i/>
                <w:iCs/>
                <w:sz w:val="18"/>
                <w:szCs w:val="18"/>
                <w:lang w:val="en-GB"/>
              </w:rPr>
            </w:pPr>
            <w:r w:rsidRPr="00E57455">
              <w:rPr>
                <w:i/>
                <w:iCs/>
                <w:sz w:val="18"/>
                <w:szCs w:val="18"/>
                <w:lang w:val="en-GB"/>
              </w:rPr>
              <w:t>Helena Houžvičková, Director of the Government and Financial Accounts Department</w:t>
            </w:r>
            <w:r w:rsidR="00375706" w:rsidRPr="00E57455">
              <w:rPr>
                <w:i/>
                <w:iCs/>
                <w:sz w:val="18"/>
                <w:szCs w:val="18"/>
                <w:lang w:val="en-GB"/>
              </w:rPr>
              <w:t xml:space="preserve">, </w:t>
            </w:r>
          </w:p>
          <w:p w14:paraId="2DA1496F" w14:textId="77777777" w:rsidR="002B61F7" w:rsidRPr="00E57455" w:rsidRDefault="002B61F7" w:rsidP="002B61F7">
            <w:pPr>
              <w:rPr>
                <w:i/>
                <w:iCs/>
                <w:sz w:val="18"/>
                <w:szCs w:val="18"/>
                <w:lang w:val="en-GB"/>
              </w:rPr>
            </w:pPr>
            <w:r w:rsidRPr="00E57455">
              <w:rPr>
                <w:i/>
                <w:iCs/>
                <w:sz w:val="18"/>
                <w:szCs w:val="18"/>
                <w:lang w:val="en-GB"/>
              </w:rPr>
              <w:t xml:space="preserve">phone number: (+420) 704 688 734, </w:t>
            </w:r>
          </w:p>
          <w:p w14:paraId="1F8AEBF6" w14:textId="77777777" w:rsidR="00375706" w:rsidRPr="00E57455" w:rsidRDefault="002B61F7" w:rsidP="002B61F7">
            <w:pPr>
              <w:jc w:val="left"/>
              <w:rPr>
                <w:i/>
                <w:iCs/>
                <w:sz w:val="18"/>
                <w:szCs w:val="18"/>
                <w:lang w:val="en-GB"/>
              </w:rPr>
            </w:pPr>
            <w:r w:rsidRPr="00E57455">
              <w:rPr>
                <w:i/>
                <w:iCs/>
                <w:sz w:val="18"/>
                <w:szCs w:val="18"/>
                <w:lang w:val="en-GB"/>
              </w:rPr>
              <w:t xml:space="preserve">e-mail: </w:t>
            </w:r>
            <w:hyperlink r:id="rId15" w:history="1">
              <w:r w:rsidRPr="00E57455">
                <w:rPr>
                  <w:rStyle w:val="Hypertextovodkaz"/>
                  <w:sz w:val="18"/>
                  <w:lang w:val="en-GB"/>
                </w:rPr>
                <w:t>helena.houzvickova@czso.cz</w:t>
              </w:r>
            </w:hyperlink>
            <w:r w:rsidR="00375706" w:rsidRPr="00E57455">
              <w:rPr>
                <w:sz w:val="18"/>
                <w:lang w:val="en-GB"/>
              </w:rPr>
              <w:t xml:space="preserve"> </w:t>
            </w:r>
          </w:p>
        </w:tc>
      </w:tr>
      <w:tr w:rsidR="00375706" w:rsidRPr="00E57455" w14:paraId="24BA1291" w14:textId="77777777" w:rsidTr="00E57455">
        <w:tc>
          <w:tcPr>
            <w:tcW w:w="3307" w:type="dxa"/>
          </w:tcPr>
          <w:p w14:paraId="025369CC" w14:textId="77777777" w:rsidR="00375706" w:rsidRPr="00E57455" w:rsidRDefault="00A555BD" w:rsidP="00A73435">
            <w:pPr>
              <w:rPr>
                <w:i/>
                <w:iCs/>
                <w:sz w:val="18"/>
                <w:szCs w:val="18"/>
                <w:lang w:val="en-GB"/>
              </w:rPr>
            </w:pPr>
            <w:r w:rsidRPr="00E57455">
              <w:rPr>
                <w:i/>
                <w:iCs/>
                <w:sz w:val="18"/>
                <w:szCs w:val="18"/>
                <w:lang w:val="en-GB"/>
              </w:rPr>
              <w:t>Contact person</w:t>
            </w:r>
            <w:r w:rsidR="00375706" w:rsidRPr="00E57455">
              <w:rPr>
                <w:i/>
                <w:iCs/>
                <w:sz w:val="18"/>
                <w:szCs w:val="18"/>
                <w:lang w:val="en-GB"/>
              </w:rPr>
              <w:t>:</w:t>
            </w:r>
          </w:p>
        </w:tc>
        <w:tc>
          <w:tcPr>
            <w:tcW w:w="5197" w:type="dxa"/>
          </w:tcPr>
          <w:p w14:paraId="550E6809" w14:textId="77777777" w:rsidR="00375706" w:rsidRPr="00E57455" w:rsidRDefault="00A555BD" w:rsidP="00A73435">
            <w:pPr>
              <w:jc w:val="left"/>
              <w:rPr>
                <w:i/>
                <w:iCs/>
                <w:sz w:val="18"/>
                <w:szCs w:val="18"/>
                <w:lang w:val="en-GB"/>
              </w:rPr>
            </w:pPr>
            <w:r w:rsidRPr="00E57455">
              <w:rPr>
                <w:i/>
                <w:iCs/>
                <w:sz w:val="18"/>
                <w:szCs w:val="18"/>
                <w:lang w:val="en-GB"/>
              </w:rPr>
              <w:t xml:space="preserve">Jaroslav Kahoun, Head of the Government Accounts Unit, phone number: (+420) 274 054 232, e-mail: </w:t>
            </w:r>
            <w:hyperlink r:id="rId16" w:history="1">
              <w:r w:rsidRPr="00E57455">
                <w:rPr>
                  <w:rStyle w:val="Hypertextovodkaz"/>
                  <w:sz w:val="18"/>
                  <w:lang w:val="en-GB"/>
                </w:rPr>
                <w:t>jaroslav.kahoun@czso.cz</w:t>
              </w:r>
            </w:hyperlink>
            <w:r w:rsidR="00375706" w:rsidRPr="00E57455">
              <w:rPr>
                <w:sz w:val="18"/>
                <w:lang w:val="en-GB"/>
              </w:rPr>
              <w:t xml:space="preserve"> </w:t>
            </w:r>
          </w:p>
        </w:tc>
      </w:tr>
      <w:tr w:rsidR="00375706" w:rsidRPr="00A555BD" w14:paraId="10DE154E" w14:textId="77777777" w:rsidTr="00E57455">
        <w:tc>
          <w:tcPr>
            <w:tcW w:w="3307" w:type="dxa"/>
          </w:tcPr>
          <w:p w14:paraId="1167015F" w14:textId="77777777" w:rsidR="00375706" w:rsidRPr="00E57455" w:rsidRDefault="00A555BD" w:rsidP="00A73435">
            <w:pPr>
              <w:rPr>
                <w:i/>
                <w:iCs/>
                <w:sz w:val="18"/>
                <w:szCs w:val="18"/>
                <w:lang w:val="en-GB"/>
              </w:rPr>
            </w:pPr>
            <w:r w:rsidRPr="00E57455">
              <w:rPr>
                <w:i/>
                <w:iCs/>
                <w:sz w:val="18"/>
                <w:szCs w:val="18"/>
                <w:lang w:val="en-GB"/>
              </w:rPr>
              <w:lastRenderedPageBreak/>
              <w:t>The Next News Release will be published on</w:t>
            </w:r>
            <w:r w:rsidR="00375706" w:rsidRPr="00E57455">
              <w:rPr>
                <w:i/>
                <w:iCs/>
                <w:sz w:val="18"/>
                <w:szCs w:val="18"/>
                <w:lang w:val="en-GB"/>
              </w:rPr>
              <w:t>:</w:t>
            </w:r>
          </w:p>
        </w:tc>
        <w:tc>
          <w:tcPr>
            <w:tcW w:w="5197" w:type="dxa"/>
          </w:tcPr>
          <w:p w14:paraId="37AC51EF" w14:textId="77777777" w:rsidR="00375706" w:rsidRPr="00E57455" w:rsidRDefault="00375706" w:rsidP="00A555BD">
            <w:pPr>
              <w:rPr>
                <w:i/>
                <w:iCs/>
                <w:sz w:val="18"/>
                <w:szCs w:val="18"/>
                <w:lang w:val="en-GB"/>
              </w:rPr>
            </w:pPr>
          </w:p>
          <w:p w14:paraId="68D00F0B" w14:textId="1958A173" w:rsidR="00A555BD" w:rsidRPr="00A555BD" w:rsidRDefault="00C808CC" w:rsidP="00A555BD">
            <w:pPr>
              <w:rPr>
                <w:i/>
                <w:iCs/>
                <w:sz w:val="18"/>
                <w:szCs w:val="18"/>
                <w:lang w:val="en-GB"/>
              </w:rPr>
            </w:pPr>
            <w:r w:rsidRPr="00E57455">
              <w:rPr>
                <w:i/>
                <w:iCs/>
                <w:sz w:val="18"/>
                <w:szCs w:val="18"/>
                <w:lang w:val="en-GB"/>
              </w:rPr>
              <w:t>3 July 2023</w:t>
            </w:r>
          </w:p>
        </w:tc>
      </w:tr>
    </w:tbl>
    <w:p w14:paraId="32E411ED" w14:textId="77777777" w:rsidR="00375706" w:rsidRPr="00A555BD" w:rsidRDefault="00375706" w:rsidP="00375706">
      <w:pPr>
        <w:rPr>
          <w:i/>
          <w:iCs/>
          <w:sz w:val="18"/>
          <w:szCs w:val="18"/>
          <w:lang w:val="en-GB"/>
        </w:rPr>
      </w:pPr>
    </w:p>
    <w:p w14:paraId="72907A99" w14:textId="77777777" w:rsidR="00375706" w:rsidRPr="00A555BD" w:rsidRDefault="00375706" w:rsidP="00A555BD">
      <w:pPr>
        <w:tabs>
          <w:tab w:val="left" w:pos="3402"/>
        </w:tabs>
        <w:rPr>
          <w:lang w:val="en-GB"/>
        </w:rPr>
      </w:pPr>
    </w:p>
    <w:p w14:paraId="2BBC470E" w14:textId="77777777" w:rsidR="00D209A7" w:rsidRPr="00A555BD" w:rsidRDefault="00D209A7" w:rsidP="00375706">
      <w:pPr>
        <w:rPr>
          <w:lang w:val="en-GB"/>
        </w:rPr>
      </w:pPr>
    </w:p>
    <w:sectPr w:rsidR="00D209A7" w:rsidRPr="00A555BD" w:rsidSect="00405244">
      <w:headerReference w:type="default" r:id="rId17"/>
      <w:footerReference w:type="default" r:id="rId18"/>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D41AE" w14:textId="77777777" w:rsidR="00F51BF4" w:rsidRDefault="00F51BF4" w:rsidP="00BA6370">
      <w:r>
        <w:separator/>
      </w:r>
    </w:p>
  </w:endnote>
  <w:endnote w:type="continuationSeparator" w:id="0">
    <w:p w14:paraId="143AB1B5" w14:textId="77777777" w:rsidR="00F51BF4" w:rsidRDefault="00F51BF4"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14B3A" w14:textId="77777777" w:rsidR="003D0499" w:rsidRDefault="00F37EB6">
    <w:pPr>
      <w:pStyle w:val="Zpat"/>
    </w:pPr>
    <w:r>
      <w:rPr>
        <w:noProof/>
        <w:lang w:val="cs-CZ" w:eastAsia="cs-CZ"/>
      </w:rPr>
      <mc:AlternateContent>
        <mc:Choice Requires="wps">
          <w:drawing>
            <wp:anchor distT="0" distB="0" distL="114300" distR="114300" simplePos="0" relativeHeight="251657728" behindDoc="0" locked="0" layoutInCell="1" allowOverlap="1" wp14:anchorId="3AE76078" wp14:editId="596CB056">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614330FA" w14:textId="77777777" w:rsidR="00380178" w:rsidRPr="00D52A09" w:rsidRDefault="00380178"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14:paraId="69BAE23A" w14:textId="77777777" w:rsidR="00380178" w:rsidRDefault="00380178"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14:paraId="4185AB21" w14:textId="77777777" w:rsidR="00380178" w:rsidRPr="00D52A09" w:rsidRDefault="00380178"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hyperlink r:id="rId1" w:history="1">
                            <w:r w:rsidR="00784615" w:rsidRPr="00953416">
                              <w:rPr>
                                <w:rStyle w:val="Hypertextovodkaz"/>
                                <w:rFonts w:cs="Arial"/>
                                <w:b/>
                                <w:color w:val="0071BC"/>
                                <w:sz w:val="15"/>
                                <w:szCs w:val="15"/>
                              </w:rPr>
                              <w:t>www.czso.cz</w:t>
                            </w:r>
                          </w:hyperlink>
                        </w:p>
                        <w:p w14:paraId="4002E595" w14:textId="1E87651D" w:rsidR="00380178" w:rsidRPr="000172E7" w:rsidRDefault="00380178" w:rsidP="00380178">
                          <w:pPr>
                            <w:tabs>
                              <w:tab w:val="right" w:pos="8505"/>
                            </w:tabs>
                            <w:spacing w:line="220" w:lineRule="atLeast"/>
                            <w:rPr>
                              <w:rFonts w:cs="Arial"/>
                            </w:rPr>
                          </w:pPr>
                          <w:r w:rsidRPr="00D52A09">
                            <w:rPr>
                              <w:rFonts w:cs="Arial"/>
                              <w:sz w:val="15"/>
                              <w:szCs w:val="15"/>
                            </w:rPr>
                            <w:t xml:space="preserve">tel: +420 </w:t>
                          </w:r>
                          <w:r w:rsidR="000B6773"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2" w:history="1">
                            <w:r w:rsidRPr="00953416">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DD29ED">
                            <w:rPr>
                              <w:rFonts w:cs="Arial"/>
                              <w:noProof/>
                              <w:szCs w:val="15"/>
                            </w:rPr>
                            <w:t>2</w:t>
                          </w:r>
                          <w:r w:rsidR="00123849"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E76078"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614330FA" w14:textId="77777777" w:rsidR="00380178" w:rsidRPr="00D52A09" w:rsidRDefault="00380178"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14:paraId="69BAE23A" w14:textId="77777777" w:rsidR="00380178" w:rsidRDefault="00380178"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14:paraId="4185AB21" w14:textId="77777777" w:rsidR="00380178" w:rsidRPr="00D52A09" w:rsidRDefault="00380178"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hyperlink r:id="rId3" w:history="1">
                      <w:r w:rsidR="00784615" w:rsidRPr="00953416">
                        <w:rPr>
                          <w:rStyle w:val="Hypertextovodkaz"/>
                          <w:rFonts w:cs="Arial"/>
                          <w:b/>
                          <w:color w:val="0071BC"/>
                          <w:sz w:val="15"/>
                          <w:szCs w:val="15"/>
                        </w:rPr>
                        <w:t>www.czso.cz</w:t>
                      </w:r>
                    </w:hyperlink>
                  </w:p>
                  <w:p w14:paraId="4002E595" w14:textId="1E87651D" w:rsidR="00380178" w:rsidRPr="000172E7" w:rsidRDefault="00380178" w:rsidP="00380178">
                    <w:pPr>
                      <w:tabs>
                        <w:tab w:val="right" w:pos="8505"/>
                      </w:tabs>
                      <w:spacing w:line="220" w:lineRule="atLeast"/>
                      <w:rPr>
                        <w:rFonts w:cs="Arial"/>
                      </w:rPr>
                    </w:pPr>
                    <w:r w:rsidRPr="00D52A09">
                      <w:rPr>
                        <w:rFonts w:cs="Arial"/>
                        <w:sz w:val="15"/>
                        <w:szCs w:val="15"/>
                      </w:rPr>
                      <w:t xml:space="preserve">tel: +420 </w:t>
                    </w:r>
                    <w:r w:rsidR="000B6773"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4" w:history="1">
                      <w:r w:rsidRPr="00953416">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DD29ED">
                      <w:rPr>
                        <w:rFonts w:cs="Arial"/>
                        <w:noProof/>
                        <w:szCs w:val="15"/>
                      </w:rPr>
                      <w:t>2</w:t>
                    </w:r>
                    <w:r w:rsidR="00123849"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39B5BDCA" wp14:editId="0C3ED377">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298CB08"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1B71F" w14:textId="77777777" w:rsidR="00F51BF4" w:rsidRDefault="00F51BF4" w:rsidP="00BA6370">
      <w:r>
        <w:separator/>
      </w:r>
    </w:p>
  </w:footnote>
  <w:footnote w:type="continuationSeparator" w:id="0">
    <w:p w14:paraId="55377865" w14:textId="77777777" w:rsidR="00F51BF4" w:rsidRDefault="00F51BF4"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5FABD" w14:textId="77777777" w:rsidR="003D0499" w:rsidRDefault="00F37EB6">
    <w:pPr>
      <w:pStyle w:val="Zhlav"/>
    </w:pPr>
    <w:r>
      <w:rPr>
        <w:noProof/>
        <w:lang w:val="cs-CZ" w:eastAsia="cs-CZ"/>
      </w:rPr>
      <mc:AlternateContent>
        <mc:Choice Requires="wpg">
          <w:drawing>
            <wp:anchor distT="0" distB="0" distL="114300" distR="114300" simplePos="0" relativeHeight="251658752" behindDoc="0" locked="0" layoutInCell="1" allowOverlap="1" wp14:anchorId="103B3607" wp14:editId="4A946B5B">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A0CCA5"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6145">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EB6"/>
    <w:rsid w:val="00002F63"/>
    <w:rsid w:val="000221A2"/>
    <w:rsid w:val="00027299"/>
    <w:rsid w:val="00043BF4"/>
    <w:rsid w:val="00064652"/>
    <w:rsid w:val="00076550"/>
    <w:rsid w:val="00080DCF"/>
    <w:rsid w:val="000843A5"/>
    <w:rsid w:val="00091722"/>
    <w:rsid w:val="00093C21"/>
    <w:rsid w:val="000A202E"/>
    <w:rsid w:val="000B6773"/>
    <w:rsid w:val="000B6F63"/>
    <w:rsid w:val="000C6820"/>
    <w:rsid w:val="000D3040"/>
    <w:rsid w:val="000D41B9"/>
    <w:rsid w:val="000E63AD"/>
    <w:rsid w:val="000F186D"/>
    <w:rsid w:val="001102C2"/>
    <w:rsid w:val="00116ED1"/>
    <w:rsid w:val="00123849"/>
    <w:rsid w:val="00131F3C"/>
    <w:rsid w:val="0013242C"/>
    <w:rsid w:val="001404AB"/>
    <w:rsid w:val="001427B6"/>
    <w:rsid w:val="001559F8"/>
    <w:rsid w:val="0017231D"/>
    <w:rsid w:val="00172F4E"/>
    <w:rsid w:val="00176E26"/>
    <w:rsid w:val="0018061F"/>
    <w:rsid w:val="001810DC"/>
    <w:rsid w:val="001A16E8"/>
    <w:rsid w:val="001B3556"/>
    <w:rsid w:val="001B607F"/>
    <w:rsid w:val="001C71FD"/>
    <w:rsid w:val="001D0252"/>
    <w:rsid w:val="001D369A"/>
    <w:rsid w:val="001E3F6A"/>
    <w:rsid w:val="001F08B3"/>
    <w:rsid w:val="00203A38"/>
    <w:rsid w:val="002070FB"/>
    <w:rsid w:val="00213729"/>
    <w:rsid w:val="00214E92"/>
    <w:rsid w:val="002406FA"/>
    <w:rsid w:val="00297900"/>
    <w:rsid w:val="002B2A19"/>
    <w:rsid w:val="002B2E47"/>
    <w:rsid w:val="002B4414"/>
    <w:rsid w:val="002B61F7"/>
    <w:rsid w:val="002C29D6"/>
    <w:rsid w:val="002D37F5"/>
    <w:rsid w:val="002E65F2"/>
    <w:rsid w:val="002E7717"/>
    <w:rsid w:val="002F0E22"/>
    <w:rsid w:val="0030264F"/>
    <w:rsid w:val="00304C19"/>
    <w:rsid w:val="0032398D"/>
    <w:rsid w:val="003301A3"/>
    <w:rsid w:val="00330AFB"/>
    <w:rsid w:val="00346F51"/>
    <w:rsid w:val="00357CA7"/>
    <w:rsid w:val="0036777B"/>
    <w:rsid w:val="00375706"/>
    <w:rsid w:val="00380178"/>
    <w:rsid w:val="0038282A"/>
    <w:rsid w:val="00397580"/>
    <w:rsid w:val="003A016E"/>
    <w:rsid w:val="003A45C8"/>
    <w:rsid w:val="003B7F42"/>
    <w:rsid w:val="003C2DCF"/>
    <w:rsid w:val="003C3372"/>
    <w:rsid w:val="003C7FE7"/>
    <w:rsid w:val="003D0499"/>
    <w:rsid w:val="003D3576"/>
    <w:rsid w:val="003E1495"/>
    <w:rsid w:val="003F526A"/>
    <w:rsid w:val="00405244"/>
    <w:rsid w:val="00436D82"/>
    <w:rsid w:val="004436EE"/>
    <w:rsid w:val="0045547F"/>
    <w:rsid w:val="00456304"/>
    <w:rsid w:val="004920AD"/>
    <w:rsid w:val="004D05B3"/>
    <w:rsid w:val="004E479E"/>
    <w:rsid w:val="004F78E6"/>
    <w:rsid w:val="00512D99"/>
    <w:rsid w:val="00531DBB"/>
    <w:rsid w:val="00554994"/>
    <w:rsid w:val="00561255"/>
    <w:rsid w:val="00564213"/>
    <w:rsid w:val="0057581B"/>
    <w:rsid w:val="005A3541"/>
    <w:rsid w:val="005C20AA"/>
    <w:rsid w:val="005C231F"/>
    <w:rsid w:val="005D4F5B"/>
    <w:rsid w:val="005F79FB"/>
    <w:rsid w:val="00604406"/>
    <w:rsid w:val="00605F4A"/>
    <w:rsid w:val="00607822"/>
    <w:rsid w:val="006103AA"/>
    <w:rsid w:val="00613BBF"/>
    <w:rsid w:val="00622B80"/>
    <w:rsid w:val="00637951"/>
    <w:rsid w:val="0064139A"/>
    <w:rsid w:val="00646DF0"/>
    <w:rsid w:val="0066063E"/>
    <w:rsid w:val="00696EAD"/>
    <w:rsid w:val="00697CC4"/>
    <w:rsid w:val="006B271C"/>
    <w:rsid w:val="006C4774"/>
    <w:rsid w:val="006D5C60"/>
    <w:rsid w:val="006E024F"/>
    <w:rsid w:val="006E4E81"/>
    <w:rsid w:val="00707F7D"/>
    <w:rsid w:val="00717EC5"/>
    <w:rsid w:val="00755D8B"/>
    <w:rsid w:val="00763787"/>
    <w:rsid w:val="00771B04"/>
    <w:rsid w:val="00783A3B"/>
    <w:rsid w:val="00784615"/>
    <w:rsid w:val="00785441"/>
    <w:rsid w:val="00793D5F"/>
    <w:rsid w:val="007967D7"/>
    <w:rsid w:val="007A0CA5"/>
    <w:rsid w:val="007A57F2"/>
    <w:rsid w:val="007B1333"/>
    <w:rsid w:val="007B296D"/>
    <w:rsid w:val="007F4AEB"/>
    <w:rsid w:val="007F75B2"/>
    <w:rsid w:val="008043C4"/>
    <w:rsid w:val="00831B1B"/>
    <w:rsid w:val="00855FB3"/>
    <w:rsid w:val="00861D0E"/>
    <w:rsid w:val="00866325"/>
    <w:rsid w:val="00867569"/>
    <w:rsid w:val="0087438C"/>
    <w:rsid w:val="00881D66"/>
    <w:rsid w:val="00884090"/>
    <w:rsid w:val="00885C0D"/>
    <w:rsid w:val="008911AA"/>
    <w:rsid w:val="0089708D"/>
    <w:rsid w:val="008A5B46"/>
    <w:rsid w:val="008A750A"/>
    <w:rsid w:val="008B3970"/>
    <w:rsid w:val="008C384C"/>
    <w:rsid w:val="008C4770"/>
    <w:rsid w:val="008D0F11"/>
    <w:rsid w:val="008E1D32"/>
    <w:rsid w:val="008F73B4"/>
    <w:rsid w:val="009035E8"/>
    <w:rsid w:val="00917954"/>
    <w:rsid w:val="0093302C"/>
    <w:rsid w:val="00943F6C"/>
    <w:rsid w:val="00953416"/>
    <w:rsid w:val="00971374"/>
    <w:rsid w:val="00971D4C"/>
    <w:rsid w:val="00982D15"/>
    <w:rsid w:val="00987912"/>
    <w:rsid w:val="0099333B"/>
    <w:rsid w:val="00996918"/>
    <w:rsid w:val="009B3855"/>
    <w:rsid w:val="009B55B1"/>
    <w:rsid w:val="009C29D4"/>
    <w:rsid w:val="009C4D55"/>
    <w:rsid w:val="009E39C5"/>
    <w:rsid w:val="00A07BA7"/>
    <w:rsid w:val="00A17409"/>
    <w:rsid w:val="00A20E62"/>
    <w:rsid w:val="00A2779E"/>
    <w:rsid w:val="00A363C4"/>
    <w:rsid w:val="00A4343D"/>
    <w:rsid w:val="00A502F1"/>
    <w:rsid w:val="00A555BD"/>
    <w:rsid w:val="00A70377"/>
    <w:rsid w:val="00A70A83"/>
    <w:rsid w:val="00A73EFB"/>
    <w:rsid w:val="00A74374"/>
    <w:rsid w:val="00A81EB3"/>
    <w:rsid w:val="00A85374"/>
    <w:rsid w:val="00AA73AF"/>
    <w:rsid w:val="00AB6196"/>
    <w:rsid w:val="00AC3140"/>
    <w:rsid w:val="00B00C1D"/>
    <w:rsid w:val="00B05DBF"/>
    <w:rsid w:val="00B13FAD"/>
    <w:rsid w:val="00B522E8"/>
    <w:rsid w:val="00B632CC"/>
    <w:rsid w:val="00B81ADE"/>
    <w:rsid w:val="00B926FB"/>
    <w:rsid w:val="00BA12F1"/>
    <w:rsid w:val="00BA439F"/>
    <w:rsid w:val="00BA6370"/>
    <w:rsid w:val="00BD05C3"/>
    <w:rsid w:val="00BE29B9"/>
    <w:rsid w:val="00BE3F5B"/>
    <w:rsid w:val="00BE6592"/>
    <w:rsid w:val="00BF39E9"/>
    <w:rsid w:val="00C269D4"/>
    <w:rsid w:val="00C4160D"/>
    <w:rsid w:val="00C41D02"/>
    <w:rsid w:val="00C54AF1"/>
    <w:rsid w:val="00C808CC"/>
    <w:rsid w:val="00C8406E"/>
    <w:rsid w:val="00CB2709"/>
    <w:rsid w:val="00CB6F89"/>
    <w:rsid w:val="00CC37EB"/>
    <w:rsid w:val="00CD47EB"/>
    <w:rsid w:val="00CE228C"/>
    <w:rsid w:val="00CE71D9"/>
    <w:rsid w:val="00CF545B"/>
    <w:rsid w:val="00CF7302"/>
    <w:rsid w:val="00D079D2"/>
    <w:rsid w:val="00D209A7"/>
    <w:rsid w:val="00D27D69"/>
    <w:rsid w:val="00D448C2"/>
    <w:rsid w:val="00D54C02"/>
    <w:rsid w:val="00D63731"/>
    <w:rsid w:val="00D666C3"/>
    <w:rsid w:val="00D708BE"/>
    <w:rsid w:val="00D74CD1"/>
    <w:rsid w:val="00D811AB"/>
    <w:rsid w:val="00D97DD8"/>
    <w:rsid w:val="00DD29ED"/>
    <w:rsid w:val="00DF47FE"/>
    <w:rsid w:val="00DF5C2B"/>
    <w:rsid w:val="00E0156A"/>
    <w:rsid w:val="00E050EB"/>
    <w:rsid w:val="00E1630A"/>
    <w:rsid w:val="00E26704"/>
    <w:rsid w:val="00E31980"/>
    <w:rsid w:val="00E50D90"/>
    <w:rsid w:val="00E55CE2"/>
    <w:rsid w:val="00E57455"/>
    <w:rsid w:val="00E6423C"/>
    <w:rsid w:val="00E71483"/>
    <w:rsid w:val="00E93830"/>
    <w:rsid w:val="00E93E0E"/>
    <w:rsid w:val="00EB1A25"/>
    <w:rsid w:val="00EB1ED3"/>
    <w:rsid w:val="00ED095B"/>
    <w:rsid w:val="00ED27B7"/>
    <w:rsid w:val="00EE26DF"/>
    <w:rsid w:val="00EE70B7"/>
    <w:rsid w:val="00EF3023"/>
    <w:rsid w:val="00F179E6"/>
    <w:rsid w:val="00F314B7"/>
    <w:rsid w:val="00F37EB6"/>
    <w:rsid w:val="00F51BF4"/>
    <w:rsid w:val="00F7063E"/>
    <w:rsid w:val="00F83C49"/>
    <w:rsid w:val="00F94CDB"/>
    <w:rsid w:val="00FB2E96"/>
    <w:rsid w:val="00FB687C"/>
    <w:rsid w:val="00FE114D"/>
    <w:rsid w:val="00FE3782"/>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0071bc"/>
    </o:shapedefaults>
    <o:shapelayout v:ext="edit">
      <o:idmap v:ext="edit" data="1"/>
    </o:shapelayout>
  </w:shapeDefaults>
  <w:decimalSymbol w:val=","/>
  <w:listSeparator w:val=";"/>
  <w14:docId w14:val="6E783739"/>
  <w15:docId w15:val="{05E333AF-0FF6-40DB-B320-F3E5AD53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375706"/>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rPr>
      <w:lang w:val="en-GB"/>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rPr>
      <w:lang w:val="en-GB"/>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val="en-GB"/>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table" w:styleId="Mkatabulky">
    <w:name w:val="Table Grid"/>
    <w:basedOn w:val="Normlntabulka"/>
    <w:uiPriority w:val="59"/>
    <w:rsid w:val="0037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8A5B46"/>
    <w:pPr>
      <w:spacing w:line="240" w:lineRule="auto"/>
    </w:pPr>
    <w:rPr>
      <w:rFonts w:ascii="Times New Roman" w:eastAsia="Times New Roman" w:hAnsi="Times New Roman"/>
      <w:sz w:val="24"/>
      <w:szCs w:val="24"/>
      <w:lang w:val="en-GB"/>
    </w:rPr>
  </w:style>
  <w:style w:type="character" w:customStyle="1" w:styleId="ZkladntextChar">
    <w:name w:val="Základní text Char"/>
    <w:basedOn w:val="Standardnpsmoodstavce"/>
    <w:link w:val="Zkladntext"/>
    <w:rsid w:val="008A5B46"/>
    <w:rPr>
      <w:rFonts w:ascii="Times New Roman" w:eastAsia="Times New Roman" w:hAnsi="Times New Roman"/>
      <w:sz w:val="24"/>
      <w:szCs w:val="24"/>
      <w:lang w:val="en-GB" w:eastAsia="en-US"/>
    </w:rPr>
  </w:style>
  <w:style w:type="character" w:styleId="Sledovanodkaz">
    <w:name w:val="FollowedHyperlink"/>
    <w:basedOn w:val="Standardnpsmoodstavce"/>
    <w:uiPriority w:val="99"/>
    <w:semiHidden/>
    <w:unhideWhenUsed/>
    <w:rsid w:val="00DF5C2B"/>
    <w:rPr>
      <w:color w:val="800080" w:themeColor="followedHyperlink"/>
      <w:u w:val="single"/>
    </w:rPr>
  </w:style>
  <w:style w:type="character" w:styleId="Odkaznakoment">
    <w:name w:val="annotation reference"/>
    <w:basedOn w:val="Standardnpsmoodstavce"/>
    <w:uiPriority w:val="99"/>
    <w:semiHidden/>
    <w:unhideWhenUsed/>
    <w:rsid w:val="00346F51"/>
    <w:rPr>
      <w:sz w:val="16"/>
      <w:szCs w:val="16"/>
    </w:rPr>
  </w:style>
  <w:style w:type="paragraph" w:styleId="Textkomente">
    <w:name w:val="annotation text"/>
    <w:basedOn w:val="Normln"/>
    <w:link w:val="TextkomenteChar"/>
    <w:uiPriority w:val="99"/>
    <w:semiHidden/>
    <w:unhideWhenUsed/>
    <w:rsid w:val="00346F51"/>
    <w:pPr>
      <w:spacing w:line="240" w:lineRule="auto"/>
    </w:pPr>
    <w:rPr>
      <w:szCs w:val="20"/>
    </w:rPr>
  </w:style>
  <w:style w:type="character" w:customStyle="1" w:styleId="TextkomenteChar">
    <w:name w:val="Text komentáře Char"/>
    <w:basedOn w:val="Standardnpsmoodstavce"/>
    <w:link w:val="Textkomente"/>
    <w:uiPriority w:val="99"/>
    <w:semiHidden/>
    <w:rsid w:val="00346F51"/>
    <w:rPr>
      <w:rFonts w:ascii="Arial" w:hAnsi="Arial"/>
      <w:lang w:eastAsia="en-US"/>
    </w:rPr>
  </w:style>
  <w:style w:type="paragraph" w:styleId="Pedmtkomente">
    <w:name w:val="annotation subject"/>
    <w:basedOn w:val="Textkomente"/>
    <w:next w:val="Textkomente"/>
    <w:link w:val="PedmtkomenteChar"/>
    <w:uiPriority w:val="99"/>
    <w:semiHidden/>
    <w:unhideWhenUsed/>
    <w:rsid w:val="00346F51"/>
    <w:rPr>
      <w:b/>
      <w:bCs/>
    </w:rPr>
  </w:style>
  <w:style w:type="character" w:customStyle="1" w:styleId="PedmtkomenteChar">
    <w:name w:val="Předmět komentáře Char"/>
    <w:basedOn w:val="TextkomenteChar"/>
    <w:link w:val="Pedmtkomente"/>
    <w:uiPriority w:val="99"/>
    <w:semiHidden/>
    <w:rsid w:val="00346F51"/>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l.czso.cz/pll/rocenka/rocenka.indexnu_gov?mylang=E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aroslav.kahoun@czso.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openxmlformats.org/officeDocument/2006/relationships/styles" Target="styles.xml"/><Relationship Id="rId15" Type="http://schemas.openxmlformats.org/officeDocument/2006/relationships/hyperlink" Target="mailto:helena.houzvickova@czso.cz" TargetMode="Externa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apl.czso.cz/pll/rocenka/rocenkavyber.kvart_qsa?mylang=EN&amp;oblast=@RU"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ousova9707\AppData\Local\Temp\Rychl&#225;%20informace%20ENG_2022-02-0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ABFS3\BARANNU\nu\vl&#225;da\RYCHL&#193;%20INFORMACE%20-%20Q%20deficit%20a%20dluh\DATA\4Q2022.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ABFS3\BARANNU\nu\vl&#225;da\RYCHL&#193;%20INFORMACE%20-%20Q%20deficit%20a%20dluh\DATA\4Q2022.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ABFS3\BARANNU\nu\vl&#225;da\RYCHL&#193;%20INFORMACE%20-%20Q%20deficit%20a%20dluh\DATA\4Q202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533573928258968"/>
          <c:y val="5.1400554097404488E-2"/>
          <c:w val="0.79323140857392815"/>
          <c:h val="0.66924941673957428"/>
        </c:manualLayout>
      </c:layout>
      <c:barChart>
        <c:barDir val="col"/>
        <c:grouping val="clustered"/>
        <c:varyColors val="0"/>
        <c:ser>
          <c:idx val="0"/>
          <c:order val="0"/>
          <c:tx>
            <c:strRef>
              <c:f>graf_EN1!$B$3</c:f>
              <c:strCache>
                <c:ptCount val="1"/>
                <c:pt idx="0">
                  <c:v>CZK bn</c:v>
                </c:pt>
              </c:strCache>
            </c:strRef>
          </c:tx>
          <c:spPr>
            <a:solidFill>
              <a:srgbClr val="0066CC"/>
            </a:solidFill>
          </c:spPr>
          <c:invertIfNegative val="0"/>
          <c:dLbls>
            <c:numFmt formatCode="#,##0.0" sourceLinked="0"/>
            <c:spPr>
              <a:noFill/>
              <a:ln>
                <a:noFill/>
              </a:ln>
              <a:effectLst/>
            </c:spPr>
            <c:txPr>
              <a:bodyPr rot="-5400000" vert="horz" wrap="square" lIns="38100" tIns="19050" rIns="38100" bIns="19050" anchor="ctr">
                <a:spAutoFit/>
              </a:bodyPr>
              <a:lstStyle/>
              <a:p>
                <a:pPr>
                  <a:defRPr>
                    <a:solidFill>
                      <a:schemeClr val="bg1"/>
                    </a:solidFill>
                  </a:defRPr>
                </a:pPr>
                <a:endParaRPr lang="cs-CZ"/>
              </a:p>
            </c:txPr>
            <c:dLblPos val="inBase"/>
            <c:showLegendKey val="0"/>
            <c:showVal val="1"/>
            <c:showCatName val="0"/>
            <c:showSerName val="0"/>
            <c:showPercent val="0"/>
            <c:showBubbleSize val="0"/>
            <c:separator>; </c:separator>
            <c:showLeaderLines val="0"/>
            <c:extLst>
              <c:ext xmlns:c15="http://schemas.microsoft.com/office/drawing/2012/chart" uri="{CE6537A1-D6FC-4f65-9D91-7224C49458BB}">
                <c15:layout/>
                <c15:showLeaderLines val="0"/>
              </c:ext>
            </c:extLst>
          </c:dLbls>
          <c:cat>
            <c:strRef>
              <c:f>graf_EN1!$T$2:$AB$2</c:f>
              <c:strCache>
                <c:ptCount val="9"/>
                <c:pt idx="0">
                  <c:v>Q4 2020</c:v>
                </c:pt>
                <c:pt idx="1">
                  <c:v>Q1 2021</c:v>
                </c:pt>
                <c:pt idx="2">
                  <c:v>Q2 2021</c:v>
                </c:pt>
                <c:pt idx="3">
                  <c:v>Q3 2021</c:v>
                </c:pt>
                <c:pt idx="4">
                  <c:v>Q4 2021</c:v>
                </c:pt>
                <c:pt idx="5">
                  <c:v>Q1 2022</c:v>
                </c:pt>
                <c:pt idx="6">
                  <c:v>Q2 2022</c:v>
                </c:pt>
                <c:pt idx="7">
                  <c:v>Q3 2022</c:v>
                </c:pt>
                <c:pt idx="8">
                  <c:v>Q4 2022</c:v>
                </c:pt>
              </c:strCache>
            </c:strRef>
          </c:cat>
          <c:val>
            <c:numRef>
              <c:f>graf_EN1!$T$3:$AB$3</c:f>
              <c:numCache>
                <c:formatCode>#,##0</c:formatCode>
                <c:ptCount val="9"/>
                <c:pt idx="0">
                  <c:v>2149.8220000000001</c:v>
                </c:pt>
                <c:pt idx="1">
                  <c:v>2512.5329999999999</c:v>
                </c:pt>
                <c:pt idx="2">
                  <c:v>2516.933</c:v>
                </c:pt>
                <c:pt idx="3">
                  <c:v>2433.2959999999998</c:v>
                </c:pt>
                <c:pt idx="4">
                  <c:v>2566.7310000000002</c:v>
                </c:pt>
                <c:pt idx="5">
                  <c:v>2684.136</c:v>
                </c:pt>
                <c:pt idx="6">
                  <c:v>2793.6469999999999</c:v>
                </c:pt>
                <c:pt idx="7">
                  <c:v>2983.2849999999999</c:v>
                </c:pt>
                <c:pt idx="8">
                  <c:v>2997.0830000000001</c:v>
                </c:pt>
              </c:numCache>
            </c:numRef>
          </c:val>
          <c:extLst>
            <c:ext xmlns:c16="http://schemas.microsoft.com/office/drawing/2014/chart" uri="{C3380CC4-5D6E-409C-BE32-E72D297353CC}">
              <c16:uniqueId val="{00000000-C80C-416F-B457-4EF78B68A99E}"/>
            </c:ext>
          </c:extLst>
        </c:ser>
        <c:dLbls>
          <c:showLegendKey val="0"/>
          <c:showVal val="0"/>
          <c:showCatName val="0"/>
          <c:showSerName val="0"/>
          <c:showPercent val="0"/>
          <c:showBubbleSize val="0"/>
        </c:dLbls>
        <c:gapWidth val="51"/>
        <c:axId val="199040384"/>
        <c:axId val="199062656"/>
      </c:barChart>
      <c:scatterChart>
        <c:scatterStyle val="lineMarker"/>
        <c:varyColors val="0"/>
        <c:ser>
          <c:idx val="1"/>
          <c:order val="1"/>
          <c:tx>
            <c:strRef>
              <c:f>graf_EN1!$B$4</c:f>
              <c:strCache>
                <c:ptCount val="1"/>
                <c:pt idx="0">
                  <c:v>% of GDP</c:v>
                </c:pt>
              </c:strCache>
            </c:strRef>
          </c:tx>
          <c:spPr>
            <a:ln w="28575">
              <a:noFill/>
            </a:ln>
          </c:spPr>
          <c:marker>
            <c:symbol val="circle"/>
            <c:size val="7"/>
            <c:spPr>
              <a:solidFill>
                <a:srgbClr val="FF0000"/>
              </a:solidFill>
            </c:spPr>
          </c:marker>
          <c:dLbls>
            <c:spPr>
              <a:noFill/>
              <a:ln>
                <a:noFill/>
              </a:ln>
              <a:effectLst/>
            </c:spPr>
            <c:txPr>
              <a:bodyPr/>
              <a:lstStyle/>
              <a:p>
                <a:pPr>
                  <a:defRPr>
                    <a:solidFill>
                      <a:sysClr val="windowText" lastClr="000000"/>
                    </a:solidFill>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xVal>
            <c:strRef>
              <c:f>graf_EN1!$T$2:$AB$2</c:f>
              <c:strCache>
                <c:ptCount val="9"/>
                <c:pt idx="0">
                  <c:v>Q4 2020</c:v>
                </c:pt>
                <c:pt idx="1">
                  <c:v>Q1 2021</c:v>
                </c:pt>
                <c:pt idx="2">
                  <c:v>Q2 2021</c:v>
                </c:pt>
                <c:pt idx="3">
                  <c:v>Q3 2021</c:v>
                </c:pt>
                <c:pt idx="4">
                  <c:v>Q4 2021</c:v>
                </c:pt>
                <c:pt idx="5">
                  <c:v>Q1 2022</c:v>
                </c:pt>
                <c:pt idx="6">
                  <c:v>Q2 2022</c:v>
                </c:pt>
                <c:pt idx="7">
                  <c:v>Q3 2022</c:v>
                </c:pt>
                <c:pt idx="8">
                  <c:v>Q4 2022</c:v>
                </c:pt>
              </c:strCache>
            </c:strRef>
          </c:xVal>
          <c:yVal>
            <c:numRef>
              <c:f>graf_EN1!$T$4:$AB$4</c:f>
              <c:numCache>
                <c:formatCode>0.0</c:formatCode>
                <c:ptCount val="9"/>
                <c:pt idx="0">
                  <c:v>37.700000000000003</c:v>
                </c:pt>
                <c:pt idx="1">
                  <c:v>43.9</c:v>
                </c:pt>
                <c:pt idx="2">
                  <c:v>42.59</c:v>
                </c:pt>
                <c:pt idx="3">
                  <c:v>40.409999999999997</c:v>
                </c:pt>
                <c:pt idx="4">
                  <c:v>42</c:v>
                </c:pt>
                <c:pt idx="5">
                  <c:v>42.84</c:v>
                </c:pt>
                <c:pt idx="6">
                  <c:v>43.46</c:v>
                </c:pt>
                <c:pt idx="7">
                  <c:v>45.1</c:v>
                </c:pt>
                <c:pt idx="8">
                  <c:v>44.11</c:v>
                </c:pt>
              </c:numCache>
            </c:numRef>
          </c:yVal>
          <c:smooth val="0"/>
          <c:extLst>
            <c:ext xmlns:c16="http://schemas.microsoft.com/office/drawing/2014/chart" uri="{C3380CC4-5D6E-409C-BE32-E72D297353CC}">
              <c16:uniqueId val="{00000001-C80C-416F-B457-4EF78B68A99E}"/>
            </c:ext>
          </c:extLst>
        </c:ser>
        <c:dLbls>
          <c:showLegendKey val="0"/>
          <c:showVal val="0"/>
          <c:showCatName val="0"/>
          <c:showSerName val="0"/>
          <c:showPercent val="0"/>
          <c:showBubbleSize val="0"/>
        </c:dLbls>
        <c:axId val="199066752"/>
        <c:axId val="199064576"/>
      </c:scatterChart>
      <c:catAx>
        <c:axId val="199040384"/>
        <c:scaling>
          <c:orientation val="minMax"/>
        </c:scaling>
        <c:delete val="0"/>
        <c:axPos val="b"/>
        <c:numFmt formatCode="General" sourceLinked="0"/>
        <c:majorTickMark val="out"/>
        <c:minorTickMark val="none"/>
        <c:tickLblPos val="nextTo"/>
        <c:crossAx val="199062656"/>
        <c:crosses val="autoZero"/>
        <c:auto val="1"/>
        <c:lblAlgn val="ctr"/>
        <c:lblOffset val="100"/>
        <c:noMultiLvlLbl val="0"/>
      </c:catAx>
      <c:valAx>
        <c:axId val="199062656"/>
        <c:scaling>
          <c:orientation val="minMax"/>
        </c:scaling>
        <c:delete val="0"/>
        <c:axPos val="l"/>
        <c:majorGridlines>
          <c:spPr>
            <a:ln>
              <a:noFill/>
            </a:ln>
          </c:spPr>
        </c:majorGridlines>
        <c:title>
          <c:tx>
            <c:rich>
              <a:bodyPr rot="-5400000" vert="horz"/>
              <a:lstStyle/>
              <a:p>
                <a:pPr>
                  <a:defRPr b="0"/>
                </a:pPr>
                <a:r>
                  <a:rPr lang="cs-CZ" b="0"/>
                  <a:t>CZK bn</a:t>
                </a:r>
              </a:p>
            </c:rich>
          </c:tx>
          <c:layout>
            <c:manualLayout>
              <c:xMode val="edge"/>
              <c:yMode val="edge"/>
              <c:x val="5.5555555555555558E-3"/>
              <c:y val="0.31484470691163602"/>
            </c:manualLayout>
          </c:layout>
          <c:overlay val="0"/>
        </c:title>
        <c:numFmt formatCode="#,##0" sourceLinked="1"/>
        <c:majorTickMark val="out"/>
        <c:minorTickMark val="none"/>
        <c:tickLblPos val="nextTo"/>
        <c:crossAx val="199040384"/>
        <c:crosses val="autoZero"/>
        <c:crossBetween val="between"/>
      </c:valAx>
      <c:valAx>
        <c:axId val="199064576"/>
        <c:scaling>
          <c:orientation val="minMax"/>
          <c:max val="50"/>
          <c:min val="0"/>
        </c:scaling>
        <c:delete val="0"/>
        <c:axPos val="r"/>
        <c:title>
          <c:tx>
            <c:rich>
              <a:bodyPr rot="-5400000" vert="horz"/>
              <a:lstStyle/>
              <a:p>
                <a:pPr>
                  <a:defRPr b="0"/>
                </a:pPr>
                <a:r>
                  <a:rPr lang="cs-CZ" b="0"/>
                  <a:t>% of GDP</a:t>
                </a:r>
              </a:p>
            </c:rich>
          </c:tx>
          <c:layout/>
          <c:overlay val="0"/>
        </c:title>
        <c:numFmt formatCode="0" sourceLinked="0"/>
        <c:majorTickMark val="out"/>
        <c:minorTickMark val="none"/>
        <c:tickLblPos val="high"/>
        <c:crossAx val="199066752"/>
        <c:crosses val="max"/>
        <c:crossBetween val="midCat"/>
      </c:valAx>
      <c:valAx>
        <c:axId val="199066752"/>
        <c:scaling>
          <c:orientation val="minMax"/>
        </c:scaling>
        <c:delete val="1"/>
        <c:axPos val="b"/>
        <c:majorTickMark val="out"/>
        <c:minorTickMark val="none"/>
        <c:tickLblPos val="nextTo"/>
        <c:crossAx val="199064576"/>
        <c:crosses val="autoZero"/>
        <c:crossBetween val="midCat"/>
      </c:valAx>
    </c:plotArea>
    <c:legend>
      <c:legendPos val="b"/>
      <c:layout/>
      <c:overlay val="0"/>
    </c:legend>
    <c:plotVisOnly val="1"/>
    <c:dispBlanksAs val="gap"/>
    <c:showDLblsOverMax val="0"/>
  </c:chart>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cs-CZ" sz="1800" b="0" i="0" baseline="0">
                <a:effectLst/>
              </a:rPr>
              <a:t>Y-o-y relative changes in government debt</a:t>
            </a:r>
            <a:r>
              <a:rPr lang="en-GB" sz="1800" b="0" i="0" baseline="0">
                <a:effectLst/>
              </a:rPr>
              <a:t> </a:t>
            </a:r>
            <a:endParaRPr lang="cs-CZ">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cs-CZ"/>
        </a:p>
      </c:txPr>
    </c:title>
    <c:autoTitleDeleted val="0"/>
    <c:plotArea>
      <c:layout>
        <c:manualLayout>
          <c:layoutTarget val="inner"/>
          <c:xMode val="edge"/>
          <c:yMode val="edge"/>
          <c:x val="0.12327443169977992"/>
          <c:y val="0.17835633326795464"/>
          <c:w val="0.85717001152802641"/>
          <c:h val="0.60008852633563825"/>
        </c:manualLayout>
      </c:layout>
      <c:barChart>
        <c:barDir val="col"/>
        <c:grouping val="stacked"/>
        <c:varyColors val="0"/>
        <c:ser>
          <c:idx val="2"/>
          <c:order val="1"/>
          <c:tx>
            <c:strRef>
              <c:f>dluh!$B$55</c:f>
              <c:strCache>
                <c:ptCount val="1"/>
                <c:pt idx="0">
                  <c:v>effect of change in nominal GDP </c:v>
                </c:pt>
              </c:strCache>
            </c:strRef>
          </c:tx>
          <c:spPr>
            <a:solidFill>
              <a:srgbClr val="92D050"/>
            </a:solidFill>
            <a:ln>
              <a:noFill/>
            </a:ln>
            <a:effectLst/>
          </c:spPr>
          <c:invertIfNegative val="0"/>
          <c:cat>
            <c:strRef>
              <c:f>dluh!$CM$1:$CU$1</c:f>
              <c:strCache>
                <c:ptCount val="9"/>
                <c:pt idx="0">
                  <c:v>Q4 2020</c:v>
                </c:pt>
                <c:pt idx="1">
                  <c:v>Q1 2021</c:v>
                </c:pt>
                <c:pt idx="2">
                  <c:v>Q2 2021</c:v>
                </c:pt>
                <c:pt idx="3">
                  <c:v>Q3 2021</c:v>
                </c:pt>
                <c:pt idx="4">
                  <c:v>Q4 2021</c:v>
                </c:pt>
                <c:pt idx="5">
                  <c:v>Q1 2022</c:v>
                </c:pt>
                <c:pt idx="6">
                  <c:v>Q2 2022</c:v>
                </c:pt>
                <c:pt idx="7">
                  <c:v>Q3 2022</c:v>
                </c:pt>
                <c:pt idx="8">
                  <c:v>Q4 2022</c:v>
                </c:pt>
              </c:strCache>
            </c:strRef>
          </c:cat>
          <c:val>
            <c:numRef>
              <c:f>dluh!$CM$19:$CU$19</c:f>
              <c:numCache>
                <c:formatCode>0.0</c:formatCode>
                <c:ptCount val="9"/>
                <c:pt idx="0">
                  <c:v>0.48209964003278216</c:v>
                </c:pt>
                <c:pt idx="1">
                  <c:v>0.59316685243864242</c:v>
                </c:pt>
                <c:pt idx="2">
                  <c:v>-1.2195108179709493</c:v>
                </c:pt>
                <c:pt idx="3">
                  <c:v>-1.9852808822862329</c:v>
                </c:pt>
                <c:pt idx="4">
                  <c:v>-2.5073073282000138</c:v>
                </c:pt>
                <c:pt idx="5">
                  <c:v>-3.804377579257249</c:v>
                </c:pt>
                <c:pt idx="6">
                  <c:v>-3.4387744430954541</c:v>
                </c:pt>
                <c:pt idx="7">
                  <c:v>-3.5952001917112568</c:v>
                </c:pt>
                <c:pt idx="8">
                  <c:v>-4.2267424722605327</c:v>
                </c:pt>
              </c:numCache>
            </c:numRef>
          </c:val>
          <c:extLst>
            <c:ext xmlns:c16="http://schemas.microsoft.com/office/drawing/2014/chart" uri="{C3380CC4-5D6E-409C-BE32-E72D297353CC}">
              <c16:uniqueId val="{00000000-AEC4-4FD5-9A48-A0B5D15E7B65}"/>
            </c:ext>
          </c:extLst>
        </c:ser>
        <c:ser>
          <c:idx val="3"/>
          <c:order val="2"/>
          <c:tx>
            <c:strRef>
              <c:f>dluh!$B$56</c:f>
              <c:strCache>
                <c:ptCount val="1"/>
                <c:pt idx="0">
                  <c:v>effect of changes in debt </c:v>
                </c:pt>
              </c:strCache>
            </c:strRef>
          </c:tx>
          <c:spPr>
            <a:solidFill>
              <a:srgbClr val="0070C0"/>
            </a:solidFill>
            <a:ln>
              <a:noFill/>
            </a:ln>
            <a:effectLst/>
          </c:spPr>
          <c:invertIfNegative val="0"/>
          <c:cat>
            <c:strRef>
              <c:f>dluh!$CM$1:$CU$1</c:f>
              <c:strCache>
                <c:ptCount val="9"/>
                <c:pt idx="0">
                  <c:v>Q4 2020</c:v>
                </c:pt>
                <c:pt idx="1">
                  <c:v>Q1 2021</c:v>
                </c:pt>
                <c:pt idx="2">
                  <c:v>Q2 2021</c:v>
                </c:pt>
                <c:pt idx="3">
                  <c:v>Q3 2021</c:v>
                </c:pt>
                <c:pt idx="4">
                  <c:v>Q4 2021</c:v>
                </c:pt>
                <c:pt idx="5">
                  <c:v>Q1 2022</c:v>
                </c:pt>
                <c:pt idx="6">
                  <c:v>Q2 2022</c:v>
                </c:pt>
                <c:pt idx="7">
                  <c:v>Q3 2022</c:v>
                </c:pt>
                <c:pt idx="8">
                  <c:v>Q4 2022</c:v>
                </c:pt>
              </c:strCache>
            </c:strRef>
          </c:cat>
          <c:val>
            <c:numRef>
              <c:f>dluh!$CM$20:$CU$20</c:f>
              <c:numCache>
                <c:formatCode>0.0</c:formatCode>
                <c:ptCount val="9"/>
                <c:pt idx="0">
                  <c:v>7.217900359967218</c:v>
                </c:pt>
                <c:pt idx="1">
                  <c:v>10.906833147561358</c:v>
                </c:pt>
                <c:pt idx="2">
                  <c:v>4.2195108179709493</c:v>
                </c:pt>
                <c:pt idx="3">
                  <c:v>4.2852808822862327</c:v>
                </c:pt>
                <c:pt idx="4">
                  <c:v>6.8073073282000136</c:v>
                </c:pt>
                <c:pt idx="5">
                  <c:v>2.7043775792572489</c:v>
                </c:pt>
                <c:pt idx="6">
                  <c:v>4.3387744430954545</c:v>
                </c:pt>
                <c:pt idx="7">
                  <c:v>8.2952001917112561</c:v>
                </c:pt>
                <c:pt idx="8">
                  <c:v>6.3267424722605323</c:v>
                </c:pt>
              </c:numCache>
            </c:numRef>
          </c:val>
          <c:extLst>
            <c:ext xmlns:c16="http://schemas.microsoft.com/office/drawing/2014/chart" uri="{C3380CC4-5D6E-409C-BE32-E72D297353CC}">
              <c16:uniqueId val="{00000001-AEC4-4FD5-9A48-A0B5D15E7B65}"/>
            </c:ext>
          </c:extLst>
        </c:ser>
        <c:dLbls>
          <c:showLegendKey val="0"/>
          <c:showVal val="0"/>
          <c:showCatName val="0"/>
          <c:showSerName val="0"/>
          <c:showPercent val="0"/>
          <c:showBubbleSize val="0"/>
        </c:dLbls>
        <c:gapWidth val="219"/>
        <c:overlap val="100"/>
        <c:axId val="1515520352"/>
        <c:axId val="1515512032"/>
      </c:barChart>
      <c:scatterChart>
        <c:scatterStyle val="lineMarker"/>
        <c:varyColors val="0"/>
        <c:ser>
          <c:idx val="1"/>
          <c:order val="0"/>
          <c:tx>
            <c:strRef>
              <c:f>dluh!$B$54</c:f>
              <c:strCache>
                <c:ptCount val="1"/>
                <c:pt idx="0">
                  <c:v>the total change </c:v>
                </c:pt>
              </c:strCache>
            </c:strRef>
          </c:tx>
          <c:spPr>
            <a:ln w="25400" cap="rnd">
              <a:noFill/>
              <a:round/>
            </a:ln>
            <a:effectLst/>
          </c:spPr>
          <c:marker>
            <c:symbol val="circle"/>
            <c:size val="5"/>
            <c:spPr>
              <a:solidFill>
                <a:srgbClr val="FF0000"/>
              </a:solidFill>
              <a:ln w="25400">
                <a:solidFill>
                  <a:srgbClr val="FF0000"/>
                </a:solidFill>
              </a:ln>
              <a:effectLst/>
            </c:spPr>
          </c:marker>
          <c:dPt>
            <c:idx val="3"/>
            <c:marker>
              <c:symbol val="circle"/>
              <c:size val="5"/>
              <c:spPr>
                <a:solidFill>
                  <a:srgbClr val="FF0000"/>
                </a:solidFill>
                <a:ln w="25400">
                  <a:solidFill>
                    <a:srgbClr val="FF0000"/>
                  </a:solidFill>
                </a:ln>
                <a:effectLst>
                  <a:outerShdw blurRad="88900" dist="76200" dir="8400000" sx="103000" sy="103000" algn="ctr" rotWithShape="0">
                    <a:srgbClr val="000000">
                      <a:alpha val="43137"/>
                    </a:srgbClr>
                  </a:outerShdw>
                </a:effectLst>
              </c:spPr>
            </c:marker>
            <c:bubble3D val="0"/>
            <c:spPr>
              <a:ln w="25400" cap="rnd">
                <a:noFill/>
                <a:round/>
              </a:ln>
              <a:effectLst>
                <a:outerShdw blurRad="88900" dist="76200" dir="8400000" sx="103000" sy="103000" algn="ctr" rotWithShape="0">
                  <a:srgbClr val="000000">
                    <a:alpha val="43137"/>
                  </a:srgbClr>
                </a:outerShdw>
              </a:effectLst>
            </c:spPr>
            <c:extLst>
              <c:ext xmlns:c16="http://schemas.microsoft.com/office/drawing/2014/chart" uri="{C3380CC4-5D6E-409C-BE32-E72D297353CC}">
                <c16:uniqueId val="{00000003-AEC4-4FD5-9A48-A0B5D15E7B65}"/>
              </c:ext>
            </c:extLst>
          </c:dPt>
          <c:dLbls>
            <c:dLbl>
              <c:idx val="0"/>
              <c:layout>
                <c:manualLayout>
                  <c:x val="-3.6724542781164583E-2"/>
                  <c:y val="5.333202914853028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AEC4-4FD5-9A48-A0B5D15E7B65}"/>
                </c:ext>
              </c:extLst>
            </c:dLbl>
            <c:dLbl>
              <c:idx val="1"/>
              <c:layout>
                <c:manualLayout>
                  <c:x val="-3.7741387100836292E-2"/>
                  <c:y val="7.385777864723430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AEC4-4FD5-9A48-A0B5D15E7B65}"/>
                </c:ext>
              </c:extLst>
            </c:dLbl>
            <c:dLbl>
              <c:idx val="2"/>
              <c:layout>
                <c:manualLayout>
                  <c:x val="-3.1087425648485264E-2"/>
                  <c:y val="4.280196800815160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AEC4-4FD5-9A48-A0B5D15E7B65}"/>
                </c:ext>
              </c:extLst>
            </c:dLbl>
            <c:dLbl>
              <c:idx val="3"/>
              <c:layout>
                <c:manualLayout>
                  <c:x val="-3.4668261716579878E-2"/>
                  <c:y val="4.297892111312173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EC4-4FD5-9A48-A0B5D15E7B65}"/>
                </c:ext>
              </c:extLst>
            </c:dLbl>
            <c:dLbl>
              <c:idx val="4"/>
              <c:layout>
                <c:manualLayout>
                  <c:x val="-3.4360486218620603E-2"/>
                  <c:y val="6.11454003032229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AEC4-4FD5-9A48-A0B5D15E7B65}"/>
                </c:ext>
              </c:extLst>
            </c:dLbl>
            <c:dLbl>
              <c:idx val="5"/>
              <c:layout>
                <c:manualLayout>
                  <c:x val="-4.2161909911778428E-2"/>
                  <c:y val="5.493422017899936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AEC4-4FD5-9A48-A0B5D15E7B65}"/>
                </c:ext>
              </c:extLst>
            </c:dLbl>
            <c:dLbl>
              <c:idx val="6"/>
              <c:layout>
                <c:manualLayout>
                  <c:x val="-3.6310842141910146E-2"/>
                  <c:y val="4.251185993055216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AEC4-4FD5-9A48-A0B5D15E7B65}"/>
                </c:ext>
              </c:extLst>
            </c:dLbl>
            <c:dLbl>
              <c:idx val="7"/>
              <c:layout>
                <c:manualLayout>
                  <c:x val="-3.0058295864475077E-2"/>
                  <c:y val="5.689440993788814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AEC4-4FD5-9A48-A0B5D15E7B65}"/>
                </c:ext>
              </c:extLst>
            </c:dLbl>
            <c:dLbl>
              <c:idx val="8"/>
              <c:layout>
                <c:manualLayout>
                  <c:x val="-3.3959007711053993E-2"/>
                  <c:y val="4.251185993055204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AEC4-4FD5-9A48-A0B5D15E7B6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yVal>
            <c:numRef>
              <c:f>dluh!$CM$18:$CU$18</c:f>
              <c:numCache>
                <c:formatCode>0.0</c:formatCode>
                <c:ptCount val="9"/>
                <c:pt idx="0">
                  <c:v>7.7</c:v>
                </c:pt>
                <c:pt idx="1">
                  <c:v>11.5</c:v>
                </c:pt>
                <c:pt idx="2">
                  <c:v>3</c:v>
                </c:pt>
                <c:pt idx="3">
                  <c:v>2.2999999999999998</c:v>
                </c:pt>
                <c:pt idx="4">
                  <c:v>4.3</c:v>
                </c:pt>
                <c:pt idx="5">
                  <c:v>-1.1000000000000001</c:v>
                </c:pt>
                <c:pt idx="6">
                  <c:v>0.9</c:v>
                </c:pt>
                <c:pt idx="7">
                  <c:v>4.7</c:v>
                </c:pt>
                <c:pt idx="8">
                  <c:v>2.1</c:v>
                </c:pt>
              </c:numCache>
            </c:numRef>
          </c:yVal>
          <c:smooth val="0"/>
          <c:extLst>
            <c:ext xmlns:c16="http://schemas.microsoft.com/office/drawing/2014/chart" uri="{C3380CC4-5D6E-409C-BE32-E72D297353CC}">
              <c16:uniqueId val="{0000000C-AEC4-4FD5-9A48-A0B5D15E7B65}"/>
            </c:ext>
          </c:extLst>
        </c:ser>
        <c:dLbls>
          <c:showLegendKey val="0"/>
          <c:showVal val="0"/>
          <c:showCatName val="0"/>
          <c:showSerName val="0"/>
          <c:showPercent val="0"/>
          <c:showBubbleSize val="0"/>
        </c:dLbls>
        <c:axId val="1515520352"/>
        <c:axId val="1515512032"/>
      </c:scatterChart>
      <c:catAx>
        <c:axId val="151552035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515512032"/>
        <c:crosses val="autoZero"/>
        <c:auto val="1"/>
        <c:lblAlgn val="ctr"/>
        <c:lblOffset val="100"/>
        <c:noMultiLvlLbl val="0"/>
      </c:catAx>
      <c:valAx>
        <c:axId val="1515512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cs-CZ" baseline="0">
                    <a:solidFill>
                      <a:sysClr val="windowText" lastClr="000000"/>
                    </a:solidFill>
                  </a:rPr>
                  <a:t>p. p.</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cs-CZ"/>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5155203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235038659484416E-2"/>
          <c:y val="4.1085881556253576E-2"/>
          <c:w val="0.90350569010863835"/>
          <c:h val="0.83847678435006567"/>
        </c:manualLayout>
      </c:layout>
      <c:lineChart>
        <c:grouping val="standard"/>
        <c:varyColors val="0"/>
        <c:ser>
          <c:idx val="0"/>
          <c:order val="0"/>
          <c:tx>
            <c:strRef>
              <c:f>'SEZ _EN'!$E$2</c:f>
              <c:strCache>
                <c:ptCount val="1"/>
                <c:pt idx="0">
                  <c:v>% GDP</c:v>
                </c:pt>
              </c:strCache>
            </c:strRef>
          </c:tx>
          <c:spPr>
            <a:ln w="28575" cap="rnd">
              <a:solidFill>
                <a:srgbClr val="0066CC"/>
              </a:solidFill>
              <a:round/>
            </a:ln>
            <a:effectLst/>
          </c:spPr>
          <c:marker>
            <c:symbol val="circle"/>
            <c:size val="5"/>
            <c:spPr>
              <a:solidFill>
                <a:srgbClr val="0066CC"/>
              </a:solidFill>
              <a:ln w="9525">
                <a:solidFill>
                  <a:schemeClr val="accent1"/>
                </a:solidFill>
              </a:ln>
              <a:effectLst/>
            </c:spPr>
          </c:marker>
          <c:dLbls>
            <c:dLbl>
              <c:idx val="0"/>
              <c:layout>
                <c:manualLayout>
                  <c:x val="-3.1121289685525903E-2"/>
                  <c:y val="8.147248543084652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293-45D8-B6A3-E86F9F1E5569}"/>
                </c:ext>
              </c:extLst>
            </c:dLbl>
            <c:dLbl>
              <c:idx val="1"/>
              <c:layout>
                <c:manualLayout>
                  <c:x val="-5.2744404521133319E-2"/>
                  <c:y val="5.654299568486142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293-45D8-B6A3-E86F9F1E5569}"/>
                </c:ext>
              </c:extLst>
            </c:dLbl>
            <c:dLbl>
              <c:idx val="2"/>
              <c:layout>
                <c:manualLayout>
                  <c:x val="-3.2342590724285795E-2"/>
                  <c:y val="7.916633302193168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293-45D8-B6A3-E86F9F1E5569}"/>
                </c:ext>
              </c:extLst>
            </c:dLbl>
            <c:dLbl>
              <c:idx val="3"/>
              <c:layout>
                <c:manualLayout>
                  <c:x val="-3.3222597156041048E-2"/>
                  <c:y val="8.601761644201254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293-45D8-B6A3-E86F9F1E5569}"/>
                </c:ext>
              </c:extLst>
            </c:dLbl>
            <c:dLbl>
              <c:idx val="4"/>
              <c:layout>
                <c:manualLayout>
                  <c:x val="-4.144017604314159E-2"/>
                  <c:y val="6.472930290493349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293-45D8-B6A3-E86F9F1E5569}"/>
                </c:ext>
              </c:extLst>
            </c:dLbl>
            <c:dLbl>
              <c:idx val="5"/>
              <c:layout>
                <c:manualLayout>
                  <c:x val="-4.0093658076517928E-2"/>
                  <c:y val="6.697139552471195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3293-45D8-B6A3-E86F9F1E5569}"/>
                </c:ext>
              </c:extLst>
            </c:dLbl>
            <c:dLbl>
              <c:idx val="6"/>
              <c:layout>
                <c:manualLayout>
                  <c:x val="-3.1064785110835293E-2"/>
                  <c:y val="7.942746563459228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3293-45D8-B6A3-E86F9F1E5569}"/>
                </c:ext>
              </c:extLst>
            </c:dLbl>
            <c:dLbl>
              <c:idx val="7"/>
              <c:layout>
                <c:manualLayout>
                  <c:x val="-3.161814626976505E-2"/>
                  <c:y val="5.321900440411039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3293-45D8-B6A3-E86F9F1E5569}"/>
                </c:ext>
              </c:extLst>
            </c:dLbl>
            <c:dLbl>
              <c:idx val="8"/>
              <c:layout>
                <c:manualLayout>
                  <c:x val="-3.7938113190173296E-2"/>
                  <c:y val="6.038257929623203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3293-45D8-B6A3-E86F9F1E5569}"/>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'SEZ _EN'!$A$78:$A$86</c:f>
              <c:strCache>
                <c:ptCount val="9"/>
                <c:pt idx="0">
                  <c:v>Q4 2020</c:v>
                </c:pt>
                <c:pt idx="1">
                  <c:v>Q1 2021</c:v>
                </c:pt>
                <c:pt idx="2">
                  <c:v>Q2 2021</c:v>
                </c:pt>
                <c:pt idx="3">
                  <c:v>Q3 2021</c:v>
                </c:pt>
                <c:pt idx="4">
                  <c:v>Q4 2021</c:v>
                </c:pt>
                <c:pt idx="5">
                  <c:v>Q1 2022</c:v>
                </c:pt>
                <c:pt idx="6">
                  <c:v>Q2 2022</c:v>
                </c:pt>
                <c:pt idx="7">
                  <c:v>Q3 2022</c:v>
                </c:pt>
                <c:pt idx="8">
                  <c:v>Q4 2022</c:v>
                </c:pt>
              </c:strCache>
            </c:strRef>
          </c:cat>
          <c:val>
            <c:numRef>
              <c:f>'SEZ _EN'!$E$78:$E$86</c:f>
              <c:numCache>
                <c:formatCode>0.0</c:formatCode>
                <c:ptCount val="9"/>
                <c:pt idx="0">
                  <c:v>-7.2598132721009705</c:v>
                </c:pt>
                <c:pt idx="1">
                  <c:v>-7.2835546170022578</c:v>
                </c:pt>
                <c:pt idx="2">
                  <c:v>-4.9746935547647295</c:v>
                </c:pt>
                <c:pt idx="3">
                  <c:v>-4.1480690145021653</c:v>
                </c:pt>
                <c:pt idx="4">
                  <c:v>-4.0308832366085374</c:v>
                </c:pt>
                <c:pt idx="5">
                  <c:v>-2.9763934478229865</c:v>
                </c:pt>
                <c:pt idx="6">
                  <c:v>-3.0083414729788602</c:v>
                </c:pt>
                <c:pt idx="7">
                  <c:v>-4.5869599920069</c:v>
                </c:pt>
                <c:pt idx="8">
                  <c:v>-3.9375580061450486</c:v>
                </c:pt>
              </c:numCache>
            </c:numRef>
          </c:val>
          <c:smooth val="0"/>
          <c:extLst>
            <c:ext xmlns:c16="http://schemas.microsoft.com/office/drawing/2014/chart" uri="{C3380CC4-5D6E-409C-BE32-E72D297353CC}">
              <c16:uniqueId val="{00000009-3293-45D8-B6A3-E86F9F1E5569}"/>
            </c:ext>
          </c:extLst>
        </c:ser>
        <c:dLbls>
          <c:showLegendKey val="0"/>
          <c:showVal val="0"/>
          <c:showCatName val="0"/>
          <c:showSerName val="0"/>
          <c:showPercent val="0"/>
          <c:showBubbleSize val="0"/>
        </c:dLbls>
        <c:marker val="1"/>
        <c:smooth val="0"/>
        <c:axId val="548997200"/>
        <c:axId val="333288000"/>
      </c:lineChart>
      <c:catAx>
        <c:axId val="54899720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333288000"/>
        <c:crosses val="autoZero"/>
        <c:auto val="1"/>
        <c:lblAlgn val="ctr"/>
        <c:lblOffset val="100"/>
        <c:noMultiLvlLbl val="0"/>
      </c:catAx>
      <c:valAx>
        <c:axId val="333288000"/>
        <c:scaling>
          <c:orientation val="minMax"/>
          <c:max val="3"/>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r>
                  <a:rPr lang="cs-CZ" sz="800">
                    <a:solidFill>
                      <a:schemeClr val="tx1"/>
                    </a:solidFill>
                    <a:latin typeface="Arial" panose="020B0604020202020204" pitchFamily="34" charset="0"/>
                    <a:cs typeface="Arial" panose="020B0604020202020204" pitchFamily="34" charset="0"/>
                  </a:rPr>
                  <a:t>% of </a:t>
                </a:r>
                <a:r>
                  <a:rPr lang="cs-CZ" sz="800" baseline="0">
                    <a:solidFill>
                      <a:schemeClr val="tx1"/>
                    </a:solidFill>
                    <a:latin typeface="Arial" panose="020B0604020202020204" pitchFamily="34" charset="0"/>
                    <a:cs typeface="Arial" panose="020B0604020202020204" pitchFamily="34" charset="0"/>
                  </a:rPr>
                  <a:t> GDP</a:t>
                </a:r>
                <a:endParaRPr lang="cs-CZ" sz="800">
                  <a:solidFill>
                    <a:schemeClr val="tx1"/>
                  </a:solidFill>
                  <a:latin typeface="Arial" panose="020B0604020202020204" pitchFamily="34" charset="0"/>
                  <a:cs typeface="Arial" panose="020B0604020202020204" pitchFamily="34" charset="0"/>
                </a:endParaRPr>
              </a:p>
            </c:rich>
          </c:tx>
          <c:layout>
            <c:manualLayout>
              <c:xMode val="edge"/>
              <c:yMode val="edge"/>
              <c:x val="8.3594580109196247E-3"/>
              <c:y val="0.34168953649280431"/>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title>
        <c:numFmt formatCode="0.0" sourceLinked="1"/>
        <c:majorTickMark val="out"/>
        <c:minorTickMark val="none"/>
        <c:tickLblPos val="nextTo"/>
        <c:spPr>
          <a:solidFill>
            <a:sysClr val="window" lastClr="FFFFFF"/>
          </a:solid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548997200"/>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B8972258C6CE84A9BC1C4F526E18580" ma:contentTypeVersion="2" ma:contentTypeDescription="Vytvoří nový dokument" ma:contentTypeScope="" ma:versionID="1e1153966a28e71aa7f27644818b705a">
  <xsd:schema xmlns:xsd="http://www.w3.org/2001/XMLSchema" xmlns:xs="http://www.w3.org/2001/XMLSchema" xmlns:p="http://schemas.microsoft.com/office/2006/metadata/properties" xmlns:ns2="5f927d68-6aa3-420b-a02e-a4390ec9f7ec" targetNamespace="http://schemas.microsoft.com/office/2006/metadata/properties" ma:root="true" ma:fieldsID="0c1571328458585e7e4ccad179821941" ns2:_="">
    <xsd:import namespace="5f927d68-6aa3-420b-a02e-a4390ec9f7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7d68-6aa3-420b-a02e-a4390ec9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8E8DE-F9E7-44F5-B15D-A242D50E8DA1}">
  <ds:schemaRefs>
    <ds:schemaRef ds:uri="http://schemas.microsoft.com/sharepoint/v3/contenttype/forms"/>
  </ds:schemaRefs>
</ds:datastoreItem>
</file>

<file path=customXml/itemProps2.xml><?xml version="1.0" encoding="utf-8"?>
<ds:datastoreItem xmlns:ds="http://schemas.openxmlformats.org/officeDocument/2006/customXml" ds:itemID="{2E898B37-5ECE-492F-936C-6E6660878D88}">
  <ds:schemaRefs>
    <ds:schemaRef ds:uri="http://purl.org/dc/elements/1.1/"/>
    <ds:schemaRef ds:uri="5f927d68-6aa3-420b-a02e-a4390ec9f7ec"/>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F5B36A12-7A2A-435A-9883-F64BCA912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27d68-6aa3-420b-a02e-a4390ec9f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AF0450-52F4-4AC6-9A7B-2A9EE8064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ENG_2022-02-08.dotx</Template>
  <TotalTime>15</TotalTime>
  <Pages>4</Pages>
  <Words>853</Words>
  <Characters>5033</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5875</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matousova9707</dc:creator>
  <cp:lastModifiedBy>Houžvičková Helena</cp:lastModifiedBy>
  <cp:revision>6</cp:revision>
  <dcterms:created xsi:type="dcterms:W3CDTF">2023-03-30T11:42:00Z</dcterms:created>
  <dcterms:modified xsi:type="dcterms:W3CDTF">2023-03-31T08:44:00Z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0x0101009B8972258C6CE84A9BC1C4F526E18580</vt:lpwstr>
  </property>
</Properties>
</file>