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F20640" w:rsidP="00270F84">
      <w:pPr>
        <w:pStyle w:val="Datum"/>
      </w:pPr>
      <w:r>
        <w:t>3</w:t>
      </w:r>
      <w:r w:rsidR="00304176">
        <w:t>.</w:t>
      </w:r>
      <w:r w:rsidR="00915A3B">
        <w:t xml:space="preserve"> </w:t>
      </w:r>
      <w:r>
        <w:t>10</w:t>
      </w:r>
      <w:r w:rsidR="00A93DE1">
        <w:t>.</w:t>
      </w:r>
      <w:r w:rsidR="00022194">
        <w:t xml:space="preserve"> </w:t>
      </w:r>
      <w:r w:rsidR="00304176">
        <w:t>201</w:t>
      </w:r>
      <w:r w:rsidR="00CB2EC7">
        <w:t>8</w:t>
      </w:r>
    </w:p>
    <w:p w:rsidR="00DB7DDE" w:rsidRPr="00DB7DDE" w:rsidRDefault="00AE6907" w:rsidP="00A60967">
      <w:pPr>
        <w:pStyle w:val="Podtitulek"/>
        <w:spacing w:before="240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P</w:t>
      </w:r>
      <w:r w:rsidR="00906F17">
        <w:rPr>
          <w:color w:val="BD1B21"/>
          <w:sz w:val="32"/>
          <w:szCs w:val="32"/>
        </w:rPr>
        <w:t>řebytek hospodaření</w:t>
      </w:r>
      <w:r w:rsidR="00FC3C67">
        <w:rPr>
          <w:color w:val="BD1B21"/>
          <w:sz w:val="32"/>
          <w:szCs w:val="32"/>
        </w:rPr>
        <w:t xml:space="preserve"> zůstal</w:t>
      </w:r>
      <w:r>
        <w:rPr>
          <w:color w:val="BD1B21"/>
          <w:sz w:val="32"/>
          <w:szCs w:val="32"/>
        </w:rPr>
        <w:t xml:space="preserve"> </w:t>
      </w:r>
      <w:r w:rsidR="00DF2A26">
        <w:rPr>
          <w:color w:val="BD1B21"/>
          <w:sz w:val="32"/>
          <w:szCs w:val="32"/>
        </w:rPr>
        <w:t xml:space="preserve">meziročně </w:t>
      </w:r>
      <w:r>
        <w:rPr>
          <w:color w:val="BD1B21"/>
          <w:sz w:val="32"/>
          <w:szCs w:val="32"/>
        </w:rPr>
        <w:t>stabilní</w:t>
      </w:r>
    </w:p>
    <w:p w:rsidR="00DB7DDE" w:rsidRDefault="00DB7DDE" w:rsidP="00DB7DDE">
      <w:pPr>
        <w:pStyle w:val="Podtitulek"/>
      </w:pPr>
      <w:r>
        <w:t>Deficit a dluh vládní</w:t>
      </w:r>
      <w:r w:rsidR="00B973E6">
        <w:t xml:space="preserve">ch institucí – </w:t>
      </w:r>
      <w:r w:rsidR="00F20640">
        <w:t>2</w:t>
      </w:r>
      <w:r w:rsidR="00B973E6">
        <w:t>. čtvrtletí 201</w:t>
      </w:r>
      <w:r w:rsidR="00511B4C">
        <w:t>8</w:t>
      </w:r>
    </w:p>
    <w:p w:rsidR="00EB44BC" w:rsidRDefault="0035564A" w:rsidP="00233976">
      <w:r w:rsidRPr="00A36CFE">
        <w:rPr>
          <w:b/>
        </w:rPr>
        <w:t>Saldo hospodaření</w:t>
      </w:r>
      <w:r w:rsidR="00EB44BC" w:rsidRPr="00A36CFE">
        <w:rPr>
          <w:b/>
        </w:rPr>
        <w:t xml:space="preserve"> </w:t>
      </w:r>
      <w:r w:rsidR="00474A48" w:rsidRPr="00A36CFE">
        <w:rPr>
          <w:b/>
        </w:rPr>
        <w:t xml:space="preserve">sektoru </w:t>
      </w:r>
      <w:r w:rsidR="00EB44BC" w:rsidRPr="00A36CFE">
        <w:rPr>
          <w:b/>
        </w:rPr>
        <w:t>vládních institucí</w:t>
      </w:r>
      <w:r w:rsidR="00E22A62" w:rsidRPr="00A36CFE">
        <w:t xml:space="preserve"> </w:t>
      </w:r>
      <w:r w:rsidR="00A36CFE" w:rsidRPr="00A36CFE">
        <w:t xml:space="preserve">dosáhlo </w:t>
      </w:r>
      <w:r w:rsidR="00511B4C">
        <w:t>v</w:t>
      </w:r>
      <w:r w:rsidR="00233976">
        <w:t>e</w:t>
      </w:r>
      <w:r w:rsidR="00511B4C">
        <w:t xml:space="preserve"> </w:t>
      </w:r>
      <w:r w:rsidR="00233976">
        <w:t>druhém</w:t>
      </w:r>
      <w:r w:rsidR="00A36CFE" w:rsidRPr="00A36CFE">
        <w:t xml:space="preserve"> </w:t>
      </w:r>
      <w:r w:rsidR="00EB44BC" w:rsidRPr="00A36CFE">
        <w:t>čtvrtletí 201</w:t>
      </w:r>
      <w:r w:rsidR="00511B4C">
        <w:t>8</w:t>
      </w:r>
      <w:r w:rsidR="00EB44BC" w:rsidRPr="00A36CFE">
        <w:t xml:space="preserve"> </w:t>
      </w:r>
      <w:r w:rsidR="006A7EAB">
        <w:rPr>
          <w:b/>
        </w:rPr>
        <w:t>přebytk</w:t>
      </w:r>
      <w:r w:rsidR="00AD450F">
        <w:rPr>
          <w:b/>
        </w:rPr>
        <w:t>u</w:t>
      </w:r>
      <w:r w:rsidR="00233976">
        <w:rPr>
          <w:b/>
        </w:rPr>
        <w:t xml:space="preserve"> 41,7 mld. Kč, </w:t>
      </w:r>
      <w:r w:rsidR="00233976" w:rsidRPr="00233976">
        <w:t xml:space="preserve">což </w:t>
      </w:r>
      <w:r w:rsidR="00233976">
        <w:t>představuje</w:t>
      </w:r>
      <w:r w:rsidR="00233976">
        <w:rPr>
          <w:b/>
        </w:rPr>
        <w:t xml:space="preserve"> </w:t>
      </w:r>
      <w:r w:rsidR="002733DB">
        <w:rPr>
          <w:b/>
        </w:rPr>
        <w:t>3,13</w:t>
      </w:r>
      <w:r w:rsidR="00EB44BC" w:rsidRPr="007D7C61">
        <w:rPr>
          <w:b/>
        </w:rPr>
        <w:t xml:space="preserve"> % HDP</w:t>
      </w:r>
      <w:r w:rsidR="00233976">
        <w:rPr>
          <w:b/>
        </w:rPr>
        <w:t xml:space="preserve">.  </w:t>
      </w:r>
      <w:r w:rsidR="008F31E9" w:rsidRPr="00270F84">
        <w:rPr>
          <w:b/>
        </w:rPr>
        <w:t>Míra</w:t>
      </w:r>
      <w:r w:rsidR="008F31E9" w:rsidRPr="00270F84">
        <w:t xml:space="preserve"> </w:t>
      </w:r>
      <w:r w:rsidR="008F31E9" w:rsidRPr="00270F84">
        <w:rPr>
          <w:b/>
        </w:rPr>
        <w:t>z</w:t>
      </w:r>
      <w:r w:rsidR="00EF38A3" w:rsidRPr="00270F84">
        <w:rPr>
          <w:b/>
        </w:rPr>
        <w:t xml:space="preserve">adlužení sektoru vládních institucí </w:t>
      </w:r>
      <w:r w:rsidR="00AA4564" w:rsidRPr="00270F84">
        <w:t>k</w:t>
      </w:r>
      <w:r w:rsidR="00B06A45" w:rsidRPr="00270F84">
        <w:t>les</w:t>
      </w:r>
      <w:r w:rsidR="00AA4564" w:rsidRPr="00270F84">
        <w:t>l</w:t>
      </w:r>
      <w:r w:rsidR="00B06A45" w:rsidRPr="00270F84">
        <w:t xml:space="preserve">a </w:t>
      </w:r>
      <w:r w:rsidR="00171CC7" w:rsidRPr="00270F84">
        <w:t>mezir</w:t>
      </w:r>
      <w:r w:rsidR="00B06A45" w:rsidRPr="00270F84">
        <w:t>o</w:t>
      </w:r>
      <w:r w:rsidR="00171CC7" w:rsidRPr="00270F84">
        <w:t>čně</w:t>
      </w:r>
      <w:r w:rsidR="00FA3792" w:rsidRPr="00270F84">
        <w:t xml:space="preserve"> o</w:t>
      </w:r>
      <w:r w:rsidR="00B06A45" w:rsidRPr="00270F84">
        <w:t xml:space="preserve"> </w:t>
      </w:r>
      <w:r w:rsidR="00270F84" w:rsidRPr="00270F84">
        <w:t>4</w:t>
      </w:r>
      <w:r w:rsidR="00B06A45" w:rsidRPr="00270F84">
        <w:t>,</w:t>
      </w:r>
      <w:r w:rsidR="00270F84" w:rsidRPr="00270F84">
        <w:t>1</w:t>
      </w:r>
      <w:r w:rsidR="00233976">
        <w:t>7</w:t>
      </w:r>
      <w:r w:rsidR="00B06A45" w:rsidRPr="00270F84">
        <w:t xml:space="preserve"> p.</w:t>
      </w:r>
      <w:r w:rsidR="00982CA8" w:rsidRPr="00270F84">
        <w:t xml:space="preserve"> </w:t>
      </w:r>
      <w:r w:rsidR="00B06A45" w:rsidRPr="00270F84">
        <w:t>b.</w:t>
      </w:r>
      <w:r w:rsidR="000A2AF1" w:rsidRPr="00270F84">
        <w:t xml:space="preserve"> </w:t>
      </w:r>
      <w:proofErr w:type="gramStart"/>
      <w:r w:rsidR="00EF38A3" w:rsidRPr="00270F84">
        <w:t>na</w:t>
      </w:r>
      <w:proofErr w:type="gramEnd"/>
      <w:r w:rsidR="00EF38A3" w:rsidRPr="00270F84">
        <w:rPr>
          <w:b/>
        </w:rPr>
        <w:t xml:space="preserve"> 3</w:t>
      </w:r>
      <w:r w:rsidR="00270F84" w:rsidRPr="00270F84">
        <w:rPr>
          <w:b/>
        </w:rPr>
        <w:t>5</w:t>
      </w:r>
      <w:r w:rsidR="00EF38A3" w:rsidRPr="00270F84">
        <w:rPr>
          <w:b/>
        </w:rPr>
        <w:t>,</w:t>
      </w:r>
      <w:r w:rsidR="00233976">
        <w:rPr>
          <w:b/>
        </w:rPr>
        <w:t>30</w:t>
      </w:r>
      <w:r w:rsidR="00EF38A3" w:rsidRPr="00270F84">
        <w:rPr>
          <w:b/>
        </w:rPr>
        <w:t xml:space="preserve"> % HDP</w:t>
      </w:r>
      <w:r w:rsidR="007E5A52" w:rsidRPr="007E5A52">
        <w:t xml:space="preserve">. </w:t>
      </w:r>
    </w:p>
    <w:p w:rsidR="00A94B28" w:rsidRDefault="00A94B28" w:rsidP="00043BF4"/>
    <w:p w:rsidR="00A94B28" w:rsidRDefault="00A94B28" w:rsidP="00A94B28">
      <w:pPr>
        <w:pStyle w:val="TabulkaGraf"/>
      </w:pPr>
      <w:r>
        <w:t xml:space="preserve">Saldo hospodaření sektoru vládních institucí, </w:t>
      </w:r>
      <w:r w:rsidR="00EE43EB">
        <w:t>2</w:t>
      </w:r>
      <w:r w:rsidR="00B7752A">
        <w:t>.</w:t>
      </w:r>
      <w:r w:rsidR="00A60967">
        <w:t xml:space="preserve"> čtvrtletí</w:t>
      </w:r>
      <w:r w:rsidR="00B7752A">
        <w:t xml:space="preserve"> 201</w:t>
      </w:r>
      <w:r w:rsidR="00511B4C">
        <w:t>7</w:t>
      </w:r>
      <w:r w:rsidR="00B85D5E">
        <w:t xml:space="preserve"> </w:t>
      </w:r>
      <w:r w:rsidR="000A2AF1" w:rsidRPr="007F7CB9">
        <w:t xml:space="preserve">– </w:t>
      </w:r>
      <w:r w:rsidR="00EE43EB">
        <w:t>2</w:t>
      </w:r>
      <w:r>
        <w:t>.</w:t>
      </w:r>
      <w:r w:rsidR="00A60967">
        <w:t xml:space="preserve"> čtvrtletí</w:t>
      </w:r>
      <w:r w:rsidR="00990C86">
        <w:t xml:space="preserve"> </w:t>
      </w:r>
      <w:r>
        <w:t>201</w:t>
      </w:r>
      <w:r w:rsidR="00511B4C">
        <w:t>8</w:t>
      </w:r>
    </w:p>
    <w:tbl>
      <w:tblPr>
        <w:tblStyle w:val="Mkatabulky"/>
        <w:tblW w:w="8613" w:type="dxa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134"/>
        <w:gridCol w:w="1134"/>
        <w:gridCol w:w="1134"/>
        <w:gridCol w:w="1134"/>
      </w:tblGrid>
      <w:tr w:rsidR="002733DB" w:rsidTr="00090EA1">
        <w:tc>
          <w:tcPr>
            <w:tcW w:w="1809" w:type="dxa"/>
            <w:vMerge w:val="restart"/>
            <w:vAlign w:val="center"/>
          </w:tcPr>
          <w:p w:rsidR="002733DB" w:rsidRDefault="002733DB" w:rsidP="000B2CAC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2733DB" w:rsidRDefault="002733DB" w:rsidP="000B2CAC">
            <w:pPr>
              <w:jc w:val="center"/>
            </w:pPr>
            <w:r>
              <w:t>Jednotka</w:t>
            </w:r>
          </w:p>
        </w:tc>
        <w:tc>
          <w:tcPr>
            <w:tcW w:w="3402" w:type="dxa"/>
            <w:gridSpan w:val="3"/>
          </w:tcPr>
          <w:p w:rsidR="002733DB" w:rsidRDefault="002733DB" w:rsidP="000B2CAC">
            <w:pPr>
              <w:jc w:val="center"/>
            </w:pPr>
            <w:r>
              <w:t>2017</w:t>
            </w:r>
          </w:p>
        </w:tc>
        <w:tc>
          <w:tcPr>
            <w:tcW w:w="2268" w:type="dxa"/>
            <w:gridSpan w:val="2"/>
          </w:tcPr>
          <w:p w:rsidR="002733DB" w:rsidRDefault="002733DB" w:rsidP="000B2CAC">
            <w:pPr>
              <w:jc w:val="center"/>
            </w:pPr>
            <w:r>
              <w:t>2018</w:t>
            </w:r>
          </w:p>
        </w:tc>
      </w:tr>
      <w:tr w:rsidR="002733DB" w:rsidTr="00090EA1">
        <w:tc>
          <w:tcPr>
            <w:tcW w:w="1809" w:type="dxa"/>
            <w:vMerge/>
          </w:tcPr>
          <w:p w:rsidR="002733DB" w:rsidRDefault="002733DB" w:rsidP="000B2CAC"/>
        </w:tc>
        <w:tc>
          <w:tcPr>
            <w:tcW w:w="1134" w:type="dxa"/>
            <w:vMerge/>
          </w:tcPr>
          <w:p w:rsidR="002733DB" w:rsidRDefault="002733DB" w:rsidP="000B2CAC"/>
        </w:tc>
        <w:tc>
          <w:tcPr>
            <w:tcW w:w="1134" w:type="dxa"/>
          </w:tcPr>
          <w:p w:rsidR="002733DB" w:rsidRDefault="002733DB" w:rsidP="000B2CAC">
            <w:pPr>
              <w:jc w:val="center"/>
            </w:pPr>
            <w:r>
              <w:t>2. čtvrtletí</w:t>
            </w:r>
          </w:p>
        </w:tc>
        <w:tc>
          <w:tcPr>
            <w:tcW w:w="1134" w:type="dxa"/>
          </w:tcPr>
          <w:p w:rsidR="002733DB" w:rsidRDefault="002733DB" w:rsidP="000B2CAC">
            <w:pPr>
              <w:jc w:val="center"/>
            </w:pPr>
            <w:r>
              <w:t>3. čtvrtletí</w:t>
            </w:r>
          </w:p>
        </w:tc>
        <w:tc>
          <w:tcPr>
            <w:tcW w:w="1134" w:type="dxa"/>
          </w:tcPr>
          <w:p w:rsidR="002733DB" w:rsidRDefault="002733DB" w:rsidP="000B2CAC">
            <w:pPr>
              <w:jc w:val="center"/>
            </w:pPr>
            <w:r>
              <w:t>4. čtvrtletí</w:t>
            </w:r>
          </w:p>
        </w:tc>
        <w:tc>
          <w:tcPr>
            <w:tcW w:w="1134" w:type="dxa"/>
          </w:tcPr>
          <w:p w:rsidR="002733DB" w:rsidRDefault="002733DB" w:rsidP="000B2CAC">
            <w:pPr>
              <w:jc w:val="center"/>
            </w:pPr>
            <w:r>
              <w:t>1. čtvrtletí</w:t>
            </w:r>
          </w:p>
        </w:tc>
        <w:tc>
          <w:tcPr>
            <w:tcW w:w="1134" w:type="dxa"/>
          </w:tcPr>
          <w:p w:rsidR="002733DB" w:rsidRDefault="002733DB" w:rsidP="000B2CAC">
            <w:pPr>
              <w:jc w:val="center"/>
            </w:pPr>
            <w:r>
              <w:t>2. čtvrtletí</w:t>
            </w:r>
          </w:p>
        </w:tc>
      </w:tr>
      <w:tr w:rsidR="002733DB" w:rsidTr="00090EA1">
        <w:trPr>
          <w:trHeight w:val="417"/>
        </w:trPr>
        <w:tc>
          <w:tcPr>
            <w:tcW w:w="1809" w:type="dxa"/>
            <w:vMerge w:val="restart"/>
          </w:tcPr>
          <w:p w:rsidR="002733DB" w:rsidRDefault="002733DB" w:rsidP="000B2CAC">
            <w:pPr>
              <w:jc w:val="left"/>
            </w:pPr>
            <w:r>
              <w:rPr>
                <w:rFonts w:cs="Arial"/>
                <w:szCs w:val="20"/>
              </w:rPr>
              <w:t>Přebytek/Deficit sektoru vládních institucí</w:t>
            </w:r>
          </w:p>
        </w:tc>
        <w:tc>
          <w:tcPr>
            <w:tcW w:w="1134" w:type="dxa"/>
            <w:vAlign w:val="center"/>
          </w:tcPr>
          <w:p w:rsidR="002733DB" w:rsidRDefault="002733DB" w:rsidP="000B2CAC">
            <w:pPr>
              <w:jc w:val="center"/>
            </w:pPr>
            <w:r>
              <w:t>mil. Kč</w:t>
            </w:r>
          </w:p>
        </w:tc>
        <w:tc>
          <w:tcPr>
            <w:tcW w:w="1134" w:type="dxa"/>
            <w:vAlign w:val="center"/>
          </w:tcPr>
          <w:p w:rsidR="002733DB" w:rsidRDefault="002733DB" w:rsidP="00805EC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41 873</w:t>
            </w:r>
          </w:p>
        </w:tc>
        <w:tc>
          <w:tcPr>
            <w:tcW w:w="1134" w:type="dxa"/>
            <w:vAlign w:val="center"/>
          </w:tcPr>
          <w:p w:rsidR="002733DB" w:rsidRDefault="002733DB" w:rsidP="00805EC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32 549</w:t>
            </w:r>
          </w:p>
        </w:tc>
        <w:tc>
          <w:tcPr>
            <w:tcW w:w="1134" w:type="dxa"/>
            <w:vAlign w:val="center"/>
          </w:tcPr>
          <w:p w:rsidR="002733DB" w:rsidRDefault="002733DB" w:rsidP="00805EC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1 412</w:t>
            </w:r>
          </w:p>
        </w:tc>
        <w:tc>
          <w:tcPr>
            <w:tcW w:w="1134" w:type="dxa"/>
            <w:vAlign w:val="center"/>
          </w:tcPr>
          <w:p w:rsidR="002733DB" w:rsidRDefault="002733DB" w:rsidP="00805EC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7 500</w:t>
            </w:r>
          </w:p>
        </w:tc>
        <w:tc>
          <w:tcPr>
            <w:tcW w:w="1134" w:type="dxa"/>
            <w:vAlign w:val="center"/>
          </w:tcPr>
          <w:p w:rsidR="002733DB" w:rsidRDefault="002733DB" w:rsidP="00805EC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41 674</w:t>
            </w:r>
          </w:p>
        </w:tc>
      </w:tr>
      <w:tr w:rsidR="002733DB" w:rsidTr="00090EA1">
        <w:tc>
          <w:tcPr>
            <w:tcW w:w="1809" w:type="dxa"/>
            <w:vMerge/>
          </w:tcPr>
          <w:p w:rsidR="002733DB" w:rsidRDefault="002733DB" w:rsidP="000B2CAC"/>
        </w:tc>
        <w:tc>
          <w:tcPr>
            <w:tcW w:w="1134" w:type="dxa"/>
            <w:vAlign w:val="center"/>
          </w:tcPr>
          <w:p w:rsidR="002733DB" w:rsidRDefault="002733DB" w:rsidP="000B2CAC">
            <w:pPr>
              <w:jc w:val="center"/>
            </w:pPr>
            <w:r>
              <w:t>% (HDP)</w:t>
            </w:r>
          </w:p>
        </w:tc>
        <w:tc>
          <w:tcPr>
            <w:tcW w:w="1134" w:type="dxa"/>
            <w:vAlign w:val="center"/>
          </w:tcPr>
          <w:p w:rsidR="002733DB" w:rsidRDefault="002733D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3,31</w:t>
            </w:r>
          </w:p>
        </w:tc>
        <w:tc>
          <w:tcPr>
            <w:tcW w:w="1134" w:type="dxa"/>
            <w:vAlign w:val="center"/>
          </w:tcPr>
          <w:p w:rsidR="002733DB" w:rsidRDefault="002733D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2,53</w:t>
            </w:r>
          </w:p>
        </w:tc>
        <w:tc>
          <w:tcPr>
            <w:tcW w:w="1134" w:type="dxa"/>
            <w:vAlign w:val="center"/>
          </w:tcPr>
          <w:p w:rsidR="002733DB" w:rsidRDefault="002733D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0,11</w:t>
            </w:r>
          </w:p>
        </w:tc>
        <w:tc>
          <w:tcPr>
            <w:tcW w:w="1134" w:type="dxa"/>
            <w:vAlign w:val="center"/>
          </w:tcPr>
          <w:p w:rsidR="002733DB" w:rsidRDefault="002733D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0,61</w:t>
            </w:r>
          </w:p>
        </w:tc>
        <w:tc>
          <w:tcPr>
            <w:tcW w:w="1134" w:type="dxa"/>
            <w:vAlign w:val="center"/>
          </w:tcPr>
          <w:p w:rsidR="002733DB" w:rsidRDefault="002733D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3,13</w:t>
            </w:r>
          </w:p>
        </w:tc>
      </w:tr>
    </w:tbl>
    <w:p w:rsidR="008D7FDA" w:rsidRPr="000A18CB" w:rsidRDefault="000A18CB" w:rsidP="00043BF4">
      <w:pPr>
        <w:rPr>
          <w:i/>
        </w:rPr>
      </w:pPr>
      <w:r w:rsidRPr="000A18CB">
        <w:rPr>
          <w:i/>
        </w:rPr>
        <w:t xml:space="preserve">Poznámka: </w:t>
      </w:r>
      <w:r w:rsidR="000A2AF1">
        <w:rPr>
          <w:i/>
        </w:rPr>
        <w:t>Ú</w:t>
      </w:r>
      <w:r>
        <w:rPr>
          <w:i/>
        </w:rPr>
        <w:t xml:space="preserve">daje v tabulce nejsou sezónně očištěny, nelze je srovnávat </w:t>
      </w:r>
      <w:proofErr w:type="spellStart"/>
      <w:r>
        <w:rPr>
          <w:i/>
        </w:rPr>
        <w:t>mezičtvrtletně</w:t>
      </w:r>
      <w:proofErr w:type="spellEnd"/>
      <w:r w:rsidR="000A2AF1">
        <w:rPr>
          <w:i/>
        </w:rPr>
        <w:t>.</w:t>
      </w:r>
    </w:p>
    <w:p w:rsidR="000A18CB" w:rsidRDefault="000A18CB" w:rsidP="00043BF4"/>
    <w:p w:rsidR="00996553" w:rsidRDefault="00C2585D" w:rsidP="00A94B28">
      <w:r>
        <w:t>S</w:t>
      </w:r>
      <w:r w:rsidR="00E6431E">
        <w:t xml:space="preserve">aldo hospodaření vládních institucí </w:t>
      </w:r>
      <w:r>
        <w:t xml:space="preserve">meziročně pokleslo </w:t>
      </w:r>
      <w:r w:rsidR="00E6431E">
        <w:t xml:space="preserve">o 0,2 mld. Kč, </w:t>
      </w:r>
      <w:r w:rsidR="00E30E72">
        <w:t xml:space="preserve">k čemuž přispěly místní vládní instituce (-2,6 mld. Kč). Naopak přebytek hospodaření se zvýšil u </w:t>
      </w:r>
      <w:r w:rsidR="00E6431E">
        <w:t xml:space="preserve">ústředních vládních institucí </w:t>
      </w:r>
      <w:r w:rsidR="00E30E72">
        <w:t xml:space="preserve">(+2,1 mld. Kč) a </w:t>
      </w:r>
      <w:r w:rsidR="00961DC3">
        <w:t>fondů sociálního zabezpečení (+0,3 mld. Kč).</w:t>
      </w:r>
    </w:p>
    <w:p w:rsidR="00601F81" w:rsidRDefault="00601F81" w:rsidP="00A94B28"/>
    <w:p w:rsidR="00601F81" w:rsidRPr="00642760" w:rsidRDefault="00601F81" w:rsidP="00601F81">
      <w:r w:rsidRPr="00642760">
        <w:t xml:space="preserve">Celkové příjmy sektoru vládních institucí vzrostly meziročně o </w:t>
      </w:r>
      <w:r>
        <w:t>8</w:t>
      </w:r>
      <w:r w:rsidRPr="00642760">
        <w:t>,</w:t>
      </w:r>
      <w:r>
        <w:t>0</w:t>
      </w:r>
      <w:r w:rsidRPr="00642760">
        <w:t xml:space="preserve"> %</w:t>
      </w:r>
      <w:r>
        <w:t>. Na meziročním růstu příjmů se nejvíce podílel růst příjmů z kapitálových transferů (+58,0 %</w:t>
      </w:r>
      <w:r w:rsidR="00EF7CD7">
        <w:t xml:space="preserve"> na 9,8 mld. Kč</w:t>
      </w:r>
      <w:r>
        <w:t xml:space="preserve">), </w:t>
      </w:r>
      <w:r w:rsidR="00EF7CD7">
        <w:t xml:space="preserve">běžných transferů (+41,5 </w:t>
      </w:r>
      <w:r w:rsidR="00D77FB9">
        <w:t>%</w:t>
      </w:r>
      <w:r w:rsidR="00EF7CD7">
        <w:t xml:space="preserve"> na 12,1 mld. Kč) a </w:t>
      </w:r>
      <w:r>
        <w:t>sociálních příspěvků (+</w:t>
      </w:r>
      <w:r w:rsidR="00EF7CD7">
        <w:t>8,9</w:t>
      </w:r>
      <w:r>
        <w:t xml:space="preserve"> %</w:t>
      </w:r>
      <w:r w:rsidR="00EF7CD7">
        <w:t xml:space="preserve"> na 209,3 mld. Kč</w:t>
      </w:r>
      <w:r>
        <w:t>)</w:t>
      </w:r>
      <w:r w:rsidR="00EF7CD7">
        <w:t>.</w:t>
      </w:r>
      <w:r>
        <w:t xml:space="preserve"> Celkové výdaje vládních institucí vzrostly meziročně o </w:t>
      </w:r>
      <w:r w:rsidR="00EF7CD7">
        <w:t>8,7</w:t>
      </w:r>
      <w:r>
        <w:t xml:space="preserve"> %. K růstu výdajů nejvíce přispěl růst objemu vyplacených </w:t>
      </w:r>
      <w:r w:rsidR="00EF7CD7">
        <w:t>kapitálových transferů</w:t>
      </w:r>
      <w:r>
        <w:t xml:space="preserve"> (</w:t>
      </w:r>
      <w:r w:rsidR="00EF7CD7">
        <w:t>+24,1</w:t>
      </w:r>
      <w:r>
        <w:t xml:space="preserve"> %</w:t>
      </w:r>
      <w:r w:rsidR="00EF7CD7">
        <w:t xml:space="preserve"> na 9,9 mld. Kč</w:t>
      </w:r>
      <w:r>
        <w:t xml:space="preserve">) a </w:t>
      </w:r>
      <w:r w:rsidR="00441019">
        <w:t>investičních výdajů</w:t>
      </w:r>
      <w:r>
        <w:t xml:space="preserve"> (</w:t>
      </w:r>
      <w:r w:rsidR="00441019">
        <w:t>+21,9</w:t>
      </w:r>
      <w:r>
        <w:t xml:space="preserve"> %</w:t>
      </w:r>
      <w:r w:rsidR="00441019">
        <w:t xml:space="preserve"> na 49,2 mld. Kč</w:t>
      </w:r>
      <w:r>
        <w:t xml:space="preserve">). </w:t>
      </w:r>
    </w:p>
    <w:p w:rsidR="00601F81" w:rsidRDefault="00601F81" w:rsidP="00A94B28"/>
    <w:p w:rsidR="00425ADB" w:rsidRDefault="00425ADB" w:rsidP="00425ADB">
      <w:r w:rsidRPr="00760DE0">
        <w:rPr>
          <w:b/>
        </w:rPr>
        <w:t>Míra zadlužení sektoru vládních institucí</w:t>
      </w:r>
      <w:r w:rsidRPr="00760DE0">
        <w:t xml:space="preserve"> meziročně </w:t>
      </w:r>
      <w:r>
        <w:t>poklesla</w:t>
      </w:r>
      <w:r w:rsidRPr="00760DE0">
        <w:t xml:space="preserve"> </w:t>
      </w:r>
      <w:r w:rsidR="00006D9A">
        <w:t xml:space="preserve">z </w:t>
      </w:r>
      <w:r w:rsidRPr="00760DE0">
        <w:t>39,</w:t>
      </w:r>
      <w:r>
        <w:t>47</w:t>
      </w:r>
      <w:r w:rsidRPr="00760DE0">
        <w:t xml:space="preserve"> na </w:t>
      </w:r>
      <w:r>
        <w:rPr>
          <w:b/>
        </w:rPr>
        <w:t>35,30</w:t>
      </w:r>
      <w:r w:rsidRPr="00760DE0">
        <w:rPr>
          <w:b/>
        </w:rPr>
        <w:t xml:space="preserve"> % HDP. </w:t>
      </w:r>
      <w:r w:rsidRPr="00760DE0">
        <w:t>Vývoj nominální výše dluhu přispíval k </w:t>
      </w:r>
      <w:r>
        <w:t>poklesu</w:t>
      </w:r>
      <w:r w:rsidRPr="00760DE0">
        <w:t xml:space="preserve"> zadlužení </w:t>
      </w:r>
      <w:r>
        <w:t xml:space="preserve">o </w:t>
      </w:r>
      <w:r w:rsidRPr="00760DE0">
        <w:t>1,</w:t>
      </w:r>
      <w:r>
        <w:t>83 p.</w:t>
      </w:r>
      <w:r w:rsidR="00E12E8F">
        <w:t xml:space="preserve"> </w:t>
      </w:r>
      <w:r>
        <w:t>b.</w:t>
      </w:r>
      <w:r w:rsidR="00CD21CC">
        <w:t>,</w:t>
      </w:r>
      <w:r w:rsidR="00E00AFE">
        <w:t xml:space="preserve"> </w:t>
      </w:r>
      <w:r>
        <w:t>rostoucí</w:t>
      </w:r>
      <w:r w:rsidRPr="00760DE0">
        <w:t xml:space="preserve"> </w:t>
      </w:r>
      <w:r w:rsidR="00322825">
        <w:t xml:space="preserve">nominální </w:t>
      </w:r>
      <w:r w:rsidRPr="00760DE0">
        <w:t xml:space="preserve">HDP </w:t>
      </w:r>
      <w:r w:rsidR="00CD21CC">
        <w:t>přispěl k poklesu</w:t>
      </w:r>
      <w:r w:rsidRPr="00760DE0">
        <w:t xml:space="preserve"> zadlužení </w:t>
      </w:r>
      <w:r>
        <w:t>o</w:t>
      </w:r>
      <w:r w:rsidRPr="00760DE0">
        <w:t xml:space="preserve"> </w:t>
      </w:r>
      <w:r w:rsidR="00CD21CC">
        <w:t>2,34</w:t>
      </w:r>
      <w:r w:rsidRPr="00760DE0">
        <w:t xml:space="preserve"> p.</w:t>
      </w:r>
      <w:r w:rsidR="00E16796">
        <w:t xml:space="preserve"> </w:t>
      </w:r>
      <w:r w:rsidRPr="00760DE0">
        <w:t xml:space="preserve">b. </w:t>
      </w:r>
      <w:proofErr w:type="spellStart"/>
      <w:r w:rsidRPr="00760DE0">
        <w:t>Mezičtvrtletně</w:t>
      </w:r>
      <w:proofErr w:type="spellEnd"/>
      <w:r w:rsidRPr="00760DE0">
        <w:t xml:space="preserve"> došlo k poklesu míry zadlužení o 0,</w:t>
      </w:r>
      <w:r w:rsidR="00322825">
        <w:t>52</w:t>
      </w:r>
      <w:r w:rsidRPr="00760DE0">
        <w:t xml:space="preserve"> p.</w:t>
      </w:r>
      <w:r w:rsidR="00E16796">
        <w:t xml:space="preserve"> </w:t>
      </w:r>
      <w:r w:rsidRPr="00760DE0">
        <w:t>b. K poklesu nejvíce přispěl růst nominálního HDP (0,4</w:t>
      </w:r>
      <w:r w:rsidR="00322825">
        <w:t>5</w:t>
      </w:r>
      <w:r w:rsidRPr="00760DE0">
        <w:t xml:space="preserve"> p.</w:t>
      </w:r>
      <w:r w:rsidR="00E12E8F">
        <w:t xml:space="preserve"> </w:t>
      </w:r>
      <w:r w:rsidRPr="00760DE0">
        <w:t>b.).</w:t>
      </w:r>
    </w:p>
    <w:p w:rsidR="00E6431E" w:rsidRPr="00270F84" w:rsidRDefault="00E6431E" w:rsidP="00A94B28"/>
    <w:p w:rsidR="00A94B28" w:rsidRPr="00270F84" w:rsidRDefault="00A94B28" w:rsidP="00A94B28">
      <w:pPr>
        <w:pStyle w:val="TabulkaGraf"/>
      </w:pPr>
      <w:r w:rsidRPr="00270F84">
        <w:t xml:space="preserve">Dluh sektoru vládních institucí, </w:t>
      </w:r>
      <w:r w:rsidR="00E00AFE">
        <w:t>2</w:t>
      </w:r>
      <w:r w:rsidR="00B7752A" w:rsidRPr="00270F84">
        <w:t>.</w:t>
      </w:r>
      <w:r w:rsidR="00A60967" w:rsidRPr="00270F84">
        <w:t xml:space="preserve"> čtvrtletí</w:t>
      </w:r>
      <w:r w:rsidR="00B7752A" w:rsidRPr="00270F84">
        <w:t xml:space="preserve"> 201</w:t>
      </w:r>
      <w:r w:rsidR="000D3CE2" w:rsidRPr="00270F84">
        <w:t>7</w:t>
      </w:r>
      <w:r w:rsidR="00B85D5E" w:rsidRPr="00270F84">
        <w:t xml:space="preserve"> </w:t>
      </w:r>
      <w:r w:rsidR="000A2AF1" w:rsidRPr="00270F84">
        <w:t xml:space="preserve">– </w:t>
      </w:r>
      <w:r w:rsidR="00E00AFE">
        <w:t>2</w:t>
      </w:r>
      <w:r w:rsidRPr="00270F84">
        <w:t>.</w:t>
      </w:r>
      <w:r w:rsidR="00A60967" w:rsidRPr="00270F84">
        <w:t xml:space="preserve"> čtvrtletí</w:t>
      </w:r>
      <w:r w:rsidR="00990C86" w:rsidRPr="00270F84">
        <w:t xml:space="preserve"> </w:t>
      </w:r>
      <w:r w:rsidRPr="00270F84">
        <w:t>201</w:t>
      </w:r>
      <w:r w:rsidR="000D3CE2" w:rsidRPr="00270F84">
        <w:t>8</w:t>
      </w:r>
    </w:p>
    <w:tbl>
      <w:tblPr>
        <w:tblStyle w:val="Mkatabulky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134"/>
        <w:gridCol w:w="1134"/>
        <w:gridCol w:w="1134"/>
        <w:gridCol w:w="1134"/>
      </w:tblGrid>
      <w:tr w:rsidR="00064701" w:rsidTr="00B330E1">
        <w:tc>
          <w:tcPr>
            <w:tcW w:w="1809" w:type="dxa"/>
            <w:vMerge w:val="restart"/>
            <w:vAlign w:val="center"/>
          </w:tcPr>
          <w:p w:rsidR="00064701" w:rsidRDefault="00064701" w:rsidP="000B2CAC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064701" w:rsidRDefault="00064701" w:rsidP="000B2CAC">
            <w:pPr>
              <w:jc w:val="center"/>
            </w:pPr>
            <w:r>
              <w:t>Jednotka</w:t>
            </w:r>
          </w:p>
        </w:tc>
        <w:tc>
          <w:tcPr>
            <w:tcW w:w="3402" w:type="dxa"/>
            <w:gridSpan w:val="3"/>
          </w:tcPr>
          <w:p w:rsidR="00064701" w:rsidRDefault="00064701" w:rsidP="000B2CAC">
            <w:pPr>
              <w:jc w:val="center"/>
            </w:pPr>
            <w:r>
              <w:t>2017</w:t>
            </w:r>
          </w:p>
        </w:tc>
        <w:tc>
          <w:tcPr>
            <w:tcW w:w="2268" w:type="dxa"/>
            <w:gridSpan w:val="2"/>
          </w:tcPr>
          <w:p w:rsidR="00064701" w:rsidRDefault="00064701" w:rsidP="000B2CAC">
            <w:pPr>
              <w:jc w:val="center"/>
            </w:pPr>
            <w:r>
              <w:t>2018</w:t>
            </w:r>
          </w:p>
        </w:tc>
      </w:tr>
      <w:tr w:rsidR="00064701" w:rsidTr="00B330E1">
        <w:tc>
          <w:tcPr>
            <w:tcW w:w="1809" w:type="dxa"/>
            <w:vMerge/>
          </w:tcPr>
          <w:p w:rsidR="00064701" w:rsidRDefault="00064701" w:rsidP="000B2CAC"/>
        </w:tc>
        <w:tc>
          <w:tcPr>
            <w:tcW w:w="1134" w:type="dxa"/>
            <w:vMerge/>
          </w:tcPr>
          <w:p w:rsidR="00064701" w:rsidRDefault="00064701" w:rsidP="000B2CAC"/>
        </w:tc>
        <w:tc>
          <w:tcPr>
            <w:tcW w:w="1134" w:type="dxa"/>
          </w:tcPr>
          <w:p w:rsidR="00064701" w:rsidRDefault="00064701" w:rsidP="000B2CAC">
            <w:pPr>
              <w:jc w:val="center"/>
            </w:pPr>
            <w:r>
              <w:t>2. čtvrtletí</w:t>
            </w:r>
          </w:p>
        </w:tc>
        <w:tc>
          <w:tcPr>
            <w:tcW w:w="1134" w:type="dxa"/>
          </w:tcPr>
          <w:p w:rsidR="00064701" w:rsidRDefault="00064701" w:rsidP="000B2CAC">
            <w:pPr>
              <w:jc w:val="center"/>
            </w:pPr>
            <w:r>
              <w:t>3. čtvrtletí</w:t>
            </w:r>
          </w:p>
        </w:tc>
        <w:tc>
          <w:tcPr>
            <w:tcW w:w="1134" w:type="dxa"/>
          </w:tcPr>
          <w:p w:rsidR="00064701" w:rsidRDefault="00064701" w:rsidP="000B2CAC">
            <w:pPr>
              <w:jc w:val="center"/>
            </w:pPr>
            <w:r>
              <w:t>4. čtvrtletí</w:t>
            </w:r>
          </w:p>
        </w:tc>
        <w:tc>
          <w:tcPr>
            <w:tcW w:w="1134" w:type="dxa"/>
          </w:tcPr>
          <w:p w:rsidR="00064701" w:rsidRDefault="00064701" w:rsidP="000B2CAC">
            <w:pPr>
              <w:jc w:val="center"/>
            </w:pPr>
            <w:r>
              <w:t>1. čtvrtletí</w:t>
            </w:r>
          </w:p>
        </w:tc>
        <w:tc>
          <w:tcPr>
            <w:tcW w:w="1134" w:type="dxa"/>
          </w:tcPr>
          <w:p w:rsidR="00064701" w:rsidRDefault="00064701" w:rsidP="000B2CAC">
            <w:pPr>
              <w:jc w:val="center"/>
            </w:pPr>
            <w:r>
              <w:t>2. čtvrtletí</w:t>
            </w:r>
          </w:p>
        </w:tc>
      </w:tr>
      <w:tr w:rsidR="00064701" w:rsidTr="00CF5155">
        <w:trPr>
          <w:trHeight w:val="522"/>
        </w:trPr>
        <w:tc>
          <w:tcPr>
            <w:tcW w:w="1809" w:type="dxa"/>
            <w:vMerge w:val="restart"/>
          </w:tcPr>
          <w:p w:rsidR="00064701" w:rsidRDefault="00064701" w:rsidP="000B2CAC">
            <w:pPr>
              <w:jc w:val="left"/>
            </w:pPr>
            <w:bookmarkStart w:id="0" w:name="_GoBack" w:colFirst="2" w:colLast="6"/>
            <w:r>
              <w:rPr>
                <w:rFonts w:cs="Arial"/>
                <w:szCs w:val="20"/>
              </w:rPr>
              <w:t>Konsolidovaný hrubý dluh sektoru vládních institucí</w:t>
            </w:r>
            <w:r w:rsidRPr="00E155B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64701" w:rsidRDefault="00064701" w:rsidP="000B2CAC">
            <w:pPr>
              <w:jc w:val="center"/>
            </w:pPr>
            <w:r>
              <w:t>mil. Kč</w:t>
            </w:r>
          </w:p>
        </w:tc>
        <w:tc>
          <w:tcPr>
            <w:tcW w:w="1134" w:type="dxa"/>
            <w:vAlign w:val="center"/>
          </w:tcPr>
          <w:p w:rsidR="00064701" w:rsidRDefault="00064701" w:rsidP="00805EC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1 923 566</w:t>
            </w:r>
          </w:p>
        </w:tc>
        <w:tc>
          <w:tcPr>
            <w:tcW w:w="1134" w:type="dxa"/>
            <w:vAlign w:val="center"/>
          </w:tcPr>
          <w:p w:rsidR="00064701" w:rsidRDefault="00064701" w:rsidP="00805EC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1 739 357</w:t>
            </w:r>
          </w:p>
        </w:tc>
        <w:tc>
          <w:tcPr>
            <w:tcW w:w="1134" w:type="dxa"/>
            <w:vAlign w:val="center"/>
          </w:tcPr>
          <w:p w:rsidR="00064701" w:rsidRDefault="00064701" w:rsidP="00805EC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1 749 532</w:t>
            </w:r>
          </w:p>
        </w:tc>
        <w:tc>
          <w:tcPr>
            <w:tcW w:w="1134" w:type="dxa"/>
            <w:vAlign w:val="center"/>
          </w:tcPr>
          <w:p w:rsidR="00064701" w:rsidRDefault="00064701" w:rsidP="00805EC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1 832 346</w:t>
            </w:r>
          </w:p>
        </w:tc>
        <w:tc>
          <w:tcPr>
            <w:tcW w:w="1134" w:type="dxa"/>
            <w:vAlign w:val="center"/>
          </w:tcPr>
          <w:p w:rsidR="00064701" w:rsidRDefault="00064701" w:rsidP="00805EC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1 828 823</w:t>
            </w:r>
          </w:p>
        </w:tc>
      </w:tr>
      <w:bookmarkEnd w:id="0"/>
      <w:tr w:rsidR="00064701" w:rsidTr="00B330E1">
        <w:trPr>
          <w:trHeight w:val="399"/>
        </w:trPr>
        <w:tc>
          <w:tcPr>
            <w:tcW w:w="1809" w:type="dxa"/>
            <w:vMerge/>
          </w:tcPr>
          <w:p w:rsidR="00064701" w:rsidRDefault="00064701" w:rsidP="000B2CAC"/>
        </w:tc>
        <w:tc>
          <w:tcPr>
            <w:tcW w:w="1134" w:type="dxa"/>
            <w:vAlign w:val="center"/>
          </w:tcPr>
          <w:p w:rsidR="00064701" w:rsidRDefault="00064701" w:rsidP="000B2CAC">
            <w:pPr>
              <w:jc w:val="center"/>
            </w:pPr>
            <w:r>
              <w:t>% (HDP)</w:t>
            </w:r>
          </w:p>
        </w:tc>
        <w:tc>
          <w:tcPr>
            <w:tcW w:w="1134" w:type="dxa"/>
            <w:vAlign w:val="center"/>
          </w:tcPr>
          <w:p w:rsidR="00064701" w:rsidRDefault="0006470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39,47</w:t>
            </w:r>
          </w:p>
        </w:tc>
        <w:tc>
          <w:tcPr>
            <w:tcW w:w="1134" w:type="dxa"/>
            <w:vAlign w:val="center"/>
          </w:tcPr>
          <w:p w:rsidR="00064701" w:rsidRDefault="0006470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35,12</w:t>
            </w:r>
          </w:p>
        </w:tc>
        <w:tc>
          <w:tcPr>
            <w:tcW w:w="1134" w:type="dxa"/>
            <w:vAlign w:val="center"/>
          </w:tcPr>
          <w:p w:rsidR="00064701" w:rsidRDefault="0006470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34,68</w:t>
            </w:r>
          </w:p>
        </w:tc>
        <w:tc>
          <w:tcPr>
            <w:tcW w:w="1134" w:type="dxa"/>
            <w:vAlign w:val="center"/>
          </w:tcPr>
          <w:p w:rsidR="00064701" w:rsidRDefault="0006470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35,82</w:t>
            </w:r>
          </w:p>
        </w:tc>
        <w:tc>
          <w:tcPr>
            <w:tcW w:w="1134" w:type="dxa"/>
            <w:vAlign w:val="center"/>
          </w:tcPr>
          <w:p w:rsidR="00064701" w:rsidRDefault="0006470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35,30</w:t>
            </w:r>
          </w:p>
        </w:tc>
      </w:tr>
    </w:tbl>
    <w:p w:rsidR="00DB5168" w:rsidRPr="00270F84" w:rsidRDefault="00DB5168" w:rsidP="007D7C61"/>
    <w:p w:rsidR="00CC08DF" w:rsidRDefault="007E5A52" w:rsidP="007D7C61">
      <w:r>
        <w:t xml:space="preserve">Z hlediska jednotlivých </w:t>
      </w:r>
      <w:r w:rsidR="000B2CAC">
        <w:t>komponent</w:t>
      </w:r>
      <w:r>
        <w:t xml:space="preserve"> dluhu byl </w:t>
      </w:r>
      <w:r w:rsidR="000B2CAC">
        <w:t>pokles</w:t>
      </w:r>
      <w:r w:rsidR="007D7C61" w:rsidRPr="00270F84">
        <w:t xml:space="preserve"> </w:t>
      </w:r>
      <w:r w:rsidR="00CC08DF" w:rsidRPr="00270F84">
        <w:t xml:space="preserve">způsoben </w:t>
      </w:r>
      <w:r w:rsidR="009C406F" w:rsidRPr="00270F84">
        <w:t xml:space="preserve">především </w:t>
      </w:r>
      <w:r w:rsidR="000B2CAC">
        <w:t>poklesem</w:t>
      </w:r>
      <w:r w:rsidR="007D7C61" w:rsidRPr="00270F84">
        <w:t xml:space="preserve"> objemu emitovaných dluhových cenných papírů (</w:t>
      </w:r>
      <w:r w:rsidR="000B2CAC">
        <w:t xml:space="preserve">-3,3 % </w:t>
      </w:r>
      <w:proofErr w:type="spellStart"/>
      <w:r w:rsidR="000B2CAC">
        <w:t>mezičtvrtletně</w:t>
      </w:r>
      <w:proofErr w:type="spellEnd"/>
      <w:r w:rsidR="000B2CAC">
        <w:t>, -7,7 % meziročně), které zůstávají hlavním instrumentem s podílem 89,3 % na celkovém dluhu. Nárůst</w:t>
      </w:r>
      <w:r w:rsidR="007D7C61" w:rsidRPr="00270F84">
        <w:t xml:space="preserve"> byl naopak </w:t>
      </w:r>
      <w:r w:rsidR="007D7C61" w:rsidRPr="00270F84">
        <w:lastRenderedPageBreak/>
        <w:t>zaznamenán v</w:t>
      </w:r>
      <w:r w:rsidR="000B2CAC">
        <w:t> položce přijatých úvěrů, a to jak v mezičtvrtletním srovnání (+49,3 mld. Kč), tak i meziročně (+</w:t>
      </w:r>
      <w:r w:rsidR="00CB4991">
        <w:t>49,8 mld. Kč)</w:t>
      </w:r>
      <w:r w:rsidR="007D7C61" w:rsidRPr="00270F84">
        <w:t>.</w:t>
      </w:r>
    </w:p>
    <w:p w:rsidR="007674A6" w:rsidRPr="004920AD" w:rsidRDefault="007674A6" w:rsidP="007674A6">
      <w:pPr>
        <w:pStyle w:val="Poznmky0"/>
      </w:pPr>
      <w:r>
        <w:t>Poznámky:</w:t>
      </w:r>
    </w:p>
    <w:p w:rsidR="007674A6" w:rsidRPr="002C1411" w:rsidRDefault="007674A6" w:rsidP="007674A6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t>Kvantifikace fiskálních ukazatelů je založena na metodice Evropského systému národních účtů (ESA</w:t>
      </w:r>
      <w:r w:rsidR="00C1677B"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EDP a pro hodnocení plnění maastrichtských konvergenčních kritérií.  </w:t>
      </w:r>
    </w:p>
    <w:p w:rsidR="007674A6" w:rsidRPr="002C1411" w:rsidRDefault="007674A6" w:rsidP="007674A6">
      <w:pPr>
        <w:rPr>
          <w:i/>
          <w:sz w:val="18"/>
          <w:szCs w:val="18"/>
        </w:rPr>
      </w:pPr>
    </w:p>
    <w:p w:rsidR="007674A6" w:rsidRPr="002009DA" w:rsidRDefault="007674A6" w:rsidP="007674A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čistých půjček (+) nebo výpůjček (-) v systému národního účetnictví. Ukazatel vyjadřuje schopnost sektoru v daném období financovat (+) jiné sektory ekonomiky nebo potřebu tohoto sektoru být ostatními sektory financován (-).</w:t>
      </w:r>
    </w:p>
    <w:p w:rsidR="007674A6" w:rsidRPr="002009DA" w:rsidRDefault="007674A6" w:rsidP="007674A6">
      <w:pPr>
        <w:rPr>
          <w:rFonts w:cs="Arial"/>
          <w:i/>
          <w:sz w:val="18"/>
          <w:szCs w:val="18"/>
        </w:rPr>
      </w:pPr>
    </w:p>
    <w:p w:rsidR="007674A6" w:rsidRPr="002C1411" w:rsidRDefault="007674A6" w:rsidP="007674A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</w:t>
      </w:r>
      <w:r w:rsidR="00C1677B"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přijatých vkladů, emitovaných dluhových cenných papírů a přijatých půjček. U </w:t>
      </w:r>
      <w:proofErr w:type="spellStart"/>
      <w:r w:rsidRPr="002C1411">
        <w:rPr>
          <w:rFonts w:cs="Arial"/>
          <w:i/>
          <w:sz w:val="18"/>
          <w:szCs w:val="18"/>
        </w:rPr>
        <w:t>cizoměnových</w:t>
      </w:r>
      <w:proofErr w:type="spellEnd"/>
      <w:r w:rsidRPr="002C1411">
        <w:rPr>
          <w:rFonts w:cs="Arial"/>
          <w:i/>
          <w:sz w:val="18"/>
          <w:szCs w:val="18"/>
        </w:rPr>
        <w:t xml:space="preserve"> dluhových nástrojů zajištěných proti měnovému riziku je ocenění provedeno na bázi smluvního kurzu.</w:t>
      </w:r>
    </w:p>
    <w:p w:rsidR="007674A6" w:rsidRPr="002C1411" w:rsidRDefault="007674A6" w:rsidP="007674A6">
      <w:pPr>
        <w:rPr>
          <w:i/>
          <w:sz w:val="18"/>
          <w:szCs w:val="18"/>
        </w:rPr>
      </w:pPr>
    </w:p>
    <w:p w:rsidR="007674A6" w:rsidRPr="002C1411" w:rsidRDefault="007674A6" w:rsidP="007674A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>Saldo hospodaření je porovnáno s výší HDP v daném čtvrtletí v běžných cenách. Výše konsolidovaného dluhu vládních institucí je porovnána se součtem HDP v běžných cenách za poslední čtyři čtvrtletí. Údaje o saldu hospodaření a dluhu vládních institucí jsou součástí tabulek Transmisního programu (tabulka 25 a</w:t>
      </w:r>
      <w:r w:rsidR="00C1677B">
        <w:rPr>
          <w:i/>
          <w:sz w:val="18"/>
          <w:szCs w:val="18"/>
        </w:rPr>
        <w:t> </w:t>
      </w:r>
      <w:r w:rsidRPr="002C1411">
        <w:rPr>
          <w:i/>
          <w:sz w:val="18"/>
          <w:szCs w:val="18"/>
        </w:rPr>
        <w:t>tabulka 28) publikovaných na stránkách ČSÚ v sekci „HDP, Národní účty“.</w:t>
      </w:r>
    </w:p>
    <w:p w:rsidR="007674A6" w:rsidRPr="002C1411" w:rsidRDefault="007674A6" w:rsidP="007674A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>(</w:t>
      </w:r>
      <w:hyperlink r:id="rId9" w:history="1">
        <w:r w:rsidRPr="002C1411">
          <w:rPr>
            <w:rStyle w:val="Hypertextovodkaz"/>
            <w:i/>
            <w:sz w:val="18"/>
            <w:szCs w:val="18"/>
          </w:rPr>
          <w:t>http://apl.czso.cz/pll/rocenka/rocenka.indexnu_gov</w:t>
        </w:r>
      </w:hyperlink>
      <w:r w:rsidRPr="002C1411">
        <w:rPr>
          <w:i/>
          <w:sz w:val="18"/>
          <w:szCs w:val="18"/>
        </w:rPr>
        <w:t>)</w:t>
      </w:r>
    </w:p>
    <w:p w:rsidR="007674A6" w:rsidRPr="002C1411" w:rsidRDefault="007674A6" w:rsidP="007674A6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7674A6" w:rsidTr="00242A34">
        <w:tc>
          <w:tcPr>
            <w:tcW w:w="3369" w:type="dxa"/>
          </w:tcPr>
          <w:p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:rsidR="007674A6" w:rsidRDefault="007674A6" w:rsidP="00F20640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</w:t>
            </w:r>
            <w:r w:rsidR="00F20640">
              <w:rPr>
                <w:i/>
                <w:iCs/>
                <w:sz w:val="18"/>
                <w:szCs w:val="18"/>
              </w:rPr>
              <w:t>Petr Musil</w:t>
            </w:r>
            <w:r w:rsidRPr="002C1411">
              <w:rPr>
                <w:i/>
                <w:iCs/>
                <w:sz w:val="18"/>
                <w:szCs w:val="18"/>
              </w:rPr>
              <w:t>, Ph.D.,</w:t>
            </w:r>
            <w:r w:rsidR="00982CA8">
              <w:rPr>
                <w:i/>
                <w:iCs/>
                <w:sz w:val="18"/>
                <w:szCs w:val="18"/>
              </w:rPr>
              <w:t xml:space="preserve"> ředitel </w:t>
            </w:r>
            <w:r w:rsidR="00F20640">
              <w:rPr>
                <w:i/>
                <w:iCs/>
                <w:sz w:val="18"/>
                <w:szCs w:val="18"/>
              </w:rPr>
              <w:t>odboru vládních a finančních účtů</w:t>
            </w:r>
            <w:r w:rsidR="00982CA8">
              <w:rPr>
                <w:i/>
                <w:iCs/>
                <w:sz w:val="18"/>
                <w:szCs w:val="18"/>
              </w:rPr>
              <w:t>,</w:t>
            </w:r>
            <w:r w:rsidR="00F20640">
              <w:rPr>
                <w:i/>
                <w:iCs/>
                <w:sz w:val="18"/>
                <w:szCs w:val="18"/>
              </w:rPr>
              <w:t xml:space="preserve"> tel.: 274052308</w:t>
            </w:r>
            <w:r w:rsidRPr="002C1411">
              <w:rPr>
                <w:i/>
                <w:iCs/>
                <w:sz w:val="18"/>
                <w:szCs w:val="18"/>
              </w:rPr>
              <w:t xml:space="preserve">, e-mail: </w:t>
            </w:r>
            <w:hyperlink r:id="rId10" w:history="1">
              <w:r w:rsidR="00242A34" w:rsidRPr="00A35827">
                <w:rPr>
                  <w:rStyle w:val="Hypertextovodkaz"/>
                  <w:sz w:val="18"/>
                </w:rPr>
                <w:t>petr.musil@czso.cz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:rsidTr="00242A34">
        <w:tc>
          <w:tcPr>
            <w:tcW w:w="3369" w:type="dxa"/>
          </w:tcPr>
          <w:p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:rsidR="007674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</w:t>
            </w:r>
            <w:r w:rsidR="00982CA8">
              <w:rPr>
                <w:i/>
                <w:iCs/>
                <w:sz w:val="18"/>
                <w:szCs w:val="18"/>
              </w:rPr>
              <w:t xml:space="preserve">vedoucí oddělení vládních účtů, </w:t>
            </w:r>
            <w:r w:rsidRPr="002C1411">
              <w:rPr>
                <w:i/>
                <w:iCs/>
                <w:sz w:val="18"/>
                <w:szCs w:val="18"/>
              </w:rPr>
              <w:t xml:space="preserve">tel.: 274054232, e-mail: </w:t>
            </w:r>
            <w:hyperlink r:id="rId11" w:history="1">
              <w:r w:rsidRPr="003339DD">
                <w:rPr>
                  <w:rStyle w:val="Hypertextovodkaz"/>
                  <w:sz w:val="18"/>
                </w:rPr>
                <w:t>jaroslav.kahoun@czso.cz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:rsidTr="00242A34">
        <w:tc>
          <w:tcPr>
            <w:tcW w:w="3369" w:type="dxa"/>
          </w:tcPr>
          <w:p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:rsidR="007674A6" w:rsidRPr="007F7CB9" w:rsidRDefault="007F7FF7" w:rsidP="007F7FF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  <w:r w:rsidR="007674A6" w:rsidRPr="007F7CB9">
              <w:rPr>
                <w:i/>
                <w:iCs/>
                <w:sz w:val="18"/>
                <w:szCs w:val="18"/>
              </w:rPr>
              <w:t xml:space="preserve">. </w:t>
            </w:r>
            <w:r w:rsidR="002A6B48">
              <w:rPr>
                <w:i/>
                <w:iCs/>
                <w:sz w:val="18"/>
                <w:szCs w:val="18"/>
              </w:rPr>
              <w:t>0</w:t>
            </w:r>
            <w:r w:rsidR="00511B4C">
              <w:rPr>
                <w:i/>
                <w:iCs/>
                <w:sz w:val="18"/>
                <w:szCs w:val="18"/>
              </w:rPr>
              <w:t>1</w:t>
            </w:r>
            <w:r w:rsidR="00760DE0">
              <w:rPr>
                <w:i/>
                <w:iCs/>
                <w:sz w:val="18"/>
                <w:szCs w:val="18"/>
              </w:rPr>
              <w:t>. 201</w:t>
            </w:r>
            <w:r>
              <w:rPr>
                <w:i/>
                <w:iCs/>
                <w:sz w:val="18"/>
                <w:szCs w:val="18"/>
              </w:rPr>
              <w:t>9</w:t>
            </w:r>
          </w:p>
        </w:tc>
      </w:tr>
    </w:tbl>
    <w:p w:rsidR="007674A6" w:rsidRDefault="007674A6" w:rsidP="007674A6">
      <w:pPr>
        <w:rPr>
          <w:i/>
          <w:iCs/>
          <w:sz w:val="18"/>
          <w:szCs w:val="18"/>
        </w:rPr>
      </w:pPr>
    </w:p>
    <w:p w:rsidR="007674A6" w:rsidRDefault="007674A6" w:rsidP="007674A6">
      <w:pPr>
        <w:rPr>
          <w:i/>
          <w:iCs/>
          <w:sz w:val="18"/>
          <w:szCs w:val="18"/>
        </w:rPr>
      </w:pPr>
    </w:p>
    <w:p w:rsidR="00EA2DE9" w:rsidRPr="00EA2DE9" w:rsidRDefault="00EA2DE9" w:rsidP="00EA2DE9"/>
    <w:sectPr w:rsidR="00EA2DE9" w:rsidRPr="00EA2DE9" w:rsidSect="00A60967">
      <w:headerReference w:type="default" r:id="rId12"/>
      <w:footerReference w:type="default" r:id="rId13"/>
      <w:pgSz w:w="11907" w:h="16839" w:code="9"/>
      <w:pgMar w:top="2802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B9" w:rsidRDefault="00D77FB9" w:rsidP="00BA6370">
      <w:r>
        <w:separator/>
      </w:r>
    </w:p>
  </w:endnote>
  <w:endnote w:type="continuationSeparator" w:id="0">
    <w:p w:rsidR="00D77FB9" w:rsidRDefault="00D77FB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B9" w:rsidRDefault="00D77FB9">
    <w:pPr>
      <w:pStyle w:val="Zpa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89CE0B" wp14:editId="1DB2365E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7FB9" w:rsidRPr="001404AB" w:rsidRDefault="00D77FB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77FB9" w:rsidRPr="00A81EB3" w:rsidRDefault="00D77FB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begin"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instrText xml:space="preserve"> PAGE   \* MERGEFORMAT </w:instrTex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separate"/>
                          </w:r>
                          <w:r w:rsidR="00805EC2">
                            <w:rPr>
                              <w:rFonts w:cs="Arial"/>
                              <w:noProof/>
                              <w:sz w:val="18"/>
                              <w:szCs w:val="15"/>
                            </w:rPr>
                            <w:t>1</w: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D77FB9" w:rsidRPr="001404AB" w:rsidRDefault="00D77FB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77FB9" w:rsidRPr="00A81EB3" w:rsidRDefault="00D77FB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begin"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instrText xml:space="preserve"> PAGE   \* MERGEFORMAT </w:instrTex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separate"/>
                    </w:r>
                    <w:r w:rsidR="00805EC2">
                      <w:rPr>
                        <w:rFonts w:cs="Arial"/>
                        <w:noProof/>
                        <w:sz w:val="18"/>
                        <w:szCs w:val="15"/>
                      </w:rPr>
                      <w:t>1</w: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8DC7ABB" wp14:editId="1D5D35D2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B9" w:rsidRDefault="00D77FB9" w:rsidP="00BA6370">
      <w:r>
        <w:separator/>
      </w:r>
    </w:p>
  </w:footnote>
  <w:footnote w:type="continuationSeparator" w:id="0">
    <w:p w:rsidR="00D77FB9" w:rsidRDefault="00D77FB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B9" w:rsidRDefault="00D77FB9">
    <w:pPr>
      <w:pStyle w:val="Zhlav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F48E703" wp14:editId="7AD30593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D57"/>
    <w:multiLevelType w:val="hybridMultilevel"/>
    <w:tmpl w:val="17F43044"/>
    <w:lvl w:ilvl="0" w:tplc="D45A3CA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252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76"/>
    <w:rsid w:val="00006D9A"/>
    <w:rsid w:val="00022194"/>
    <w:rsid w:val="00024DDA"/>
    <w:rsid w:val="00031874"/>
    <w:rsid w:val="00031E89"/>
    <w:rsid w:val="00043BF4"/>
    <w:rsid w:val="0005106B"/>
    <w:rsid w:val="00064701"/>
    <w:rsid w:val="000843A5"/>
    <w:rsid w:val="00090EA1"/>
    <w:rsid w:val="000910DA"/>
    <w:rsid w:val="00096D6C"/>
    <w:rsid w:val="000A18CB"/>
    <w:rsid w:val="000A2AF1"/>
    <w:rsid w:val="000B2CAC"/>
    <w:rsid w:val="000B6F63"/>
    <w:rsid w:val="000D093F"/>
    <w:rsid w:val="000D3CE2"/>
    <w:rsid w:val="000E43CC"/>
    <w:rsid w:val="000F5D76"/>
    <w:rsid w:val="001404AB"/>
    <w:rsid w:val="00151F49"/>
    <w:rsid w:val="0015543C"/>
    <w:rsid w:val="00156857"/>
    <w:rsid w:val="001614B5"/>
    <w:rsid w:val="00171CC7"/>
    <w:rsid w:val="0017231D"/>
    <w:rsid w:val="001810DC"/>
    <w:rsid w:val="001B13D2"/>
    <w:rsid w:val="001B1F6A"/>
    <w:rsid w:val="001B607F"/>
    <w:rsid w:val="001B7272"/>
    <w:rsid w:val="001D369A"/>
    <w:rsid w:val="001D7AFB"/>
    <w:rsid w:val="001F08B3"/>
    <w:rsid w:val="001F2FE0"/>
    <w:rsid w:val="00200854"/>
    <w:rsid w:val="002070FB"/>
    <w:rsid w:val="00210C77"/>
    <w:rsid w:val="00213729"/>
    <w:rsid w:val="00233976"/>
    <w:rsid w:val="002406FA"/>
    <w:rsid w:val="00242A34"/>
    <w:rsid w:val="0026107B"/>
    <w:rsid w:val="00264DAF"/>
    <w:rsid w:val="00270F84"/>
    <w:rsid w:val="002733DB"/>
    <w:rsid w:val="00281B97"/>
    <w:rsid w:val="00295A12"/>
    <w:rsid w:val="002A56D6"/>
    <w:rsid w:val="002A6B48"/>
    <w:rsid w:val="002B2E47"/>
    <w:rsid w:val="002C48E6"/>
    <w:rsid w:val="002E7C61"/>
    <w:rsid w:val="00304176"/>
    <w:rsid w:val="00322825"/>
    <w:rsid w:val="003301A3"/>
    <w:rsid w:val="00351CA8"/>
    <w:rsid w:val="0035564A"/>
    <w:rsid w:val="00357199"/>
    <w:rsid w:val="0036141C"/>
    <w:rsid w:val="0036777B"/>
    <w:rsid w:val="0038282A"/>
    <w:rsid w:val="0039376F"/>
    <w:rsid w:val="003964A5"/>
    <w:rsid w:val="00397580"/>
    <w:rsid w:val="003A45C8"/>
    <w:rsid w:val="003B416A"/>
    <w:rsid w:val="003C2DCF"/>
    <w:rsid w:val="003C7FE7"/>
    <w:rsid w:val="003D0499"/>
    <w:rsid w:val="003D3576"/>
    <w:rsid w:val="003F4BD3"/>
    <w:rsid w:val="003F526A"/>
    <w:rsid w:val="00405244"/>
    <w:rsid w:val="004154C7"/>
    <w:rsid w:val="00423779"/>
    <w:rsid w:val="00425ADB"/>
    <w:rsid w:val="00425F10"/>
    <w:rsid w:val="00441019"/>
    <w:rsid w:val="004436EE"/>
    <w:rsid w:val="00447B75"/>
    <w:rsid w:val="0045547F"/>
    <w:rsid w:val="00471DEF"/>
    <w:rsid w:val="00474A48"/>
    <w:rsid w:val="004920AD"/>
    <w:rsid w:val="004A2FD5"/>
    <w:rsid w:val="004A5D0D"/>
    <w:rsid w:val="004D05B3"/>
    <w:rsid w:val="004D7CFA"/>
    <w:rsid w:val="004E479E"/>
    <w:rsid w:val="004F686C"/>
    <w:rsid w:val="004F78E6"/>
    <w:rsid w:val="0050420E"/>
    <w:rsid w:val="00506867"/>
    <w:rsid w:val="00511B4C"/>
    <w:rsid w:val="00512D99"/>
    <w:rsid w:val="00514205"/>
    <w:rsid w:val="00526E0E"/>
    <w:rsid w:val="00531DBB"/>
    <w:rsid w:val="00545931"/>
    <w:rsid w:val="00546A7F"/>
    <w:rsid w:val="005543FD"/>
    <w:rsid w:val="005652F3"/>
    <w:rsid w:val="00573994"/>
    <w:rsid w:val="0057429D"/>
    <w:rsid w:val="005B0489"/>
    <w:rsid w:val="005B2684"/>
    <w:rsid w:val="005D0C9E"/>
    <w:rsid w:val="005E1A31"/>
    <w:rsid w:val="005F0EFC"/>
    <w:rsid w:val="005F79FB"/>
    <w:rsid w:val="00601F81"/>
    <w:rsid w:val="00604406"/>
    <w:rsid w:val="00604C56"/>
    <w:rsid w:val="00605F4A"/>
    <w:rsid w:val="00607822"/>
    <w:rsid w:val="006103AA"/>
    <w:rsid w:val="00613BBF"/>
    <w:rsid w:val="00622B80"/>
    <w:rsid w:val="0062466F"/>
    <w:rsid w:val="00635BB1"/>
    <w:rsid w:val="0064139A"/>
    <w:rsid w:val="00642760"/>
    <w:rsid w:val="0064756E"/>
    <w:rsid w:val="00667CB5"/>
    <w:rsid w:val="00681750"/>
    <w:rsid w:val="006931CF"/>
    <w:rsid w:val="006A7EAB"/>
    <w:rsid w:val="006D2075"/>
    <w:rsid w:val="006E024F"/>
    <w:rsid w:val="006E4E81"/>
    <w:rsid w:val="006E5508"/>
    <w:rsid w:val="006F2D3A"/>
    <w:rsid w:val="00705916"/>
    <w:rsid w:val="00707F7D"/>
    <w:rsid w:val="00712924"/>
    <w:rsid w:val="00717EC5"/>
    <w:rsid w:val="00720C71"/>
    <w:rsid w:val="00724DB5"/>
    <w:rsid w:val="00747707"/>
    <w:rsid w:val="00754C20"/>
    <w:rsid w:val="00760DE0"/>
    <w:rsid w:val="007674A6"/>
    <w:rsid w:val="00795F3F"/>
    <w:rsid w:val="007A0CE9"/>
    <w:rsid w:val="007A2048"/>
    <w:rsid w:val="007A57F2"/>
    <w:rsid w:val="007B0AAF"/>
    <w:rsid w:val="007B1333"/>
    <w:rsid w:val="007B3BC2"/>
    <w:rsid w:val="007C565C"/>
    <w:rsid w:val="007D44DD"/>
    <w:rsid w:val="007D624A"/>
    <w:rsid w:val="007D7C61"/>
    <w:rsid w:val="007E5A52"/>
    <w:rsid w:val="007F4AEB"/>
    <w:rsid w:val="007F75B2"/>
    <w:rsid w:val="007F7FF7"/>
    <w:rsid w:val="00803993"/>
    <w:rsid w:val="008043C4"/>
    <w:rsid w:val="00805EC2"/>
    <w:rsid w:val="00815D15"/>
    <w:rsid w:val="008300E7"/>
    <w:rsid w:val="00830643"/>
    <w:rsid w:val="00831B1B"/>
    <w:rsid w:val="0085371B"/>
    <w:rsid w:val="00855FB3"/>
    <w:rsid w:val="00861D0E"/>
    <w:rsid w:val="008662BB"/>
    <w:rsid w:val="00867569"/>
    <w:rsid w:val="00884CF1"/>
    <w:rsid w:val="00885B92"/>
    <w:rsid w:val="008A750A"/>
    <w:rsid w:val="008B3970"/>
    <w:rsid w:val="008C384C"/>
    <w:rsid w:val="008D0F11"/>
    <w:rsid w:val="008D1041"/>
    <w:rsid w:val="008D7FDA"/>
    <w:rsid w:val="008E728B"/>
    <w:rsid w:val="008F31E9"/>
    <w:rsid w:val="008F38CA"/>
    <w:rsid w:val="008F7147"/>
    <w:rsid w:val="008F73B4"/>
    <w:rsid w:val="00906F17"/>
    <w:rsid w:val="00910009"/>
    <w:rsid w:val="00915A3B"/>
    <w:rsid w:val="00917C75"/>
    <w:rsid w:val="00927342"/>
    <w:rsid w:val="00961DC3"/>
    <w:rsid w:val="00982CA8"/>
    <w:rsid w:val="00986DD7"/>
    <w:rsid w:val="00990C86"/>
    <w:rsid w:val="00995ACC"/>
    <w:rsid w:val="00996553"/>
    <w:rsid w:val="009B026E"/>
    <w:rsid w:val="009B55B1"/>
    <w:rsid w:val="009B5605"/>
    <w:rsid w:val="009C406F"/>
    <w:rsid w:val="00A075A1"/>
    <w:rsid w:val="00A0762A"/>
    <w:rsid w:val="00A12EB7"/>
    <w:rsid w:val="00A132F9"/>
    <w:rsid w:val="00A15D66"/>
    <w:rsid w:val="00A32AB9"/>
    <w:rsid w:val="00A36CFE"/>
    <w:rsid w:val="00A4343D"/>
    <w:rsid w:val="00A502F1"/>
    <w:rsid w:val="00A544EE"/>
    <w:rsid w:val="00A60967"/>
    <w:rsid w:val="00A70A83"/>
    <w:rsid w:val="00A81EB3"/>
    <w:rsid w:val="00A86C04"/>
    <w:rsid w:val="00A927E3"/>
    <w:rsid w:val="00A93DE1"/>
    <w:rsid w:val="00A94B28"/>
    <w:rsid w:val="00AA4564"/>
    <w:rsid w:val="00AA5204"/>
    <w:rsid w:val="00AA66CB"/>
    <w:rsid w:val="00AB3410"/>
    <w:rsid w:val="00AC7D51"/>
    <w:rsid w:val="00AD1D04"/>
    <w:rsid w:val="00AD3DFB"/>
    <w:rsid w:val="00AD450F"/>
    <w:rsid w:val="00AD5011"/>
    <w:rsid w:val="00AE2F0C"/>
    <w:rsid w:val="00AE305A"/>
    <w:rsid w:val="00AE6907"/>
    <w:rsid w:val="00AE7FAA"/>
    <w:rsid w:val="00AF1501"/>
    <w:rsid w:val="00AF52E4"/>
    <w:rsid w:val="00AF5FB5"/>
    <w:rsid w:val="00B00C1D"/>
    <w:rsid w:val="00B06A45"/>
    <w:rsid w:val="00B30687"/>
    <w:rsid w:val="00B3245E"/>
    <w:rsid w:val="00B330E1"/>
    <w:rsid w:val="00B55375"/>
    <w:rsid w:val="00B56382"/>
    <w:rsid w:val="00B632CC"/>
    <w:rsid w:val="00B70E16"/>
    <w:rsid w:val="00B7682C"/>
    <w:rsid w:val="00B7752A"/>
    <w:rsid w:val="00B85D5E"/>
    <w:rsid w:val="00B906F2"/>
    <w:rsid w:val="00B928C6"/>
    <w:rsid w:val="00B973E6"/>
    <w:rsid w:val="00BA12F1"/>
    <w:rsid w:val="00BA33CC"/>
    <w:rsid w:val="00BA439F"/>
    <w:rsid w:val="00BA6370"/>
    <w:rsid w:val="00BB2C9A"/>
    <w:rsid w:val="00BD66E4"/>
    <w:rsid w:val="00BF02C9"/>
    <w:rsid w:val="00BF41B9"/>
    <w:rsid w:val="00BF65E6"/>
    <w:rsid w:val="00C064EE"/>
    <w:rsid w:val="00C135E6"/>
    <w:rsid w:val="00C14348"/>
    <w:rsid w:val="00C1677B"/>
    <w:rsid w:val="00C20061"/>
    <w:rsid w:val="00C2585D"/>
    <w:rsid w:val="00C269D4"/>
    <w:rsid w:val="00C3546B"/>
    <w:rsid w:val="00C37ADB"/>
    <w:rsid w:val="00C4160D"/>
    <w:rsid w:val="00C45D98"/>
    <w:rsid w:val="00C60D47"/>
    <w:rsid w:val="00C65A6E"/>
    <w:rsid w:val="00C8406E"/>
    <w:rsid w:val="00C86548"/>
    <w:rsid w:val="00C87D1B"/>
    <w:rsid w:val="00C9073E"/>
    <w:rsid w:val="00CA679D"/>
    <w:rsid w:val="00CB2709"/>
    <w:rsid w:val="00CB2EC7"/>
    <w:rsid w:val="00CB38F2"/>
    <w:rsid w:val="00CB4991"/>
    <w:rsid w:val="00CB6F89"/>
    <w:rsid w:val="00CC08DF"/>
    <w:rsid w:val="00CC0AE9"/>
    <w:rsid w:val="00CC3372"/>
    <w:rsid w:val="00CC6422"/>
    <w:rsid w:val="00CD21CC"/>
    <w:rsid w:val="00CE0B66"/>
    <w:rsid w:val="00CE228C"/>
    <w:rsid w:val="00CE5BC2"/>
    <w:rsid w:val="00CE6D97"/>
    <w:rsid w:val="00CE71D9"/>
    <w:rsid w:val="00CF5155"/>
    <w:rsid w:val="00CF545B"/>
    <w:rsid w:val="00D208F1"/>
    <w:rsid w:val="00D209A7"/>
    <w:rsid w:val="00D27D69"/>
    <w:rsid w:val="00D31861"/>
    <w:rsid w:val="00D33658"/>
    <w:rsid w:val="00D448C2"/>
    <w:rsid w:val="00D666C3"/>
    <w:rsid w:val="00D77FB9"/>
    <w:rsid w:val="00D914A9"/>
    <w:rsid w:val="00D9189F"/>
    <w:rsid w:val="00DB3D52"/>
    <w:rsid w:val="00DB5168"/>
    <w:rsid w:val="00DB7DDE"/>
    <w:rsid w:val="00DD2AC3"/>
    <w:rsid w:val="00DD43D0"/>
    <w:rsid w:val="00DD56E4"/>
    <w:rsid w:val="00DF14D2"/>
    <w:rsid w:val="00DF1723"/>
    <w:rsid w:val="00DF1DBF"/>
    <w:rsid w:val="00DF2A26"/>
    <w:rsid w:val="00DF47FE"/>
    <w:rsid w:val="00E00AFE"/>
    <w:rsid w:val="00E0156A"/>
    <w:rsid w:val="00E12E8F"/>
    <w:rsid w:val="00E14573"/>
    <w:rsid w:val="00E16796"/>
    <w:rsid w:val="00E16F11"/>
    <w:rsid w:val="00E22A62"/>
    <w:rsid w:val="00E26704"/>
    <w:rsid w:val="00E30385"/>
    <w:rsid w:val="00E30E72"/>
    <w:rsid w:val="00E31980"/>
    <w:rsid w:val="00E3211D"/>
    <w:rsid w:val="00E6423C"/>
    <w:rsid w:val="00E6431E"/>
    <w:rsid w:val="00E93830"/>
    <w:rsid w:val="00E93E0E"/>
    <w:rsid w:val="00EA2DE9"/>
    <w:rsid w:val="00EB1ED3"/>
    <w:rsid w:val="00EB44BC"/>
    <w:rsid w:val="00ED5CEB"/>
    <w:rsid w:val="00EE06E6"/>
    <w:rsid w:val="00EE43EB"/>
    <w:rsid w:val="00EF38A3"/>
    <w:rsid w:val="00EF7CD7"/>
    <w:rsid w:val="00F02061"/>
    <w:rsid w:val="00F158FD"/>
    <w:rsid w:val="00F20640"/>
    <w:rsid w:val="00F214B3"/>
    <w:rsid w:val="00F64D73"/>
    <w:rsid w:val="00F75711"/>
    <w:rsid w:val="00F75BD5"/>
    <w:rsid w:val="00F75F2A"/>
    <w:rsid w:val="00FA3792"/>
    <w:rsid w:val="00FA5B92"/>
    <w:rsid w:val="00FB1DDD"/>
    <w:rsid w:val="00FB687C"/>
    <w:rsid w:val="00FC25C8"/>
    <w:rsid w:val="00FC3C67"/>
    <w:rsid w:val="00FF3DC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roslav.kahoun@czso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etr.musil@czs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l.czso.cz/pll/rocenka/rocenka.indexnu_go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5692-B4B5-4C8D-83AF-0CB4A542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4216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Petr Musil</cp:lastModifiedBy>
  <cp:revision>94</cp:revision>
  <cp:lastPrinted>2018-10-02T08:03:00Z</cp:lastPrinted>
  <dcterms:created xsi:type="dcterms:W3CDTF">2017-06-30T08:11:00Z</dcterms:created>
  <dcterms:modified xsi:type="dcterms:W3CDTF">2018-10-02T08:26:00Z</dcterms:modified>
</cp:coreProperties>
</file>