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ED728" w14:textId="6E27FB08" w:rsidR="00375706" w:rsidRPr="00462847" w:rsidRDefault="00346F51" w:rsidP="00375706">
      <w:pPr>
        <w:pStyle w:val="Datum"/>
      </w:pPr>
      <w:r w:rsidRPr="00462847">
        <w:t>3 </w:t>
      </w:r>
      <w:r w:rsidR="00E77CE0" w:rsidRPr="00462847">
        <w:t>July</w:t>
      </w:r>
      <w:r w:rsidR="0057581B" w:rsidRPr="00462847">
        <w:t> </w:t>
      </w:r>
      <w:r w:rsidRPr="00462847">
        <w:t>2023</w:t>
      </w:r>
    </w:p>
    <w:p w14:paraId="0B60D5A1" w14:textId="10197D6C" w:rsidR="00375706" w:rsidRPr="00462847" w:rsidRDefault="0057581B" w:rsidP="00375706">
      <w:pPr>
        <w:pStyle w:val="Podtitulek"/>
        <w:rPr>
          <w:color w:val="BD1B21"/>
          <w:sz w:val="32"/>
          <w:szCs w:val="32"/>
        </w:rPr>
      </w:pPr>
      <w:r w:rsidRPr="00462847">
        <w:rPr>
          <w:color w:val="BD1B21"/>
          <w:sz w:val="32"/>
          <w:szCs w:val="32"/>
        </w:rPr>
        <w:t xml:space="preserve">General government sector balance </w:t>
      </w:r>
      <w:r w:rsidR="005D4F5B" w:rsidRPr="00462847">
        <w:rPr>
          <w:color w:val="BD1B21"/>
          <w:sz w:val="32"/>
          <w:szCs w:val="32"/>
        </w:rPr>
        <w:t>ended up</w:t>
      </w:r>
      <w:r w:rsidRPr="00462847">
        <w:rPr>
          <w:color w:val="BD1B21"/>
          <w:sz w:val="32"/>
          <w:szCs w:val="32"/>
        </w:rPr>
        <w:t xml:space="preserve"> </w:t>
      </w:r>
      <w:r w:rsidR="003E1495" w:rsidRPr="00462847">
        <w:rPr>
          <w:color w:val="BD1B21"/>
          <w:sz w:val="32"/>
          <w:szCs w:val="32"/>
        </w:rPr>
        <w:t>with</w:t>
      </w:r>
      <w:r w:rsidRPr="00462847">
        <w:rPr>
          <w:color w:val="BD1B21"/>
          <w:sz w:val="32"/>
          <w:szCs w:val="32"/>
        </w:rPr>
        <w:t xml:space="preserve"> </w:t>
      </w:r>
      <w:r w:rsidR="001427B6" w:rsidRPr="00462847">
        <w:rPr>
          <w:color w:val="BD1B21"/>
          <w:sz w:val="32"/>
          <w:szCs w:val="32"/>
        </w:rPr>
        <w:t>a </w:t>
      </w:r>
      <w:r w:rsidRPr="00462847">
        <w:rPr>
          <w:color w:val="BD1B21"/>
          <w:sz w:val="32"/>
          <w:szCs w:val="32"/>
        </w:rPr>
        <w:t>deficit</w:t>
      </w:r>
      <w:r w:rsidR="005D4F5B" w:rsidRPr="00462847">
        <w:rPr>
          <w:color w:val="BD1B21"/>
          <w:sz w:val="32"/>
          <w:szCs w:val="32"/>
        </w:rPr>
        <w:t xml:space="preserve"> in the </w:t>
      </w:r>
      <w:r w:rsidR="00E77CE0" w:rsidRPr="00462847">
        <w:rPr>
          <w:color w:val="BD1B21"/>
          <w:sz w:val="32"/>
          <w:szCs w:val="32"/>
        </w:rPr>
        <w:t>1st</w:t>
      </w:r>
      <w:r w:rsidR="005D4F5B" w:rsidRPr="00462847">
        <w:rPr>
          <w:color w:val="BD1B21"/>
          <w:sz w:val="32"/>
          <w:szCs w:val="32"/>
        </w:rPr>
        <w:t xml:space="preserve"> quarter of 202</w:t>
      </w:r>
      <w:r w:rsidR="00E77CE0" w:rsidRPr="00462847">
        <w:rPr>
          <w:color w:val="BD1B21"/>
          <w:sz w:val="32"/>
          <w:szCs w:val="32"/>
        </w:rPr>
        <w:t>3</w:t>
      </w:r>
    </w:p>
    <w:p w14:paraId="1CF02887" w14:textId="461DC81F" w:rsidR="00375706" w:rsidRPr="00462847" w:rsidRDefault="00B522E8" w:rsidP="00375706">
      <w:pPr>
        <w:pStyle w:val="Podtitulek"/>
      </w:pPr>
      <w:r w:rsidRPr="00462847">
        <w:t xml:space="preserve">Government deficit and debt – the </w:t>
      </w:r>
      <w:r w:rsidR="00E77CE0" w:rsidRPr="00462847">
        <w:t>first</w:t>
      </w:r>
      <w:r w:rsidRPr="00462847">
        <w:t xml:space="preserve"> quarter of </w:t>
      </w:r>
      <w:r w:rsidR="00346F51" w:rsidRPr="00462847">
        <w:t>202</w:t>
      </w:r>
      <w:r w:rsidR="00E77CE0" w:rsidRPr="00462847">
        <w:t>3</w:t>
      </w:r>
    </w:p>
    <w:p w14:paraId="444F8EDF" w14:textId="3129F943" w:rsidR="00FE3782" w:rsidRPr="00462847" w:rsidRDefault="00FE3782" w:rsidP="00375706">
      <w:pPr>
        <w:rPr>
          <w:b/>
          <w:lang w:val="en-GB"/>
        </w:rPr>
      </w:pPr>
      <w:r w:rsidRPr="00462847">
        <w:rPr>
          <w:b/>
          <w:lang w:val="en-GB"/>
        </w:rPr>
        <w:t xml:space="preserve">In </w:t>
      </w:r>
      <w:r w:rsidR="00BE29B9" w:rsidRPr="00462847">
        <w:rPr>
          <w:b/>
          <w:lang w:val="en-GB"/>
        </w:rPr>
        <w:t xml:space="preserve">the </w:t>
      </w:r>
      <w:r w:rsidRPr="00462847">
        <w:rPr>
          <w:b/>
          <w:lang w:val="en-GB"/>
        </w:rPr>
        <w:t>Q</w:t>
      </w:r>
      <w:r w:rsidR="009F465E" w:rsidRPr="00462847">
        <w:rPr>
          <w:b/>
          <w:lang w:val="en-GB"/>
        </w:rPr>
        <w:t>1</w:t>
      </w:r>
      <w:r w:rsidRPr="00462847">
        <w:rPr>
          <w:b/>
          <w:lang w:val="en-GB"/>
        </w:rPr>
        <w:t xml:space="preserve"> </w:t>
      </w:r>
      <w:r w:rsidR="00346F51" w:rsidRPr="00462847">
        <w:rPr>
          <w:b/>
          <w:lang w:val="en-GB"/>
        </w:rPr>
        <w:t>202</w:t>
      </w:r>
      <w:r w:rsidR="009F465E" w:rsidRPr="00462847">
        <w:rPr>
          <w:b/>
          <w:lang w:val="en-GB"/>
        </w:rPr>
        <w:t>3</w:t>
      </w:r>
      <w:r w:rsidRPr="00462847">
        <w:rPr>
          <w:b/>
          <w:lang w:val="en-GB"/>
        </w:rPr>
        <w:t xml:space="preserve">, the general government sector balance </w:t>
      </w:r>
      <w:r w:rsidR="00330AFB" w:rsidRPr="00462847">
        <w:rPr>
          <w:b/>
          <w:lang w:val="en-GB"/>
        </w:rPr>
        <w:t>ended up with a</w:t>
      </w:r>
      <w:r w:rsidRPr="00462847">
        <w:rPr>
          <w:b/>
          <w:lang w:val="en-GB"/>
        </w:rPr>
        <w:t xml:space="preserve"> deficit </w:t>
      </w:r>
      <w:r w:rsidR="00330AFB" w:rsidRPr="00462847">
        <w:rPr>
          <w:b/>
          <w:lang w:val="en-GB"/>
        </w:rPr>
        <w:t>corresponding</w:t>
      </w:r>
      <w:r w:rsidRPr="00462847">
        <w:rPr>
          <w:b/>
          <w:lang w:val="en-GB"/>
        </w:rPr>
        <w:t xml:space="preserve"> to </w:t>
      </w:r>
      <w:r w:rsidR="00330AFB" w:rsidRPr="00462847">
        <w:rPr>
          <w:b/>
          <w:lang w:val="en-GB"/>
        </w:rPr>
        <w:t>5</w:t>
      </w:r>
      <w:r w:rsidRPr="00462847">
        <w:rPr>
          <w:b/>
          <w:lang w:val="en-GB"/>
        </w:rPr>
        <w:t>.</w:t>
      </w:r>
      <w:r w:rsidR="009F465E" w:rsidRPr="00462847">
        <w:rPr>
          <w:b/>
          <w:lang w:val="en-GB"/>
        </w:rPr>
        <w:t>9</w:t>
      </w:r>
      <w:r w:rsidRPr="00462847">
        <w:rPr>
          <w:b/>
          <w:lang w:val="en-GB"/>
        </w:rPr>
        <w:t>% of</w:t>
      </w:r>
      <w:r w:rsidR="00BE29B9" w:rsidRPr="00462847">
        <w:rPr>
          <w:b/>
          <w:lang w:val="en-GB"/>
        </w:rPr>
        <w:t xml:space="preserve"> </w:t>
      </w:r>
      <w:r w:rsidRPr="00462847">
        <w:rPr>
          <w:b/>
          <w:lang w:val="en-GB"/>
        </w:rPr>
        <w:t>GDP.</w:t>
      </w:r>
      <w:r w:rsidR="00330AFB" w:rsidRPr="00462847">
        <w:rPr>
          <w:b/>
          <w:lang w:val="en-GB"/>
        </w:rPr>
        <w:t xml:space="preserve"> </w:t>
      </w:r>
      <w:r w:rsidRPr="00462847">
        <w:rPr>
          <w:b/>
          <w:lang w:val="en-GB"/>
        </w:rPr>
        <w:t xml:space="preserve">The government debt ratio increased by </w:t>
      </w:r>
      <w:r w:rsidR="009F465E" w:rsidRPr="00462847">
        <w:rPr>
          <w:b/>
          <w:lang w:val="en-GB"/>
        </w:rPr>
        <w:t>1.7</w:t>
      </w:r>
      <w:r w:rsidR="00330AFB" w:rsidRPr="00462847">
        <w:rPr>
          <w:b/>
          <w:lang w:val="en-GB"/>
        </w:rPr>
        <w:t> </w:t>
      </w:r>
      <w:r w:rsidR="00C23A56" w:rsidRPr="00462847">
        <w:rPr>
          <w:b/>
          <w:lang w:val="en-GB"/>
        </w:rPr>
        <w:t>percentage point</w:t>
      </w:r>
      <w:r w:rsidRPr="00462847">
        <w:rPr>
          <w:b/>
          <w:lang w:val="en-GB"/>
        </w:rPr>
        <w:t xml:space="preserve"> (p. p.</w:t>
      </w:r>
      <w:r w:rsidR="00BE29B9" w:rsidRPr="00462847">
        <w:rPr>
          <w:b/>
          <w:lang w:val="en-GB"/>
        </w:rPr>
        <w:t>), year-on-year (y-o-y),</w:t>
      </w:r>
      <w:r w:rsidR="00330AFB" w:rsidRPr="00462847">
        <w:rPr>
          <w:b/>
          <w:lang w:val="en-GB"/>
        </w:rPr>
        <w:t xml:space="preserve"> to 44</w:t>
      </w:r>
      <w:r w:rsidRPr="00462847">
        <w:rPr>
          <w:b/>
          <w:lang w:val="en-GB"/>
        </w:rPr>
        <w:t>.</w:t>
      </w:r>
      <w:r w:rsidR="009F465E" w:rsidRPr="00462847">
        <w:rPr>
          <w:b/>
          <w:lang w:val="en-GB"/>
        </w:rPr>
        <w:t>5</w:t>
      </w:r>
      <w:r w:rsidRPr="00462847">
        <w:rPr>
          <w:b/>
          <w:lang w:val="en-GB"/>
        </w:rPr>
        <w:t>% of GDP.</w:t>
      </w:r>
    </w:p>
    <w:p w14:paraId="05FEEFF8" w14:textId="4EE36657" w:rsidR="00EF601A" w:rsidRPr="00462847" w:rsidRDefault="00EF601A" w:rsidP="00375706"/>
    <w:p w14:paraId="26781E93" w14:textId="56C23E44" w:rsidR="00EF601A" w:rsidRPr="00462847" w:rsidRDefault="00EF601A" w:rsidP="00375706">
      <w:r w:rsidRPr="00462847">
        <w:rPr>
          <w:lang w:val="en-GB"/>
        </w:rPr>
        <w:t>In the Q1 2023, the</w:t>
      </w:r>
      <w:r w:rsidR="001C2A4F">
        <w:rPr>
          <w:lang w:val="en-GB"/>
        </w:rPr>
        <w:t xml:space="preserve"> general</w:t>
      </w:r>
      <w:r w:rsidRPr="00462847">
        <w:rPr>
          <w:lang w:val="en-GB"/>
        </w:rPr>
        <w:t xml:space="preserve"> government</w:t>
      </w:r>
      <w:r w:rsidR="000B2E6A">
        <w:rPr>
          <w:lang w:val="en-GB"/>
        </w:rPr>
        <w:t xml:space="preserve"> sector</w:t>
      </w:r>
      <w:r w:rsidRPr="00462847">
        <w:rPr>
          <w:lang w:val="en-GB"/>
        </w:rPr>
        <w:t xml:space="preserve"> deficit reached CZK </w:t>
      </w:r>
      <w:r w:rsidR="00D23931" w:rsidRPr="00462847">
        <w:rPr>
          <w:lang w:val="en-GB"/>
        </w:rPr>
        <w:t>100</w:t>
      </w:r>
      <w:r w:rsidR="00D23931" w:rsidRPr="00462847">
        <w:t>.9</w:t>
      </w:r>
      <w:r w:rsidRPr="00462847">
        <w:t> </w:t>
      </w:r>
      <w:r w:rsidRPr="00462847">
        <w:rPr>
          <w:lang w:val="en-GB"/>
        </w:rPr>
        <w:t>b</w:t>
      </w:r>
      <w:r w:rsidR="00D23931" w:rsidRPr="00462847">
        <w:rPr>
          <w:lang w:val="en-GB"/>
        </w:rPr>
        <w:t>illion (bn), which was by CZK 31.9</w:t>
      </w:r>
      <w:r w:rsidRPr="00462847">
        <w:rPr>
          <w:lang w:val="en-GB"/>
        </w:rPr>
        <w:t xml:space="preserve"> bn </w:t>
      </w:r>
      <w:r w:rsidR="00D23931" w:rsidRPr="00462847">
        <w:rPr>
          <w:lang w:val="en-GB"/>
        </w:rPr>
        <w:t>worse</w:t>
      </w:r>
      <w:r w:rsidRPr="00462847">
        <w:rPr>
          <w:lang w:val="en-GB"/>
        </w:rPr>
        <w:t xml:space="preserve"> result, year-on-year.</w:t>
      </w:r>
      <w:r w:rsidR="00BB1C3C" w:rsidRPr="00462847">
        <w:rPr>
          <w:lang w:val="en-GB"/>
        </w:rPr>
        <w:t xml:space="preserve"> </w:t>
      </w:r>
      <w:r w:rsidR="00470144" w:rsidRPr="00462847">
        <w:rPr>
          <w:lang w:val="en-GB"/>
        </w:rPr>
        <w:t>Only the central government</w:t>
      </w:r>
      <w:r w:rsidR="00607709">
        <w:rPr>
          <w:lang w:val="en-GB"/>
        </w:rPr>
        <w:t xml:space="preserve"> sector</w:t>
      </w:r>
      <w:r w:rsidRPr="00462847">
        <w:rPr>
          <w:lang w:val="en-GB"/>
        </w:rPr>
        <w:t xml:space="preserve"> en</w:t>
      </w:r>
      <w:r w:rsidR="00BB1C3C" w:rsidRPr="00462847">
        <w:rPr>
          <w:lang w:val="en-GB"/>
        </w:rPr>
        <w:t>ded up with a deficit of CZK 136.6</w:t>
      </w:r>
      <w:r w:rsidRPr="00462847">
        <w:rPr>
          <w:lang w:val="en-GB"/>
        </w:rPr>
        <w:t xml:space="preserve"> billion, the balance of which </w:t>
      </w:r>
      <w:r w:rsidR="00BB1C3C" w:rsidRPr="00462847">
        <w:rPr>
          <w:lang w:val="en-GB"/>
        </w:rPr>
        <w:t>slumped by CZK 59.4</w:t>
      </w:r>
      <w:r w:rsidRPr="00462847">
        <w:rPr>
          <w:lang w:val="en-GB"/>
        </w:rPr>
        <w:t xml:space="preserve"> bn, year-on-year. </w:t>
      </w:r>
      <w:r w:rsidR="000E2A3F" w:rsidRPr="00462847">
        <w:rPr>
          <w:lang w:val="en-GB"/>
        </w:rPr>
        <w:t>On the other hand, t</w:t>
      </w:r>
      <w:r w:rsidRPr="00462847">
        <w:rPr>
          <w:lang w:val="en-GB"/>
        </w:rPr>
        <w:t>he local government sector balance ended up with a surplus of CZK </w:t>
      </w:r>
      <w:r w:rsidR="000E2A3F" w:rsidRPr="00462847">
        <w:rPr>
          <w:lang w:val="en-GB"/>
        </w:rPr>
        <w:t>3</w:t>
      </w:r>
      <w:r w:rsidRPr="00462847">
        <w:rPr>
          <w:lang w:val="en-GB"/>
        </w:rPr>
        <w:t>5.</w:t>
      </w:r>
      <w:r w:rsidR="000E2A3F" w:rsidRPr="00462847">
        <w:rPr>
          <w:lang w:val="en-GB"/>
        </w:rPr>
        <w:t>0</w:t>
      </w:r>
      <w:r w:rsidRPr="00462847">
        <w:rPr>
          <w:lang w:val="en-GB"/>
        </w:rPr>
        <w:t> bn</w:t>
      </w:r>
      <w:r w:rsidR="00574CC3" w:rsidRPr="00462847">
        <w:rPr>
          <w:lang w:val="en-GB"/>
        </w:rPr>
        <w:t xml:space="preserve"> and it improved by CZK 29.9 bn, year-on-year; </w:t>
      </w:r>
      <w:r w:rsidRPr="00462847">
        <w:rPr>
          <w:lang w:val="en-GB"/>
        </w:rPr>
        <w:t>social security funds</w:t>
      </w:r>
      <w:r w:rsidR="00EB3821">
        <w:rPr>
          <w:lang w:val="en-GB"/>
        </w:rPr>
        <w:t xml:space="preserve"> (</w:t>
      </w:r>
      <w:r w:rsidR="00574CC3" w:rsidRPr="00462847">
        <w:rPr>
          <w:lang w:val="en-GB"/>
        </w:rPr>
        <w:t>health insurance companies)</w:t>
      </w:r>
      <w:r w:rsidRPr="00462847">
        <w:rPr>
          <w:lang w:val="en-GB"/>
        </w:rPr>
        <w:t xml:space="preserve"> ended up with a</w:t>
      </w:r>
      <w:r w:rsidR="00574CC3" w:rsidRPr="00462847">
        <w:rPr>
          <w:lang w:val="en-GB"/>
        </w:rPr>
        <w:t xml:space="preserve"> slight</w:t>
      </w:r>
      <w:r w:rsidR="00694D08" w:rsidRPr="00462847">
        <w:rPr>
          <w:lang w:val="en-GB"/>
        </w:rPr>
        <w:t xml:space="preserve"> surplus of CZK 0.8</w:t>
      </w:r>
      <w:r w:rsidRPr="00462847">
        <w:rPr>
          <w:lang w:val="en-GB"/>
        </w:rPr>
        <w:t> bn.</w:t>
      </w:r>
    </w:p>
    <w:p w14:paraId="09BC8C3A" w14:textId="3468E9FA" w:rsidR="00775905" w:rsidRPr="00462847" w:rsidRDefault="00775905" w:rsidP="00375706">
      <w:pPr>
        <w:rPr>
          <w:lang w:val="en-GB"/>
        </w:rPr>
      </w:pPr>
    </w:p>
    <w:p w14:paraId="70344297" w14:textId="72F25D4A" w:rsidR="00E7389F" w:rsidRPr="00462847" w:rsidRDefault="00775905" w:rsidP="00375706">
      <w:pPr>
        <w:rPr>
          <w:i/>
          <w:lang w:val="en-GB"/>
        </w:rPr>
      </w:pPr>
      <w:r w:rsidRPr="00462847">
        <w:rPr>
          <w:i/>
          <w:lang w:val="en-GB"/>
        </w:rPr>
        <w:t>“</w:t>
      </w:r>
      <w:r w:rsidR="00E7389F" w:rsidRPr="00462847">
        <w:rPr>
          <w:i/>
          <w:lang w:val="en-GB"/>
        </w:rPr>
        <w:t>In the first quarter of 2023, t</w:t>
      </w:r>
      <w:r w:rsidRPr="00462847">
        <w:rPr>
          <w:i/>
          <w:lang w:val="en-GB"/>
        </w:rPr>
        <w:t>he general government sector ended up with a deficit that amounted to CZK </w:t>
      </w:r>
      <w:r w:rsidR="00E7389F" w:rsidRPr="00462847">
        <w:rPr>
          <w:i/>
          <w:lang w:val="en-GB"/>
        </w:rPr>
        <w:t xml:space="preserve">100.9 bn. </w:t>
      </w:r>
      <w:r w:rsidR="00AE6F82" w:rsidRPr="00462847">
        <w:rPr>
          <w:i/>
          <w:lang w:val="en-GB"/>
        </w:rPr>
        <w:t xml:space="preserve">This result was the most contributed to </w:t>
      </w:r>
      <w:r w:rsidR="00AE6F82" w:rsidRPr="00900BFC">
        <w:rPr>
          <w:i/>
          <w:lang w:val="en-GB"/>
        </w:rPr>
        <w:t xml:space="preserve">by social </w:t>
      </w:r>
      <w:r w:rsidR="00F50820" w:rsidRPr="00900BFC">
        <w:rPr>
          <w:i/>
          <w:lang w:val="en-GB"/>
        </w:rPr>
        <w:t>benefits</w:t>
      </w:r>
      <w:r w:rsidR="00AE6F82" w:rsidRPr="00900BFC">
        <w:rPr>
          <w:i/>
          <w:lang w:val="en-GB"/>
        </w:rPr>
        <w:t xml:space="preserve"> paid</w:t>
      </w:r>
      <w:r w:rsidR="00AE6F82" w:rsidRPr="00462847">
        <w:rPr>
          <w:i/>
          <w:lang w:val="en-GB"/>
        </w:rPr>
        <w:t>. The government debt ratio increased by 1.7 p. p, year-on-year, and reached the amount that corresponded to 44.5</w:t>
      </w:r>
      <w:r w:rsidR="002B20D2" w:rsidRPr="00462847">
        <w:rPr>
          <w:i/>
          <w:lang w:val="en-GB"/>
        </w:rPr>
        <w:t xml:space="preserve">% of GDP,” </w:t>
      </w:r>
      <w:r w:rsidR="002B20D2" w:rsidRPr="00462847">
        <w:t xml:space="preserve">Helena Houžvičková, </w:t>
      </w:r>
      <w:r w:rsidR="002B20D2" w:rsidRPr="00462847">
        <w:rPr>
          <w:lang w:val="en-GB"/>
        </w:rPr>
        <w:t>Director of the Government and Financial Accounts Department of the Czech Statistical Office (CZSO), stated.</w:t>
      </w:r>
    </w:p>
    <w:p w14:paraId="5BD34618" w14:textId="647F96D7" w:rsidR="00375706" w:rsidRPr="00462847" w:rsidRDefault="00375706" w:rsidP="00375706">
      <w:pPr>
        <w:rPr>
          <w:lang w:val="en-GB"/>
        </w:rPr>
      </w:pPr>
    </w:p>
    <w:p w14:paraId="6FA73AAF" w14:textId="496AC2BB" w:rsidR="000221A2" w:rsidRPr="00462847" w:rsidRDefault="000221A2" w:rsidP="000221A2">
      <w:pPr>
        <w:pStyle w:val="TabulkaGraf"/>
      </w:pPr>
      <w:r w:rsidRPr="00462847">
        <w:t>The general government sector balance, Q</w:t>
      </w:r>
      <w:r w:rsidR="00E77CE0" w:rsidRPr="00462847">
        <w:t>1</w:t>
      </w:r>
      <w:r w:rsidRPr="00462847">
        <w:t xml:space="preserve"> 202</w:t>
      </w:r>
      <w:r w:rsidR="00E77CE0" w:rsidRPr="00462847">
        <w:t>1</w:t>
      </w:r>
      <w:r w:rsidRPr="00462847">
        <w:t xml:space="preserve"> – Q</w:t>
      </w:r>
      <w:r w:rsidR="00E77CE0" w:rsidRPr="00462847">
        <w:t>1</w:t>
      </w:r>
      <w:r w:rsidRPr="00462847">
        <w:t xml:space="preserve"> 202</w:t>
      </w:r>
      <w:r w:rsidR="00E77CE0" w:rsidRPr="00462847">
        <w:t>3</w:t>
      </w:r>
    </w:p>
    <w:tbl>
      <w:tblPr>
        <w:tblW w:w="8588" w:type="dxa"/>
        <w:tblInd w:w="-10" w:type="dxa"/>
        <w:tblLook w:val="04A0" w:firstRow="1" w:lastRow="0" w:firstColumn="1" w:lastColumn="0" w:noHBand="0" w:noVBand="1"/>
      </w:tblPr>
      <w:tblGrid>
        <w:gridCol w:w="1028"/>
        <w:gridCol w:w="840"/>
        <w:gridCol w:w="840"/>
        <w:gridCol w:w="840"/>
        <w:gridCol w:w="840"/>
        <w:gridCol w:w="840"/>
        <w:gridCol w:w="840"/>
        <w:gridCol w:w="840"/>
        <w:gridCol w:w="840"/>
        <w:gridCol w:w="840"/>
      </w:tblGrid>
      <w:tr w:rsidR="00E77CE0" w:rsidRPr="00462847" w14:paraId="16C38041" w14:textId="77777777" w:rsidTr="005D5CEC">
        <w:trPr>
          <w:trHeight w:val="480"/>
        </w:trPr>
        <w:tc>
          <w:tcPr>
            <w:tcW w:w="10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832D81" w14:textId="77777777" w:rsidR="00E77CE0" w:rsidRPr="00462847" w:rsidRDefault="00E77CE0" w:rsidP="00E77CE0">
            <w:pPr>
              <w:spacing w:line="240" w:lineRule="auto"/>
              <w:jc w:val="center"/>
              <w:rPr>
                <w:rFonts w:eastAsia="Times New Roman" w:cs="Arial"/>
                <w:color w:val="000000"/>
                <w:sz w:val="18"/>
                <w:szCs w:val="18"/>
                <w:lang w:val="en-GB"/>
              </w:rPr>
            </w:pPr>
            <w:r w:rsidRPr="00462847">
              <w:rPr>
                <w:rFonts w:eastAsia="Times New Roman" w:cs="Arial"/>
                <w:color w:val="000000"/>
                <w:sz w:val="18"/>
                <w:szCs w:val="18"/>
                <w:lang w:val="en-GB"/>
              </w:rPr>
              <w:t>Period</w:t>
            </w:r>
          </w:p>
        </w:tc>
        <w:tc>
          <w:tcPr>
            <w:tcW w:w="840" w:type="dxa"/>
            <w:tcBorders>
              <w:top w:val="single" w:sz="8" w:space="0" w:color="auto"/>
              <w:left w:val="nil"/>
              <w:bottom w:val="single" w:sz="8" w:space="0" w:color="auto"/>
              <w:right w:val="single" w:sz="8" w:space="0" w:color="auto"/>
            </w:tcBorders>
            <w:shd w:val="clear" w:color="auto" w:fill="auto"/>
            <w:vAlign w:val="center"/>
            <w:hideMark/>
          </w:tcPr>
          <w:p w14:paraId="2C75974A" w14:textId="22B1AB28" w:rsidR="00E77CE0" w:rsidRPr="00462847" w:rsidRDefault="00E77CE0" w:rsidP="00E77CE0">
            <w:pPr>
              <w:jc w:val="center"/>
              <w:rPr>
                <w:rFonts w:cs="Arial"/>
                <w:color w:val="000000"/>
                <w:sz w:val="18"/>
                <w:szCs w:val="18"/>
                <w:lang w:val="en-GB"/>
              </w:rPr>
            </w:pPr>
            <w:r w:rsidRPr="00462847">
              <w:rPr>
                <w:rFonts w:cs="Arial"/>
                <w:color w:val="000000"/>
                <w:sz w:val="18"/>
                <w:szCs w:val="18"/>
                <w:lang w:val="en-GB"/>
              </w:rPr>
              <w:t>Q1 2021</w:t>
            </w:r>
          </w:p>
        </w:tc>
        <w:tc>
          <w:tcPr>
            <w:tcW w:w="840" w:type="dxa"/>
            <w:tcBorders>
              <w:top w:val="single" w:sz="8" w:space="0" w:color="auto"/>
              <w:left w:val="nil"/>
              <w:bottom w:val="single" w:sz="8" w:space="0" w:color="auto"/>
              <w:right w:val="single" w:sz="8" w:space="0" w:color="auto"/>
            </w:tcBorders>
            <w:shd w:val="clear" w:color="auto" w:fill="auto"/>
            <w:vAlign w:val="center"/>
            <w:hideMark/>
          </w:tcPr>
          <w:p w14:paraId="3639BB3D" w14:textId="39D8F3A9" w:rsidR="00E77CE0" w:rsidRPr="00462847" w:rsidRDefault="00E77CE0" w:rsidP="00E77CE0">
            <w:pPr>
              <w:jc w:val="center"/>
              <w:rPr>
                <w:rFonts w:cs="Arial"/>
                <w:color w:val="000000"/>
                <w:sz w:val="18"/>
                <w:szCs w:val="18"/>
                <w:lang w:val="en-GB"/>
              </w:rPr>
            </w:pPr>
            <w:r w:rsidRPr="00462847">
              <w:rPr>
                <w:rFonts w:cs="Arial"/>
                <w:color w:val="000000"/>
                <w:sz w:val="18"/>
                <w:szCs w:val="18"/>
                <w:lang w:val="en-GB"/>
              </w:rPr>
              <w:t>Q2 2021</w:t>
            </w:r>
          </w:p>
        </w:tc>
        <w:tc>
          <w:tcPr>
            <w:tcW w:w="840" w:type="dxa"/>
            <w:tcBorders>
              <w:top w:val="single" w:sz="8" w:space="0" w:color="auto"/>
              <w:left w:val="nil"/>
              <w:bottom w:val="single" w:sz="8" w:space="0" w:color="auto"/>
              <w:right w:val="single" w:sz="8" w:space="0" w:color="auto"/>
            </w:tcBorders>
            <w:shd w:val="clear" w:color="auto" w:fill="auto"/>
            <w:vAlign w:val="center"/>
            <w:hideMark/>
          </w:tcPr>
          <w:p w14:paraId="5FD0E654" w14:textId="0496E809" w:rsidR="00E77CE0" w:rsidRPr="00462847" w:rsidRDefault="00E77CE0" w:rsidP="00E77CE0">
            <w:pPr>
              <w:jc w:val="center"/>
              <w:rPr>
                <w:rFonts w:cs="Arial"/>
                <w:color w:val="000000"/>
                <w:sz w:val="18"/>
                <w:szCs w:val="18"/>
                <w:lang w:val="en-GB"/>
              </w:rPr>
            </w:pPr>
            <w:r w:rsidRPr="00462847">
              <w:rPr>
                <w:rFonts w:cs="Arial"/>
                <w:color w:val="000000"/>
                <w:sz w:val="18"/>
                <w:szCs w:val="18"/>
                <w:lang w:val="en-GB"/>
              </w:rPr>
              <w:t>Q3 2021</w:t>
            </w:r>
          </w:p>
        </w:tc>
        <w:tc>
          <w:tcPr>
            <w:tcW w:w="840" w:type="dxa"/>
            <w:tcBorders>
              <w:top w:val="single" w:sz="8" w:space="0" w:color="auto"/>
              <w:left w:val="nil"/>
              <w:bottom w:val="single" w:sz="8" w:space="0" w:color="auto"/>
              <w:right w:val="single" w:sz="8" w:space="0" w:color="auto"/>
            </w:tcBorders>
            <w:shd w:val="clear" w:color="auto" w:fill="auto"/>
            <w:vAlign w:val="center"/>
            <w:hideMark/>
          </w:tcPr>
          <w:p w14:paraId="6C21162E" w14:textId="21349089" w:rsidR="00E77CE0" w:rsidRPr="00462847" w:rsidRDefault="00E77CE0" w:rsidP="00E77CE0">
            <w:pPr>
              <w:jc w:val="center"/>
              <w:rPr>
                <w:rFonts w:cs="Arial"/>
                <w:color w:val="000000"/>
                <w:sz w:val="18"/>
                <w:szCs w:val="18"/>
                <w:lang w:val="en-GB"/>
              </w:rPr>
            </w:pPr>
            <w:r w:rsidRPr="00462847">
              <w:rPr>
                <w:rFonts w:cs="Arial"/>
                <w:color w:val="000000"/>
                <w:sz w:val="18"/>
                <w:szCs w:val="18"/>
                <w:lang w:val="en-GB"/>
              </w:rPr>
              <w:t>Q4 2021</w:t>
            </w:r>
          </w:p>
        </w:tc>
        <w:tc>
          <w:tcPr>
            <w:tcW w:w="840" w:type="dxa"/>
            <w:tcBorders>
              <w:top w:val="single" w:sz="8" w:space="0" w:color="auto"/>
              <w:left w:val="nil"/>
              <w:bottom w:val="single" w:sz="8" w:space="0" w:color="auto"/>
              <w:right w:val="single" w:sz="8" w:space="0" w:color="auto"/>
            </w:tcBorders>
            <w:shd w:val="clear" w:color="auto" w:fill="auto"/>
            <w:vAlign w:val="center"/>
            <w:hideMark/>
          </w:tcPr>
          <w:p w14:paraId="4C5CD19B" w14:textId="36D0126E" w:rsidR="00E77CE0" w:rsidRPr="00462847" w:rsidRDefault="00E77CE0" w:rsidP="00E77CE0">
            <w:pPr>
              <w:jc w:val="center"/>
              <w:rPr>
                <w:rFonts w:cs="Arial"/>
                <w:color w:val="000000"/>
                <w:sz w:val="18"/>
                <w:szCs w:val="18"/>
                <w:lang w:val="en-GB"/>
              </w:rPr>
            </w:pPr>
            <w:r w:rsidRPr="00462847">
              <w:rPr>
                <w:rFonts w:cs="Arial"/>
                <w:color w:val="000000"/>
                <w:sz w:val="18"/>
                <w:szCs w:val="18"/>
                <w:lang w:val="en-GB"/>
              </w:rPr>
              <w:t>Q1 2022</w:t>
            </w:r>
          </w:p>
        </w:tc>
        <w:tc>
          <w:tcPr>
            <w:tcW w:w="840" w:type="dxa"/>
            <w:tcBorders>
              <w:top w:val="single" w:sz="8" w:space="0" w:color="auto"/>
              <w:left w:val="nil"/>
              <w:bottom w:val="single" w:sz="8" w:space="0" w:color="auto"/>
              <w:right w:val="single" w:sz="8" w:space="0" w:color="auto"/>
            </w:tcBorders>
            <w:shd w:val="clear" w:color="auto" w:fill="auto"/>
            <w:vAlign w:val="center"/>
            <w:hideMark/>
          </w:tcPr>
          <w:p w14:paraId="1FE1FA8E" w14:textId="60C6B36C" w:rsidR="00E77CE0" w:rsidRPr="00462847" w:rsidRDefault="00E77CE0" w:rsidP="00E77CE0">
            <w:pPr>
              <w:jc w:val="center"/>
              <w:rPr>
                <w:rFonts w:cs="Arial"/>
                <w:color w:val="000000"/>
                <w:sz w:val="18"/>
                <w:szCs w:val="18"/>
                <w:lang w:val="en-GB"/>
              </w:rPr>
            </w:pPr>
            <w:r w:rsidRPr="00462847">
              <w:rPr>
                <w:rFonts w:cs="Arial"/>
                <w:color w:val="000000"/>
                <w:sz w:val="18"/>
                <w:szCs w:val="18"/>
                <w:lang w:val="en-GB"/>
              </w:rPr>
              <w:t>Q2 2022</w:t>
            </w:r>
          </w:p>
        </w:tc>
        <w:tc>
          <w:tcPr>
            <w:tcW w:w="840" w:type="dxa"/>
            <w:tcBorders>
              <w:top w:val="single" w:sz="8" w:space="0" w:color="auto"/>
              <w:left w:val="nil"/>
              <w:bottom w:val="single" w:sz="8" w:space="0" w:color="auto"/>
              <w:right w:val="single" w:sz="8" w:space="0" w:color="auto"/>
            </w:tcBorders>
            <w:shd w:val="clear" w:color="auto" w:fill="auto"/>
            <w:vAlign w:val="center"/>
            <w:hideMark/>
          </w:tcPr>
          <w:p w14:paraId="3B55EBDC" w14:textId="039F0697" w:rsidR="00E77CE0" w:rsidRPr="00462847" w:rsidRDefault="00E77CE0" w:rsidP="00E77CE0">
            <w:pPr>
              <w:jc w:val="center"/>
              <w:rPr>
                <w:rFonts w:cs="Arial"/>
                <w:color w:val="000000"/>
                <w:sz w:val="18"/>
                <w:szCs w:val="18"/>
                <w:lang w:val="en-GB"/>
              </w:rPr>
            </w:pPr>
            <w:r w:rsidRPr="00462847">
              <w:rPr>
                <w:rFonts w:cs="Arial"/>
                <w:color w:val="000000"/>
                <w:sz w:val="18"/>
                <w:szCs w:val="18"/>
                <w:lang w:val="en-GB"/>
              </w:rPr>
              <w:t>Q3 2022</w:t>
            </w:r>
          </w:p>
        </w:tc>
        <w:tc>
          <w:tcPr>
            <w:tcW w:w="840" w:type="dxa"/>
            <w:tcBorders>
              <w:top w:val="single" w:sz="8" w:space="0" w:color="auto"/>
              <w:left w:val="nil"/>
              <w:bottom w:val="single" w:sz="8" w:space="0" w:color="auto"/>
              <w:right w:val="single" w:sz="8" w:space="0" w:color="auto"/>
            </w:tcBorders>
            <w:shd w:val="clear" w:color="auto" w:fill="auto"/>
            <w:vAlign w:val="center"/>
            <w:hideMark/>
          </w:tcPr>
          <w:p w14:paraId="6A461B54" w14:textId="6D91557B" w:rsidR="00E77CE0" w:rsidRPr="00462847" w:rsidRDefault="00E77CE0" w:rsidP="00E77CE0">
            <w:pPr>
              <w:jc w:val="center"/>
              <w:rPr>
                <w:rFonts w:cs="Arial"/>
                <w:color w:val="000000"/>
                <w:sz w:val="18"/>
                <w:szCs w:val="18"/>
                <w:lang w:val="en-GB"/>
              </w:rPr>
            </w:pPr>
            <w:r w:rsidRPr="00462847">
              <w:rPr>
                <w:rFonts w:cs="Arial"/>
                <w:color w:val="000000"/>
                <w:sz w:val="18"/>
                <w:szCs w:val="18"/>
                <w:lang w:val="en-GB"/>
              </w:rPr>
              <w:t>Q4 2022</w:t>
            </w:r>
          </w:p>
        </w:tc>
        <w:tc>
          <w:tcPr>
            <w:tcW w:w="840" w:type="dxa"/>
            <w:tcBorders>
              <w:top w:val="single" w:sz="8" w:space="0" w:color="auto"/>
              <w:left w:val="nil"/>
              <w:bottom w:val="single" w:sz="8" w:space="0" w:color="auto"/>
              <w:right w:val="single" w:sz="8" w:space="0" w:color="auto"/>
            </w:tcBorders>
            <w:shd w:val="clear" w:color="auto" w:fill="auto"/>
            <w:vAlign w:val="center"/>
            <w:hideMark/>
          </w:tcPr>
          <w:p w14:paraId="1E935F80" w14:textId="360A06A2" w:rsidR="00E77CE0" w:rsidRPr="00462847" w:rsidRDefault="00E77CE0" w:rsidP="00E77CE0">
            <w:pPr>
              <w:jc w:val="center"/>
              <w:rPr>
                <w:rFonts w:cs="Arial"/>
                <w:color w:val="000000"/>
                <w:sz w:val="18"/>
                <w:szCs w:val="18"/>
                <w:lang w:val="en-GB"/>
              </w:rPr>
            </w:pPr>
            <w:r w:rsidRPr="00462847">
              <w:rPr>
                <w:rFonts w:cs="Arial"/>
                <w:color w:val="000000"/>
                <w:sz w:val="18"/>
                <w:szCs w:val="18"/>
                <w:lang w:val="en-GB"/>
              </w:rPr>
              <w:t>Q1 2023</w:t>
            </w:r>
          </w:p>
        </w:tc>
      </w:tr>
      <w:tr w:rsidR="00E77CE0" w:rsidRPr="00462847" w14:paraId="7766D07C" w14:textId="77777777" w:rsidTr="005D5CEC">
        <w:trPr>
          <w:trHeight w:val="315"/>
        </w:trPr>
        <w:tc>
          <w:tcPr>
            <w:tcW w:w="1028" w:type="dxa"/>
            <w:tcBorders>
              <w:top w:val="nil"/>
              <w:left w:val="single" w:sz="8" w:space="0" w:color="auto"/>
              <w:bottom w:val="single" w:sz="8" w:space="0" w:color="auto"/>
              <w:right w:val="single" w:sz="8" w:space="0" w:color="auto"/>
            </w:tcBorders>
            <w:shd w:val="clear" w:color="auto" w:fill="auto"/>
            <w:vAlign w:val="center"/>
            <w:hideMark/>
          </w:tcPr>
          <w:p w14:paraId="651BED6A" w14:textId="77777777" w:rsidR="00E77CE0" w:rsidRPr="00462847" w:rsidRDefault="00E77CE0" w:rsidP="00E77CE0">
            <w:pPr>
              <w:spacing w:line="240" w:lineRule="auto"/>
              <w:jc w:val="center"/>
              <w:rPr>
                <w:rFonts w:eastAsia="Times New Roman" w:cs="Arial"/>
                <w:color w:val="000000"/>
                <w:sz w:val="18"/>
                <w:szCs w:val="18"/>
                <w:lang w:val="en-GB"/>
              </w:rPr>
            </w:pPr>
            <w:r w:rsidRPr="00462847">
              <w:rPr>
                <w:rFonts w:eastAsia="Times New Roman" w:cs="Arial"/>
                <w:color w:val="000000"/>
                <w:sz w:val="18"/>
                <w:szCs w:val="18"/>
                <w:lang w:val="en-GB"/>
              </w:rPr>
              <w:t>CZK bn</w:t>
            </w:r>
          </w:p>
        </w:tc>
        <w:tc>
          <w:tcPr>
            <w:tcW w:w="840" w:type="dxa"/>
            <w:tcBorders>
              <w:top w:val="nil"/>
              <w:left w:val="nil"/>
              <w:bottom w:val="single" w:sz="8" w:space="0" w:color="auto"/>
              <w:right w:val="single" w:sz="8" w:space="0" w:color="auto"/>
            </w:tcBorders>
            <w:shd w:val="clear" w:color="auto" w:fill="auto"/>
            <w:vAlign w:val="center"/>
            <w:hideMark/>
          </w:tcPr>
          <w:p w14:paraId="7B6FF75C" w14:textId="7284F913" w:rsidR="00E77CE0" w:rsidRPr="00462847" w:rsidRDefault="00E77CE0" w:rsidP="00E77CE0">
            <w:pPr>
              <w:spacing w:line="240" w:lineRule="auto"/>
              <w:jc w:val="right"/>
              <w:rPr>
                <w:rFonts w:cs="Arial"/>
                <w:color w:val="000000"/>
                <w:sz w:val="18"/>
                <w:szCs w:val="18"/>
                <w:lang w:val="en-GB" w:eastAsia="cs-CZ"/>
              </w:rPr>
            </w:pPr>
            <w:r w:rsidRPr="00462847">
              <w:rPr>
                <w:rFonts w:cs="Arial"/>
                <w:color w:val="000000"/>
                <w:sz w:val="18"/>
                <w:szCs w:val="18"/>
              </w:rPr>
              <w:t>-131.1</w:t>
            </w:r>
          </w:p>
        </w:tc>
        <w:tc>
          <w:tcPr>
            <w:tcW w:w="840" w:type="dxa"/>
            <w:tcBorders>
              <w:top w:val="nil"/>
              <w:left w:val="nil"/>
              <w:bottom w:val="single" w:sz="8" w:space="0" w:color="auto"/>
              <w:right w:val="single" w:sz="8" w:space="0" w:color="auto"/>
            </w:tcBorders>
            <w:shd w:val="clear" w:color="auto" w:fill="auto"/>
            <w:vAlign w:val="center"/>
            <w:hideMark/>
          </w:tcPr>
          <w:p w14:paraId="11718E4B" w14:textId="25D26451" w:rsidR="00E77CE0" w:rsidRPr="00462847" w:rsidRDefault="00E77CE0" w:rsidP="00E77CE0">
            <w:pPr>
              <w:jc w:val="right"/>
              <w:rPr>
                <w:rFonts w:cs="Arial"/>
                <w:color w:val="000000"/>
                <w:sz w:val="18"/>
                <w:szCs w:val="18"/>
                <w:lang w:val="en-GB"/>
              </w:rPr>
            </w:pPr>
            <w:r w:rsidRPr="00462847">
              <w:rPr>
                <w:rFonts w:cs="Arial"/>
                <w:color w:val="000000"/>
                <w:sz w:val="18"/>
                <w:szCs w:val="18"/>
              </w:rPr>
              <w:t>-40.1</w:t>
            </w:r>
          </w:p>
        </w:tc>
        <w:tc>
          <w:tcPr>
            <w:tcW w:w="840" w:type="dxa"/>
            <w:tcBorders>
              <w:top w:val="nil"/>
              <w:left w:val="nil"/>
              <w:bottom w:val="single" w:sz="8" w:space="0" w:color="auto"/>
              <w:right w:val="single" w:sz="8" w:space="0" w:color="auto"/>
            </w:tcBorders>
            <w:shd w:val="clear" w:color="auto" w:fill="auto"/>
            <w:vAlign w:val="center"/>
            <w:hideMark/>
          </w:tcPr>
          <w:p w14:paraId="4C6C8F1D" w14:textId="4634239F" w:rsidR="00E77CE0" w:rsidRPr="00462847" w:rsidRDefault="00E77CE0" w:rsidP="00E77CE0">
            <w:pPr>
              <w:jc w:val="right"/>
              <w:rPr>
                <w:rFonts w:cs="Arial"/>
                <w:color w:val="000000"/>
                <w:sz w:val="18"/>
                <w:szCs w:val="18"/>
                <w:lang w:val="en-GB"/>
              </w:rPr>
            </w:pPr>
            <w:r w:rsidRPr="00462847">
              <w:rPr>
                <w:rFonts w:cs="Arial"/>
                <w:color w:val="000000"/>
                <w:sz w:val="18"/>
                <w:szCs w:val="18"/>
              </w:rPr>
              <w:t>-42.7</w:t>
            </w:r>
          </w:p>
        </w:tc>
        <w:tc>
          <w:tcPr>
            <w:tcW w:w="840" w:type="dxa"/>
            <w:tcBorders>
              <w:top w:val="nil"/>
              <w:left w:val="nil"/>
              <w:bottom w:val="single" w:sz="8" w:space="0" w:color="auto"/>
              <w:right w:val="single" w:sz="8" w:space="0" w:color="auto"/>
            </w:tcBorders>
            <w:shd w:val="clear" w:color="auto" w:fill="auto"/>
            <w:vAlign w:val="center"/>
            <w:hideMark/>
          </w:tcPr>
          <w:p w14:paraId="7BBB2A64" w14:textId="25246003" w:rsidR="00E77CE0" w:rsidRPr="00462847" w:rsidRDefault="00E77CE0" w:rsidP="00E77CE0">
            <w:pPr>
              <w:jc w:val="right"/>
              <w:rPr>
                <w:rFonts w:cs="Arial"/>
                <w:color w:val="000000"/>
                <w:sz w:val="18"/>
                <w:szCs w:val="18"/>
                <w:lang w:val="en-GB"/>
              </w:rPr>
            </w:pPr>
            <w:r w:rsidRPr="00462847">
              <w:rPr>
                <w:rFonts w:cs="Arial"/>
                <w:color w:val="000000"/>
                <w:sz w:val="18"/>
                <w:szCs w:val="18"/>
              </w:rPr>
              <w:t>-96.8</w:t>
            </w:r>
          </w:p>
        </w:tc>
        <w:tc>
          <w:tcPr>
            <w:tcW w:w="840" w:type="dxa"/>
            <w:tcBorders>
              <w:top w:val="nil"/>
              <w:left w:val="nil"/>
              <w:bottom w:val="single" w:sz="8" w:space="0" w:color="auto"/>
              <w:right w:val="single" w:sz="8" w:space="0" w:color="auto"/>
            </w:tcBorders>
            <w:shd w:val="clear" w:color="auto" w:fill="auto"/>
            <w:vAlign w:val="center"/>
            <w:hideMark/>
          </w:tcPr>
          <w:p w14:paraId="56563CE2" w14:textId="0B1E8AC2" w:rsidR="00E77CE0" w:rsidRPr="00462847" w:rsidRDefault="00E77CE0" w:rsidP="00E77CE0">
            <w:pPr>
              <w:jc w:val="right"/>
              <w:rPr>
                <w:rFonts w:cs="Arial"/>
                <w:color w:val="000000"/>
                <w:sz w:val="18"/>
                <w:szCs w:val="18"/>
                <w:lang w:val="en-GB"/>
              </w:rPr>
            </w:pPr>
            <w:r w:rsidRPr="00462847">
              <w:rPr>
                <w:rFonts w:cs="Arial"/>
                <w:color w:val="000000"/>
                <w:sz w:val="18"/>
                <w:szCs w:val="18"/>
              </w:rPr>
              <w:t>-69.0</w:t>
            </w:r>
          </w:p>
        </w:tc>
        <w:tc>
          <w:tcPr>
            <w:tcW w:w="840" w:type="dxa"/>
            <w:tcBorders>
              <w:top w:val="nil"/>
              <w:left w:val="nil"/>
              <w:bottom w:val="single" w:sz="8" w:space="0" w:color="auto"/>
              <w:right w:val="single" w:sz="8" w:space="0" w:color="auto"/>
            </w:tcBorders>
            <w:shd w:val="clear" w:color="auto" w:fill="auto"/>
            <w:vAlign w:val="center"/>
            <w:hideMark/>
          </w:tcPr>
          <w:p w14:paraId="456A7C00" w14:textId="6C1EAECA" w:rsidR="00E77CE0" w:rsidRPr="00462847" w:rsidRDefault="00E77CE0" w:rsidP="00E77CE0">
            <w:pPr>
              <w:jc w:val="right"/>
              <w:rPr>
                <w:rFonts w:cs="Arial"/>
                <w:color w:val="000000"/>
                <w:sz w:val="18"/>
                <w:szCs w:val="18"/>
                <w:lang w:val="en-GB"/>
              </w:rPr>
            </w:pPr>
            <w:r w:rsidRPr="00462847">
              <w:rPr>
                <w:rFonts w:cs="Arial"/>
                <w:color w:val="000000"/>
                <w:sz w:val="18"/>
                <w:szCs w:val="18"/>
              </w:rPr>
              <w:t>-8.7</w:t>
            </w:r>
          </w:p>
        </w:tc>
        <w:tc>
          <w:tcPr>
            <w:tcW w:w="840" w:type="dxa"/>
            <w:tcBorders>
              <w:top w:val="nil"/>
              <w:left w:val="nil"/>
              <w:bottom w:val="single" w:sz="8" w:space="0" w:color="auto"/>
              <w:right w:val="single" w:sz="8" w:space="0" w:color="auto"/>
            </w:tcBorders>
            <w:shd w:val="clear" w:color="auto" w:fill="auto"/>
            <w:vAlign w:val="center"/>
            <w:hideMark/>
          </w:tcPr>
          <w:p w14:paraId="2123D3EF" w14:textId="408F534B" w:rsidR="00E77CE0" w:rsidRPr="00462847" w:rsidRDefault="00E77CE0" w:rsidP="00E77CE0">
            <w:pPr>
              <w:jc w:val="right"/>
              <w:rPr>
                <w:rFonts w:cs="Arial"/>
                <w:color w:val="000000"/>
                <w:sz w:val="18"/>
                <w:szCs w:val="18"/>
                <w:lang w:val="en-GB"/>
              </w:rPr>
            </w:pPr>
            <w:r w:rsidRPr="00462847">
              <w:rPr>
                <w:rFonts w:cs="Arial"/>
                <w:color w:val="000000"/>
                <w:sz w:val="18"/>
                <w:szCs w:val="18"/>
              </w:rPr>
              <w:t>-66.0</w:t>
            </w:r>
          </w:p>
        </w:tc>
        <w:tc>
          <w:tcPr>
            <w:tcW w:w="840" w:type="dxa"/>
            <w:tcBorders>
              <w:top w:val="nil"/>
              <w:left w:val="nil"/>
              <w:bottom w:val="single" w:sz="8" w:space="0" w:color="auto"/>
              <w:right w:val="single" w:sz="8" w:space="0" w:color="auto"/>
            </w:tcBorders>
            <w:shd w:val="clear" w:color="auto" w:fill="auto"/>
            <w:vAlign w:val="center"/>
            <w:hideMark/>
          </w:tcPr>
          <w:p w14:paraId="768639AF" w14:textId="74E9D993" w:rsidR="00E77CE0" w:rsidRPr="00462847" w:rsidRDefault="00E77CE0" w:rsidP="00E77CE0">
            <w:pPr>
              <w:jc w:val="right"/>
              <w:rPr>
                <w:rFonts w:cs="Arial"/>
                <w:color w:val="000000"/>
                <w:sz w:val="18"/>
                <w:szCs w:val="18"/>
                <w:lang w:val="en-GB"/>
              </w:rPr>
            </w:pPr>
            <w:r w:rsidRPr="00462847">
              <w:rPr>
                <w:rFonts w:cs="Arial"/>
                <w:color w:val="000000"/>
                <w:sz w:val="18"/>
                <w:szCs w:val="18"/>
              </w:rPr>
              <w:t>-103.8</w:t>
            </w:r>
          </w:p>
        </w:tc>
        <w:tc>
          <w:tcPr>
            <w:tcW w:w="840" w:type="dxa"/>
            <w:tcBorders>
              <w:top w:val="nil"/>
              <w:left w:val="nil"/>
              <w:bottom w:val="single" w:sz="8" w:space="0" w:color="auto"/>
              <w:right w:val="single" w:sz="8" w:space="0" w:color="auto"/>
            </w:tcBorders>
            <w:shd w:val="clear" w:color="auto" w:fill="auto"/>
            <w:vAlign w:val="center"/>
            <w:hideMark/>
          </w:tcPr>
          <w:p w14:paraId="165FE1D1" w14:textId="7F7911EB" w:rsidR="00E77CE0" w:rsidRPr="00462847" w:rsidRDefault="00E77CE0" w:rsidP="00E77CE0">
            <w:pPr>
              <w:jc w:val="right"/>
              <w:rPr>
                <w:rFonts w:cs="Arial"/>
                <w:sz w:val="18"/>
                <w:szCs w:val="18"/>
                <w:lang w:val="en-GB"/>
              </w:rPr>
            </w:pPr>
            <w:r w:rsidRPr="00462847">
              <w:rPr>
                <w:rFonts w:cs="Arial"/>
                <w:sz w:val="18"/>
                <w:szCs w:val="18"/>
              </w:rPr>
              <w:t>-100.9</w:t>
            </w:r>
          </w:p>
        </w:tc>
      </w:tr>
      <w:tr w:rsidR="00E77CE0" w:rsidRPr="00462847" w14:paraId="36DC8BD6" w14:textId="77777777" w:rsidTr="005D5CEC">
        <w:trPr>
          <w:trHeight w:val="315"/>
        </w:trPr>
        <w:tc>
          <w:tcPr>
            <w:tcW w:w="1028" w:type="dxa"/>
            <w:tcBorders>
              <w:top w:val="nil"/>
              <w:left w:val="single" w:sz="8" w:space="0" w:color="auto"/>
              <w:bottom w:val="single" w:sz="8" w:space="0" w:color="auto"/>
              <w:right w:val="single" w:sz="8" w:space="0" w:color="auto"/>
            </w:tcBorders>
            <w:shd w:val="clear" w:color="auto" w:fill="auto"/>
            <w:vAlign w:val="center"/>
            <w:hideMark/>
          </w:tcPr>
          <w:p w14:paraId="3E5922C7" w14:textId="77777777" w:rsidR="00E77CE0" w:rsidRPr="00462847" w:rsidRDefault="00E77CE0" w:rsidP="00E77CE0">
            <w:pPr>
              <w:spacing w:line="240" w:lineRule="auto"/>
              <w:jc w:val="center"/>
              <w:rPr>
                <w:rFonts w:eastAsia="Times New Roman" w:cs="Arial"/>
                <w:color w:val="000000"/>
                <w:sz w:val="18"/>
                <w:szCs w:val="18"/>
                <w:lang w:val="en-GB"/>
              </w:rPr>
            </w:pPr>
            <w:r w:rsidRPr="00462847">
              <w:rPr>
                <w:rFonts w:eastAsia="Times New Roman" w:cs="Arial"/>
                <w:color w:val="000000"/>
                <w:sz w:val="18"/>
                <w:szCs w:val="18"/>
                <w:lang w:val="en-GB"/>
              </w:rPr>
              <w:t>% of GDP</w:t>
            </w:r>
          </w:p>
        </w:tc>
        <w:tc>
          <w:tcPr>
            <w:tcW w:w="840" w:type="dxa"/>
            <w:tcBorders>
              <w:top w:val="nil"/>
              <w:left w:val="nil"/>
              <w:bottom w:val="single" w:sz="8" w:space="0" w:color="auto"/>
              <w:right w:val="single" w:sz="8" w:space="0" w:color="auto"/>
            </w:tcBorders>
            <w:shd w:val="clear" w:color="auto" w:fill="auto"/>
            <w:vAlign w:val="center"/>
            <w:hideMark/>
          </w:tcPr>
          <w:p w14:paraId="7C97FE56" w14:textId="486F641D" w:rsidR="00E77CE0" w:rsidRPr="00462847" w:rsidRDefault="00E77CE0" w:rsidP="00E77CE0">
            <w:pPr>
              <w:jc w:val="right"/>
              <w:rPr>
                <w:rFonts w:cs="Arial"/>
                <w:sz w:val="18"/>
                <w:szCs w:val="18"/>
                <w:lang w:val="en-GB"/>
              </w:rPr>
            </w:pPr>
            <w:r w:rsidRPr="00462847">
              <w:rPr>
                <w:rFonts w:cs="Arial"/>
                <w:sz w:val="18"/>
                <w:szCs w:val="18"/>
              </w:rPr>
              <w:t>-9.5</w:t>
            </w:r>
          </w:p>
        </w:tc>
        <w:tc>
          <w:tcPr>
            <w:tcW w:w="840" w:type="dxa"/>
            <w:tcBorders>
              <w:top w:val="nil"/>
              <w:left w:val="nil"/>
              <w:bottom w:val="single" w:sz="8" w:space="0" w:color="auto"/>
              <w:right w:val="single" w:sz="8" w:space="0" w:color="auto"/>
            </w:tcBorders>
            <w:shd w:val="clear" w:color="auto" w:fill="auto"/>
            <w:vAlign w:val="center"/>
            <w:hideMark/>
          </w:tcPr>
          <w:p w14:paraId="6E052579" w14:textId="38296A5D" w:rsidR="00E77CE0" w:rsidRPr="00462847" w:rsidRDefault="00E77CE0" w:rsidP="00E77CE0">
            <w:pPr>
              <w:jc w:val="right"/>
              <w:rPr>
                <w:rFonts w:cs="Arial"/>
                <w:sz w:val="18"/>
                <w:szCs w:val="18"/>
                <w:lang w:val="en-GB"/>
              </w:rPr>
            </w:pPr>
            <w:r w:rsidRPr="00462847">
              <w:rPr>
                <w:rFonts w:cs="Arial"/>
                <w:sz w:val="18"/>
                <w:szCs w:val="18"/>
              </w:rPr>
              <w:t>-2.6</w:t>
            </w:r>
          </w:p>
        </w:tc>
        <w:tc>
          <w:tcPr>
            <w:tcW w:w="840" w:type="dxa"/>
            <w:tcBorders>
              <w:top w:val="nil"/>
              <w:left w:val="nil"/>
              <w:bottom w:val="single" w:sz="8" w:space="0" w:color="auto"/>
              <w:right w:val="single" w:sz="8" w:space="0" w:color="auto"/>
            </w:tcBorders>
            <w:shd w:val="clear" w:color="auto" w:fill="auto"/>
            <w:vAlign w:val="center"/>
            <w:hideMark/>
          </w:tcPr>
          <w:p w14:paraId="567B7317" w14:textId="2EEC5144" w:rsidR="00E77CE0" w:rsidRPr="00462847" w:rsidRDefault="00E77CE0" w:rsidP="00E77CE0">
            <w:pPr>
              <w:jc w:val="right"/>
              <w:rPr>
                <w:rFonts w:cs="Arial"/>
                <w:sz w:val="18"/>
                <w:szCs w:val="18"/>
                <w:lang w:val="en-GB"/>
              </w:rPr>
            </w:pPr>
            <w:r w:rsidRPr="00462847">
              <w:rPr>
                <w:rFonts w:cs="Arial"/>
                <w:sz w:val="18"/>
                <w:szCs w:val="18"/>
              </w:rPr>
              <w:t>-2.7</w:t>
            </w:r>
          </w:p>
        </w:tc>
        <w:tc>
          <w:tcPr>
            <w:tcW w:w="840" w:type="dxa"/>
            <w:tcBorders>
              <w:top w:val="nil"/>
              <w:left w:val="nil"/>
              <w:bottom w:val="single" w:sz="8" w:space="0" w:color="auto"/>
              <w:right w:val="single" w:sz="8" w:space="0" w:color="auto"/>
            </w:tcBorders>
            <w:shd w:val="clear" w:color="auto" w:fill="auto"/>
            <w:vAlign w:val="center"/>
            <w:hideMark/>
          </w:tcPr>
          <w:p w14:paraId="58FB14FE" w14:textId="18A60B97" w:rsidR="00E77CE0" w:rsidRPr="00462847" w:rsidRDefault="00E77CE0" w:rsidP="00E77CE0">
            <w:pPr>
              <w:jc w:val="right"/>
              <w:rPr>
                <w:rFonts w:cs="Arial"/>
                <w:sz w:val="18"/>
                <w:szCs w:val="18"/>
                <w:lang w:val="en-GB"/>
              </w:rPr>
            </w:pPr>
            <w:r w:rsidRPr="00462847">
              <w:rPr>
                <w:rFonts w:cs="Arial"/>
                <w:sz w:val="18"/>
                <w:szCs w:val="18"/>
              </w:rPr>
              <w:t>-6.0</w:t>
            </w:r>
          </w:p>
        </w:tc>
        <w:tc>
          <w:tcPr>
            <w:tcW w:w="840" w:type="dxa"/>
            <w:tcBorders>
              <w:top w:val="nil"/>
              <w:left w:val="nil"/>
              <w:bottom w:val="single" w:sz="8" w:space="0" w:color="auto"/>
              <w:right w:val="single" w:sz="8" w:space="0" w:color="auto"/>
            </w:tcBorders>
            <w:shd w:val="clear" w:color="auto" w:fill="auto"/>
            <w:vAlign w:val="center"/>
            <w:hideMark/>
          </w:tcPr>
          <w:p w14:paraId="336133BC" w14:textId="5C2C66CE" w:rsidR="00E77CE0" w:rsidRPr="00462847" w:rsidRDefault="00E77CE0" w:rsidP="00E77CE0">
            <w:pPr>
              <w:jc w:val="right"/>
              <w:rPr>
                <w:rFonts w:cs="Arial"/>
                <w:sz w:val="18"/>
                <w:szCs w:val="18"/>
                <w:lang w:val="en-GB"/>
              </w:rPr>
            </w:pPr>
            <w:r w:rsidRPr="00462847">
              <w:rPr>
                <w:rFonts w:cs="Arial"/>
                <w:sz w:val="18"/>
                <w:szCs w:val="18"/>
              </w:rPr>
              <w:t>-4.5</w:t>
            </w:r>
          </w:p>
        </w:tc>
        <w:tc>
          <w:tcPr>
            <w:tcW w:w="840" w:type="dxa"/>
            <w:tcBorders>
              <w:top w:val="nil"/>
              <w:left w:val="nil"/>
              <w:bottom w:val="single" w:sz="8" w:space="0" w:color="auto"/>
              <w:right w:val="single" w:sz="8" w:space="0" w:color="auto"/>
            </w:tcBorders>
            <w:shd w:val="clear" w:color="auto" w:fill="auto"/>
            <w:vAlign w:val="center"/>
            <w:hideMark/>
          </w:tcPr>
          <w:p w14:paraId="330A7682" w14:textId="3BC6FB60" w:rsidR="00E77CE0" w:rsidRPr="00462847" w:rsidRDefault="00E77CE0" w:rsidP="00E77CE0">
            <w:pPr>
              <w:jc w:val="right"/>
              <w:rPr>
                <w:rFonts w:cs="Arial"/>
                <w:sz w:val="18"/>
                <w:szCs w:val="18"/>
                <w:lang w:val="en-GB"/>
              </w:rPr>
            </w:pPr>
            <w:r w:rsidRPr="00462847">
              <w:rPr>
                <w:rFonts w:cs="Arial"/>
                <w:sz w:val="18"/>
                <w:szCs w:val="18"/>
              </w:rPr>
              <w:t>-0.5</w:t>
            </w:r>
          </w:p>
        </w:tc>
        <w:tc>
          <w:tcPr>
            <w:tcW w:w="840" w:type="dxa"/>
            <w:tcBorders>
              <w:top w:val="nil"/>
              <w:left w:val="nil"/>
              <w:bottom w:val="single" w:sz="8" w:space="0" w:color="auto"/>
              <w:right w:val="single" w:sz="8" w:space="0" w:color="auto"/>
            </w:tcBorders>
            <w:shd w:val="clear" w:color="auto" w:fill="auto"/>
            <w:vAlign w:val="center"/>
            <w:hideMark/>
          </w:tcPr>
          <w:p w14:paraId="33713072" w14:textId="1B765208" w:rsidR="00E77CE0" w:rsidRPr="00462847" w:rsidRDefault="00E77CE0" w:rsidP="00E77CE0">
            <w:pPr>
              <w:jc w:val="right"/>
              <w:rPr>
                <w:rFonts w:cs="Arial"/>
                <w:sz w:val="18"/>
                <w:szCs w:val="18"/>
                <w:lang w:val="en-GB"/>
              </w:rPr>
            </w:pPr>
            <w:r w:rsidRPr="00462847">
              <w:rPr>
                <w:rFonts w:cs="Arial"/>
                <w:sz w:val="18"/>
                <w:szCs w:val="18"/>
              </w:rPr>
              <w:t>-3.8</w:t>
            </w:r>
          </w:p>
        </w:tc>
        <w:tc>
          <w:tcPr>
            <w:tcW w:w="840" w:type="dxa"/>
            <w:tcBorders>
              <w:top w:val="nil"/>
              <w:left w:val="nil"/>
              <w:bottom w:val="single" w:sz="8" w:space="0" w:color="auto"/>
              <w:right w:val="single" w:sz="8" w:space="0" w:color="auto"/>
            </w:tcBorders>
            <w:shd w:val="clear" w:color="auto" w:fill="auto"/>
            <w:vAlign w:val="center"/>
            <w:hideMark/>
          </w:tcPr>
          <w:p w14:paraId="185C4960" w14:textId="1C0C3F9D" w:rsidR="00E77CE0" w:rsidRPr="00462847" w:rsidRDefault="00E77CE0" w:rsidP="00E77CE0">
            <w:pPr>
              <w:jc w:val="right"/>
              <w:rPr>
                <w:rFonts w:cs="Arial"/>
                <w:sz w:val="18"/>
                <w:szCs w:val="18"/>
                <w:lang w:val="en-GB"/>
              </w:rPr>
            </w:pPr>
            <w:r w:rsidRPr="00462847">
              <w:rPr>
                <w:rFonts w:cs="Arial"/>
                <w:sz w:val="18"/>
                <w:szCs w:val="18"/>
              </w:rPr>
              <w:t>-5.8</w:t>
            </w:r>
          </w:p>
        </w:tc>
        <w:tc>
          <w:tcPr>
            <w:tcW w:w="840" w:type="dxa"/>
            <w:tcBorders>
              <w:top w:val="nil"/>
              <w:left w:val="nil"/>
              <w:bottom w:val="single" w:sz="8" w:space="0" w:color="auto"/>
              <w:right w:val="single" w:sz="8" w:space="0" w:color="auto"/>
            </w:tcBorders>
            <w:shd w:val="clear" w:color="auto" w:fill="auto"/>
            <w:vAlign w:val="center"/>
            <w:hideMark/>
          </w:tcPr>
          <w:p w14:paraId="2777B80D" w14:textId="6D448B60" w:rsidR="00E77CE0" w:rsidRPr="00462847" w:rsidRDefault="00E77CE0" w:rsidP="00E77CE0">
            <w:pPr>
              <w:jc w:val="right"/>
              <w:rPr>
                <w:rFonts w:cs="Arial"/>
                <w:sz w:val="18"/>
                <w:szCs w:val="18"/>
                <w:lang w:val="en-GB"/>
              </w:rPr>
            </w:pPr>
            <w:r w:rsidRPr="00462847">
              <w:rPr>
                <w:rFonts w:cs="Arial"/>
                <w:sz w:val="18"/>
                <w:szCs w:val="18"/>
              </w:rPr>
              <w:t>-5.9</w:t>
            </w:r>
          </w:p>
        </w:tc>
      </w:tr>
    </w:tbl>
    <w:p w14:paraId="45ED64A9" w14:textId="77777777" w:rsidR="000221A2" w:rsidRPr="00462847" w:rsidRDefault="000221A2" w:rsidP="000221A2">
      <w:pPr>
        <w:rPr>
          <w:i/>
          <w:lang w:val="en-GB"/>
        </w:rPr>
      </w:pPr>
      <w:r w:rsidRPr="00462847">
        <w:rPr>
          <w:i/>
          <w:lang w:val="en-GB"/>
        </w:rPr>
        <w:t>Note: Data in the table are not seasonally adjusted and cannot be compared quarter-on-quarter.</w:t>
      </w:r>
    </w:p>
    <w:p w14:paraId="6F7B378F" w14:textId="77777777" w:rsidR="00375706" w:rsidRPr="00462847" w:rsidRDefault="00375706" w:rsidP="00375706">
      <w:pPr>
        <w:rPr>
          <w:lang w:val="en-GB"/>
        </w:rPr>
      </w:pPr>
    </w:p>
    <w:p w14:paraId="26B3A863" w14:textId="599F179F" w:rsidR="006D003C" w:rsidRPr="00462847" w:rsidRDefault="006D003C" w:rsidP="009F465E">
      <w:r w:rsidRPr="00462847">
        <w:rPr>
          <w:lang w:val="en-GB"/>
        </w:rPr>
        <w:t>The total government revenues increased by 1</w:t>
      </w:r>
      <w:r w:rsidR="00863A65" w:rsidRPr="00462847">
        <w:rPr>
          <w:lang w:val="en-GB"/>
        </w:rPr>
        <w:t>2.6%, y-o-y, and reached 40.6</w:t>
      </w:r>
      <w:r w:rsidRPr="00462847">
        <w:rPr>
          <w:lang w:val="en-GB"/>
        </w:rPr>
        <w:t>% of GDP. The y-o-y increase in revenues was mainly contributed to by</w:t>
      </w:r>
      <w:r w:rsidR="00863A65" w:rsidRPr="00462847">
        <w:rPr>
          <w:lang w:val="en-GB"/>
        </w:rPr>
        <w:t xml:space="preserve"> an increase in revenues </w:t>
      </w:r>
      <w:r w:rsidR="00863A65" w:rsidRPr="00900BFC">
        <w:rPr>
          <w:lang w:val="en-GB"/>
        </w:rPr>
        <w:t>from received</w:t>
      </w:r>
      <w:r w:rsidRPr="00900BFC">
        <w:rPr>
          <w:lang w:val="en-GB"/>
        </w:rPr>
        <w:t xml:space="preserve"> </w:t>
      </w:r>
      <w:r w:rsidR="00863A65" w:rsidRPr="00900BFC">
        <w:rPr>
          <w:lang w:val="en-GB"/>
        </w:rPr>
        <w:t>taxes</w:t>
      </w:r>
      <w:r w:rsidR="00863A65" w:rsidRPr="00462847">
        <w:rPr>
          <w:lang w:val="en-GB"/>
        </w:rPr>
        <w:t xml:space="preserve"> on income, from</w:t>
      </w:r>
      <w:r w:rsidR="00900BFC">
        <w:rPr>
          <w:lang w:val="en-GB"/>
        </w:rPr>
        <w:t xml:space="preserve"> received</w:t>
      </w:r>
      <w:r w:rsidR="00863A65" w:rsidRPr="00462847">
        <w:rPr>
          <w:lang w:val="en-GB"/>
        </w:rPr>
        <w:t xml:space="preserve"> social contributions, and taxes on production and imports.</w:t>
      </w:r>
      <w:r w:rsidR="00606CB5" w:rsidRPr="00462847">
        <w:rPr>
          <w:lang w:val="en-GB"/>
        </w:rPr>
        <w:t xml:space="preserve"> </w:t>
      </w:r>
      <w:r w:rsidRPr="00462847">
        <w:rPr>
          <w:lang w:val="en-GB"/>
        </w:rPr>
        <w:t xml:space="preserve">The total government expenditure increased by </w:t>
      </w:r>
      <w:r w:rsidR="00606CB5" w:rsidRPr="00462847">
        <w:rPr>
          <w:lang w:val="en-GB"/>
        </w:rPr>
        <w:t>16.0%</w:t>
      </w:r>
      <w:r w:rsidR="00246938">
        <w:rPr>
          <w:lang w:val="en-GB"/>
        </w:rPr>
        <w:t>, year-on-year,</w:t>
      </w:r>
      <w:r w:rsidR="00606CB5" w:rsidRPr="00462847">
        <w:rPr>
          <w:lang w:val="en-GB"/>
        </w:rPr>
        <w:t xml:space="preserve"> and reached 46.5</w:t>
      </w:r>
      <w:r w:rsidRPr="00462847">
        <w:rPr>
          <w:lang w:val="en-GB"/>
        </w:rPr>
        <w:t xml:space="preserve">% of GDP. </w:t>
      </w:r>
      <w:r w:rsidR="00606CB5" w:rsidRPr="00462847">
        <w:rPr>
          <w:lang w:val="en-GB"/>
        </w:rPr>
        <w:t xml:space="preserve">Expenditure on social benefits, subsidies, and </w:t>
      </w:r>
      <w:r w:rsidR="00967331" w:rsidRPr="00462847">
        <w:rPr>
          <w:lang w:val="en-GB"/>
        </w:rPr>
        <w:t>compensation of employees</w:t>
      </w:r>
      <w:r w:rsidR="00606CB5" w:rsidRPr="00462847">
        <w:rPr>
          <w:lang w:val="en-GB"/>
        </w:rPr>
        <w:t xml:space="preserve"> increased the most.</w:t>
      </w:r>
      <w:r w:rsidR="00D9647F" w:rsidRPr="00462847">
        <w:rPr>
          <w:lang w:val="en-GB"/>
        </w:rPr>
        <w:t xml:space="preserve"> </w:t>
      </w:r>
    </w:p>
    <w:p w14:paraId="3278A172" w14:textId="76F016DE" w:rsidR="00ED1967" w:rsidRPr="00462847" w:rsidRDefault="00ED1967" w:rsidP="009F465E"/>
    <w:p w14:paraId="619DA852" w14:textId="166AED73" w:rsidR="00924C6B" w:rsidRPr="00462847" w:rsidRDefault="00ED1967" w:rsidP="009F465E">
      <w:pPr>
        <w:rPr>
          <w:lang w:val="en-GB"/>
        </w:rPr>
      </w:pPr>
      <w:r w:rsidRPr="00462847">
        <w:rPr>
          <w:lang w:val="en-GB"/>
        </w:rPr>
        <w:t>The nominal debt of the general government increased by CZK </w:t>
      </w:r>
      <w:r w:rsidR="00F6356F" w:rsidRPr="00462847">
        <w:rPr>
          <w:lang w:val="en-GB"/>
        </w:rPr>
        <w:t>415.3</w:t>
      </w:r>
      <w:r w:rsidRPr="00462847">
        <w:rPr>
          <w:lang w:val="en-GB"/>
        </w:rPr>
        <w:t> billion to CZK </w:t>
      </w:r>
      <w:r w:rsidR="00F6356F" w:rsidRPr="00462847">
        <w:rPr>
          <w:lang w:val="en-GB"/>
        </w:rPr>
        <w:t>3</w:t>
      </w:r>
      <w:r w:rsidRPr="00462847">
        <w:rPr>
          <w:lang w:val="en-GB"/>
        </w:rPr>
        <w:t> </w:t>
      </w:r>
      <w:r w:rsidR="00F6356F" w:rsidRPr="00462847">
        <w:rPr>
          <w:lang w:val="en-GB"/>
        </w:rPr>
        <w:t>099</w:t>
      </w:r>
      <w:r w:rsidRPr="00462847">
        <w:rPr>
          <w:lang w:val="en-GB"/>
        </w:rPr>
        <w:t>.</w:t>
      </w:r>
      <w:r w:rsidR="00F6356F" w:rsidRPr="00462847">
        <w:rPr>
          <w:lang w:val="en-GB"/>
        </w:rPr>
        <w:t>4</w:t>
      </w:r>
      <w:r w:rsidRPr="00462847">
        <w:rPr>
          <w:lang w:val="en-GB"/>
        </w:rPr>
        <w:t> billion.</w:t>
      </w:r>
      <w:r w:rsidR="00F6356F" w:rsidRPr="00462847">
        <w:rPr>
          <w:lang w:val="en-GB"/>
        </w:rPr>
        <w:t xml:space="preserve"> The government debt ratio increased from 42.8</w:t>
      </w:r>
      <w:r w:rsidRPr="00462847">
        <w:rPr>
          <w:lang w:val="en-GB"/>
        </w:rPr>
        <w:t>% to 4</w:t>
      </w:r>
      <w:r w:rsidR="00F6356F" w:rsidRPr="00462847">
        <w:rPr>
          <w:lang w:val="en-GB"/>
        </w:rPr>
        <w:t>4.5</w:t>
      </w:r>
      <w:r w:rsidR="00FC46F9">
        <w:rPr>
          <w:lang w:val="en-GB"/>
        </w:rPr>
        <w:t>% of GDP, year-on-year;</w:t>
      </w:r>
      <w:r w:rsidRPr="00462847">
        <w:rPr>
          <w:lang w:val="en-GB"/>
        </w:rPr>
        <w:t xml:space="preserve"> </w:t>
      </w:r>
      <w:r w:rsidR="007E3397" w:rsidRPr="007E3397">
        <w:rPr>
          <w:lang w:val="en-GB"/>
        </w:rPr>
        <w:t>the influence of the nominal change of the debt was</w:t>
      </w:r>
      <w:r w:rsidR="00F6356F" w:rsidRPr="00462847">
        <w:rPr>
          <w:lang w:val="en-GB"/>
        </w:rPr>
        <w:t xml:space="preserve"> +6.0</w:t>
      </w:r>
      <w:r w:rsidRPr="00462847">
        <w:rPr>
          <w:lang w:val="en-GB"/>
        </w:rPr>
        <w:t xml:space="preserve"> p. p., </w:t>
      </w:r>
      <w:r w:rsidR="00A92627">
        <w:rPr>
          <w:lang w:val="en-GB"/>
        </w:rPr>
        <w:t>while</w:t>
      </w:r>
      <w:r w:rsidRPr="00462847">
        <w:rPr>
          <w:lang w:val="en-GB"/>
        </w:rPr>
        <w:t xml:space="preserve"> the increasing nominal GDP contributed to a </w:t>
      </w:r>
      <w:r w:rsidR="00A03DEA">
        <w:rPr>
          <w:lang w:val="en-GB"/>
        </w:rPr>
        <w:t xml:space="preserve">decrease in </w:t>
      </w:r>
      <w:r w:rsidRPr="00462847">
        <w:rPr>
          <w:lang w:val="en-GB"/>
        </w:rPr>
        <w:t>indebtedness by –</w:t>
      </w:r>
      <w:r w:rsidR="00F6356F" w:rsidRPr="00462847">
        <w:rPr>
          <w:lang w:val="en-GB"/>
        </w:rPr>
        <w:t>4.3</w:t>
      </w:r>
      <w:r w:rsidRPr="00462847">
        <w:rPr>
          <w:lang w:val="en-GB"/>
        </w:rPr>
        <w:t> p. p.</w:t>
      </w:r>
      <w:r w:rsidR="000473C8" w:rsidRPr="00462847">
        <w:rPr>
          <w:lang w:val="en-GB"/>
        </w:rPr>
        <w:t xml:space="preserve"> The debt increased by CZK 102.3</w:t>
      </w:r>
      <w:r w:rsidRPr="00462847">
        <w:rPr>
          <w:lang w:val="en-GB"/>
        </w:rPr>
        <w:t> billion, quarter-on-quarter</w:t>
      </w:r>
      <w:r w:rsidR="00DE2F71" w:rsidRPr="00462847">
        <w:rPr>
          <w:lang w:val="en-GB"/>
        </w:rPr>
        <w:t>, which means that the debt ratio increased by 0.3</w:t>
      </w:r>
      <w:r w:rsidRPr="00462847">
        <w:rPr>
          <w:lang w:val="en-GB"/>
        </w:rPr>
        <w:t> p. p.</w:t>
      </w:r>
      <w:r w:rsidR="00F6356F" w:rsidRPr="00462847">
        <w:rPr>
          <w:lang w:val="en-GB"/>
        </w:rPr>
        <w:t xml:space="preserve"> </w:t>
      </w:r>
      <w:r w:rsidR="00DE2F71" w:rsidRPr="00462847">
        <w:rPr>
          <w:lang w:val="en-GB"/>
        </w:rPr>
        <w:t>T</w:t>
      </w:r>
      <w:r w:rsidR="00924C6B" w:rsidRPr="00462847">
        <w:rPr>
          <w:lang w:val="en-GB"/>
        </w:rPr>
        <w:t>he increase in the nominal GDP contributed to a decrease</w:t>
      </w:r>
      <w:r w:rsidR="005E5B52">
        <w:rPr>
          <w:lang w:val="en-GB"/>
        </w:rPr>
        <w:t xml:space="preserve"> in the indebtedness</w:t>
      </w:r>
      <w:r w:rsidR="00924C6B" w:rsidRPr="00462847">
        <w:rPr>
          <w:lang w:val="en-GB"/>
        </w:rPr>
        <w:t xml:space="preserve"> by </w:t>
      </w:r>
      <w:r w:rsidR="00924C6B" w:rsidRPr="00462847">
        <w:t>–1.1 p. p.</w:t>
      </w:r>
    </w:p>
    <w:p w14:paraId="417DEB50" w14:textId="3C471062" w:rsidR="00924C6B" w:rsidRPr="00462847" w:rsidRDefault="00924C6B" w:rsidP="00375706">
      <w:pPr>
        <w:rPr>
          <w:lang w:val="en-GB"/>
        </w:rPr>
      </w:pPr>
    </w:p>
    <w:p w14:paraId="29609211" w14:textId="5301120C" w:rsidR="00924C6B" w:rsidRPr="00462847" w:rsidRDefault="00924C6B" w:rsidP="00375706">
      <w:pPr>
        <w:rPr>
          <w:lang w:val="en-GB"/>
        </w:rPr>
      </w:pPr>
      <w:r w:rsidRPr="00462847">
        <w:rPr>
          <w:lang w:val="en-GB"/>
        </w:rPr>
        <w:lastRenderedPageBreak/>
        <w:t xml:space="preserve">Regarding the debt structure, especially the following increased, y-o-y: issued debt securities </w:t>
      </w:r>
      <w:r w:rsidR="00B438E2" w:rsidRPr="00462847">
        <w:rPr>
          <w:lang w:val="en-GB"/>
        </w:rPr>
        <w:t>(CZK +3</w:t>
      </w:r>
      <w:r w:rsidRPr="00462847">
        <w:rPr>
          <w:lang w:val="en-GB"/>
        </w:rPr>
        <w:t>0</w:t>
      </w:r>
      <w:r w:rsidR="00B438E2" w:rsidRPr="00462847">
        <w:rPr>
          <w:lang w:val="en-GB"/>
        </w:rPr>
        <w:t>8</w:t>
      </w:r>
      <w:r w:rsidRPr="00462847">
        <w:rPr>
          <w:lang w:val="en-GB"/>
        </w:rPr>
        <w:t>.</w:t>
      </w:r>
      <w:r w:rsidR="00B438E2" w:rsidRPr="00462847">
        <w:rPr>
          <w:lang w:val="en-GB"/>
        </w:rPr>
        <w:t>4</w:t>
      </w:r>
      <w:r w:rsidRPr="00462847">
        <w:rPr>
          <w:lang w:val="en-GB"/>
        </w:rPr>
        <w:t> bn)</w:t>
      </w:r>
      <w:r w:rsidR="00B438E2" w:rsidRPr="00462847">
        <w:rPr>
          <w:lang w:val="en-GB"/>
        </w:rPr>
        <w:t xml:space="preserve"> and </w:t>
      </w:r>
      <w:r w:rsidR="009A275A" w:rsidRPr="00462847">
        <w:rPr>
          <w:lang w:val="en-GB"/>
        </w:rPr>
        <w:t>received loans</w:t>
      </w:r>
      <w:r w:rsidR="00B438E2" w:rsidRPr="00462847">
        <w:rPr>
          <w:lang w:val="en-GB"/>
        </w:rPr>
        <w:t xml:space="preserve"> (CZK +91.5 bn).  </w:t>
      </w:r>
    </w:p>
    <w:p w14:paraId="65C39311" w14:textId="77777777" w:rsidR="00375706" w:rsidRPr="00462847" w:rsidRDefault="00375706" w:rsidP="00375706">
      <w:pPr>
        <w:rPr>
          <w:lang w:val="en-GB"/>
        </w:rPr>
      </w:pPr>
    </w:p>
    <w:p w14:paraId="48F6CBD7" w14:textId="25BDA608" w:rsidR="00ED095B" w:rsidRPr="00462847" w:rsidRDefault="00ED095B" w:rsidP="00ED095B">
      <w:pPr>
        <w:jc w:val="left"/>
        <w:rPr>
          <w:noProof/>
          <w:lang w:val="en-GB" w:eastAsia="cs-CZ"/>
        </w:rPr>
      </w:pPr>
      <w:r w:rsidRPr="00462847">
        <w:rPr>
          <w:rFonts w:eastAsia="Times New Roman"/>
          <w:b/>
          <w:bCs/>
          <w:szCs w:val="28"/>
          <w:lang w:val="en-GB"/>
        </w:rPr>
        <w:t>Debt of the general government sector, Q</w:t>
      </w:r>
      <w:r w:rsidR="00295202" w:rsidRPr="00462847">
        <w:rPr>
          <w:rFonts w:eastAsia="Times New Roman"/>
          <w:b/>
          <w:bCs/>
          <w:szCs w:val="28"/>
          <w:lang w:val="en-GB"/>
        </w:rPr>
        <w:t>1</w:t>
      </w:r>
      <w:r w:rsidRPr="00462847">
        <w:rPr>
          <w:rFonts w:eastAsia="Times New Roman"/>
          <w:b/>
          <w:bCs/>
          <w:szCs w:val="28"/>
          <w:lang w:val="en-GB"/>
        </w:rPr>
        <w:t xml:space="preserve"> 202</w:t>
      </w:r>
      <w:r w:rsidR="00295202" w:rsidRPr="00462847">
        <w:rPr>
          <w:rFonts w:eastAsia="Times New Roman"/>
          <w:b/>
          <w:bCs/>
          <w:szCs w:val="28"/>
          <w:lang w:val="en-GB"/>
        </w:rPr>
        <w:t>1</w:t>
      </w:r>
      <w:r w:rsidRPr="00462847">
        <w:rPr>
          <w:rFonts w:eastAsia="Times New Roman"/>
          <w:b/>
          <w:bCs/>
          <w:szCs w:val="28"/>
          <w:lang w:val="en-GB"/>
        </w:rPr>
        <w:t xml:space="preserve"> – Q</w:t>
      </w:r>
      <w:r w:rsidR="00295202" w:rsidRPr="00462847">
        <w:rPr>
          <w:rFonts w:eastAsia="Times New Roman"/>
          <w:b/>
          <w:bCs/>
          <w:szCs w:val="28"/>
          <w:lang w:val="en-GB"/>
        </w:rPr>
        <w:t>1</w:t>
      </w:r>
      <w:r w:rsidRPr="00462847">
        <w:rPr>
          <w:rFonts w:eastAsia="Times New Roman"/>
          <w:b/>
          <w:bCs/>
          <w:szCs w:val="28"/>
          <w:lang w:val="en-GB"/>
        </w:rPr>
        <w:t xml:space="preserve"> 202</w:t>
      </w:r>
      <w:r w:rsidR="00295202" w:rsidRPr="00462847">
        <w:rPr>
          <w:rFonts w:eastAsia="Times New Roman"/>
          <w:b/>
          <w:bCs/>
          <w:szCs w:val="28"/>
          <w:lang w:val="en-GB"/>
        </w:rPr>
        <w:t>3</w:t>
      </w:r>
    </w:p>
    <w:p w14:paraId="49B556D5" w14:textId="77777777" w:rsidR="004A7377" w:rsidRPr="00462847" w:rsidRDefault="004A7377" w:rsidP="004A7377">
      <w:r w:rsidRPr="00462847">
        <w:rPr>
          <w:noProof/>
          <w:lang w:eastAsia="cs-CZ"/>
        </w:rPr>
        <w:drawing>
          <wp:inline distT="0" distB="0" distL="0" distR="0" wp14:anchorId="4CD0F5BB" wp14:editId="076FE44C">
            <wp:extent cx="5399928" cy="2800350"/>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3042" cy="2807151"/>
                    </a:xfrm>
                    <a:prstGeom prst="rect">
                      <a:avLst/>
                    </a:prstGeom>
                    <a:noFill/>
                  </pic:spPr>
                </pic:pic>
              </a:graphicData>
            </a:graphic>
          </wp:inline>
        </w:drawing>
      </w:r>
    </w:p>
    <w:p w14:paraId="1FB1AEF5" w14:textId="77777777" w:rsidR="00ED095B" w:rsidRPr="00462847" w:rsidRDefault="00ED095B" w:rsidP="00ED095B"/>
    <w:p w14:paraId="7E91A7BF" w14:textId="588282FB" w:rsidR="00ED095B" w:rsidRPr="00462847" w:rsidRDefault="00135774" w:rsidP="00ED095B">
      <w:r>
        <w:rPr>
          <w:noProof/>
          <w:lang w:eastAsia="cs-CZ"/>
        </w:rPr>
        <w:drawing>
          <wp:inline distT="0" distB="0" distL="0" distR="0" wp14:anchorId="21E7CE06" wp14:editId="54D772CD">
            <wp:extent cx="5374640" cy="299974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4640" cy="2999740"/>
                    </a:xfrm>
                    <a:prstGeom prst="rect">
                      <a:avLst/>
                    </a:prstGeom>
                    <a:noFill/>
                  </pic:spPr>
                </pic:pic>
              </a:graphicData>
            </a:graphic>
          </wp:inline>
        </w:drawing>
      </w:r>
    </w:p>
    <w:p w14:paraId="39A0F7C3" w14:textId="77777777" w:rsidR="00375706" w:rsidRPr="00462847" w:rsidRDefault="00375706" w:rsidP="00375706">
      <w:pPr>
        <w:rPr>
          <w:lang w:val="en-GB"/>
        </w:rPr>
      </w:pPr>
    </w:p>
    <w:p w14:paraId="2232A80B" w14:textId="65B3DCAA" w:rsidR="00E335F6" w:rsidRPr="00462847" w:rsidRDefault="00E335F6" w:rsidP="00375706">
      <w:r w:rsidRPr="00462847">
        <w:rPr>
          <w:lang w:val="en-GB"/>
        </w:rPr>
        <w:t>The general government sector balance after seasonal adjustment as well as adjustment for calendar effects ended up with a deficit of CZK </w:t>
      </w:r>
      <w:r w:rsidR="00957183" w:rsidRPr="00462847">
        <w:rPr>
          <w:lang w:val="en-GB"/>
        </w:rPr>
        <w:t>76</w:t>
      </w:r>
      <w:r w:rsidRPr="00462847">
        <w:rPr>
          <w:lang w:val="en-GB"/>
        </w:rPr>
        <w:t>.</w:t>
      </w:r>
      <w:r w:rsidR="00957183" w:rsidRPr="00462847">
        <w:rPr>
          <w:lang w:val="en-GB"/>
        </w:rPr>
        <w:t>7</w:t>
      </w:r>
      <w:r w:rsidRPr="00462847">
        <w:rPr>
          <w:lang w:val="en-GB"/>
        </w:rPr>
        <w:t> bn, which corresponded to 4.</w:t>
      </w:r>
      <w:r w:rsidR="00957183" w:rsidRPr="00462847">
        <w:rPr>
          <w:lang w:val="en-GB"/>
        </w:rPr>
        <w:t>2</w:t>
      </w:r>
      <w:r w:rsidRPr="00462847">
        <w:rPr>
          <w:lang w:val="en-GB"/>
        </w:rPr>
        <w:t xml:space="preserve">% of GDP. The general government sector balance </w:t>
      </w:r>
      <w:r w:rsidR="00957183" w:rsidRPr="00462847">
        <w:rPr>
          <w:lang w:val="en-GB"/>
        </w:rPr>
        <w:t>worsened</w:t>
      </w:r>
      <w:r w:rsidRPr="00462847">
        <w:rPr>
          <w:lang w:val="en-GB"/>
        </w:rPr>
        <w:t xml:space="preserve"> by CZK </w:t>
      </w:r>
      <w:r w:rsidR="00957183" w:rsidRPr="00462847">
        <w:rPr>
          <w:lang w:val="en-GB"/>
        </w:rPr>
        <w:t>4</w:t>
      </w:r>
      <w:r w:rsidRPr="00462847">
        <w:rPr>
          <w:lang w:val="en-GB"/>
        </w:rPr>
        <w:t>.</w:t>
      </w:r>
      <w:r w:rsidR="00957183" w:rsidRPr="00462847">
        <w:rPr>
          <w:lang w:val="en-GB"/>
        </w:rPr>
        <w:t>3</w:t>
      </w:r>
      <w:r w:rsidRPr="00462847">
        <w:rPr>
          <w:lang w:val="en-GB"/>
        </w:rPr>
        <w:t xml:space="preserve"> bn, q-o-q. The development of the </w:t>
      </w:r>
      <w:r w:rsidRPr="00462847">
        <w:rPr>
          <w:lang w:val="en-GB"/>
        </w:rPr>
        <w:lastRenderedPageBreak/>
        <w:t>general government sector balance adjusted by seasonal and calendar effects is shown in the chart below.</w:t>
      </w:r>
    </w:p>
    <w:p w14:paraId="732CD854" w14:textId="62715414" w:rsidR="009F465E" w:rsidRPr="00462847" w:rsidRDefault="009F465E" w:rsidP="00375706"/>
    <w:p w14:paraId="52318545" w14:textId="6C0BEAC2" w:rsidR="00375706" w:rsidRPr="00462847" w:rsidRDefault="0099333B" w:rsidP="00375706">
      <w:pPr>
        <w:jc w:val="left"/>
        <w:rPr>
          <w:rFonts w:eastAsia="Times New Roman"/>
          <w:b/>
          <w:bCs/>
          <w:szCs w:val="28"/>
        </w:rPr>
      </w:pPr>
      <w:r w:rsidRPr="00462847">
        <w:rPr>
          <w:rFonts w:eastAsia="Times New Roman"/>
          <w:b/>
          <w:bCs/>
          <w:szCs w:val="28"/>
          <w:lang w:val="en-GB"/>
        </w:rPr>
        <w:t xml:space="preserve">Seasonally adjusted </w:t>
      </w:r>
      <w:r w:rsidR="00375706" w:rsidRPr="00462847">
        <w:rPr>
          <w:rFonts w:eastAsia="Times New Roman"/>
          <w:b/>
          <w:bCs/>
          <w:szCs w:val="28"/>
          <w:lang w:val="en-GB"/>
        </w:rPr>
        <w:t>general government sector</w:t>
      </w:r>
      <w:r w:rsidRPr="00462847">
        <w:rPr>
          <w:rFonts w:eastAsia="Times New Roman"/>
          <w:b/>
          <w:bCs/>
          <w:szCs w:val="28"/>
          <w:lang w:val="en-GB"/>
        </w:rPr>
        <w:t xml:space="preserve"> balance</w:t>
      </w:r>
      <w:r w:rsidR="00375706" w:rsidRPr="00462847">
        <w:rPr>
          <w:rFonts w:eastAsia="Times New Roman"/>
          <w:b/>
          <w:bCs/>
          <w:szCs w:val="28"/>
          <w:lang w:val="en-GB"/>
        </w:rPr>
        <w:t xml:space="preserve">, </w:t>
      </w:r>
      <w:r w:rsidR="00A20E62" w:rsidRPr="00462847">
        <w:rPr>
          <w:rFonts w:eastAsia="Times New Roman"/>
          <w:b/>
          <w:bCs/>
          <w:szCs w:val="28"/>
        </w:rPr>
        <w:t>Q</w:t>
      </w:r>
      <w:r w:rsidR="000D2054" w:rsidRPr="00462847">
        <w:rPr>
          <w:rFonts w:eastAsia="Times New Roman"/>
          <w:b/>
          <w:bCs/>
          <w:szCs w:val="28"/>
        </w:rPr>
        <w:t>1 2021</w:t>
      </w:r>
      <w:r w:rsidR="00295202" w:rsidRPr="00462847">
        <w:rPr>
          <w:rFonts w:eastAsia="Times New Roman"/>
          <w:b/>
          <w:bCs/>
          <w:szCs w:val="28"/>
        </w:rPr>
        <w:t xml:space="preserve"> – Q1</w:t>
      </w:r>
      <w:r w:rsidR="00A20E62" w:rsidRPr="00462847">
        <w:rPr>
          <w:rFonts w:eastAsia="Times New Roman"/>
          <w:b/>
          <w:bCs/>
          <w:szCs w:val="28"/>
        </w:rPr>
        <w:t xml:space="preserve"> 202</w:t>
      </w:r>
      <w:r w:rsidR="00295202" w:rsidRPr="00462847">
        <w:rPr>
          <w:rFonts w:eastAsia="Times New Roman"/>
          <w:b/>
          <w:bCs/>
          <w:szCs w:val="28"/>
        </w:rPr>
        <w:t>3</w:t>
      </w:r>
    </w:p>
    <w:p w14:paraId="48168315" w14:textId="26D62C5A" w:rsidR="009752BC" w:rsidRPr="00462847" w:rsidRDefault="00135774" w:rsidP="009752BC">
      <w:r>
        <w:rPr>
          <w:noProof/>
          <w:lang w:eastAsia="cs-CZ"/>
        </w:rPr>
        <w:drawing>
          <wp:inline distT="0" distB="0" distL="0" distR="0" wp14:anchorId="01702D99" wp14:editId="0C396A3D">
            <wp:extent cx="5400040" cy="2124469"/>
            <wp:effectExtent l="0" t="0" r="0" b="952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2124469"/>
                    </a:xfrm>
                    <a:prstGeom prst="rect">
                      <a:avLst/>
                    </a:prstGeom>
                    <a:noFill/>
                  </pic:spPr>
                </pic:pic>
              </a:graphicData>
            </a:graphic>
          </wp:inline>
        </w:drawing>
      </w:r>
      <w:bookmarkStart w:id="0" w:name="_GoBack"/>
      <w:bookmarkEnd w:id="0"/>
    </w:p>
    <w:p w14:paraId="373E8DE9" w14:textId="77777777" w:rsidR="00375706" w:rsidRPr="00462847" w:rsidRDefault="001B3556" w:rsidP="00375706">
      <w:pPr>
        <w:pStyle w:val="Poznmky0"/>
      </w:pPr>
      <w:r w:rsidRPr="00462847">
        <w:t>Notes</w:t>
      </w:r>
      <w:r w:rsidR="00375706" w:rsidRPr="00462847">
        <w:t>:</w:t>
      </w:r>
    </w:p>
    <w:p w14:paraId="75D6F5C3" w14:textId="77777777" w:rsidR="00027299" w:rsidRPr="00462847" w:rsidRDefault="00027299" w:rsidP="00375706">
      <w:pPr>
        <w:rPr>
          <w:rFonts w:cs="Arial"/>
          <w:i/>
          <w:sz w:val="18"/>
          <w:szCs w:val="20"/>
          <w:lang w:val="en-GB"/>
        </w:rPr>
      </w:pPr>
      <w:r w:rsidRPr="00462847">
        <w:rPr>
          <w:rFonts w:cs="Arial"/>
          <w:i/>
          <w:sz w:val="18"/>
          <w:szCs w:val="20"/>
          <w:lang w:val="en-GB"/>
        </w:rPr>
        <w:t xml:space="preserve">Quantification of fiscal indicators of government deficit and debt mentioned above is based on the ESA2010 methodology. Data published in this news release are methodologically consistent with the data used for the statistics of the excessive deficit procedure (EDP) purposes and for the assessment of how Maastricht convergence criteria are met. </w:t>
      </w:r>
    </w:p>
    <w:p w14:paraId="529F3D0A" w14:textId="77777777" w:rsidR="00027299" w:rsidRPr="00462847" w:rsidRDefault="00027299" w:rsidP="00375706">
      <w:pPr>
        <w:rPr>
          <w:rFonts w:cs="Arial"/>
          <w:i/>
          <w:sz w:val="18"/>
          <w:szCs w:val="18"/>
          <w:lang w:val="en-GB"/>
        </w:rPr>
      </w:pPr>
    </w:p>
    <w:p w14:paraId="41F58492" w14:textId="77777777" w:rsidR="00881D66" w:rsidRPr="00462847" w:rsidRDefault="00881D66" w:rsidP="00375706">
      <w:pPr>
        <w:rPr>
          <w:rFonts w:cs="Arial"/>
          <w:i/>
          <w:sz w:val="18"/>
          <w:szCs w:val="18"/>
          <w:lang w:val="en-GB"/>
        </w:rPr>
      </w:pPr>
      <w:r w:rsidRPr="00462847">
        <w:rPr>
          <w:rFonts w:cs="Arial"/>
          <w:i/>
          <w:sz w:val="18"/>
          <w:szCs w:val="20"/>
          <w:lang w:val="en-GB"/>
        </w:rPr>
        <w:t>The government surplus/deficit is represented by the item B.9 “net borrowing (−) or net lending (+)” in the system of national accounts. It refers to the ability of the general government sector to finance other sectors of the economy (+) or the need of the general government sector to be financed (−) by other sectors of the economy in the given period.</w:t>
      </w:r>
    </w:p>
    <w:p w14:paraId="02EBAA03" w14:textId="77777777" w:rsidR="00203A38" w:rsidRPr="00462847" w:rsidRDefault="00203A38" w:rsidP="00375706">
      <w:pPr>
        <w:rPr>
          <w:rFonts w:cs="Arial"/>
          <w:i/>
          <w:sz w:val="18"/>
          <w:szCs w:val="18"/>
          <w:lang w:val="en-GB"/>
        </w:rPr>
      </w:pPr>
    </w:p>
    <w:p w14:paraId="25E5E7D1" w14:textId="77777777" w:rsidR="00203A38" w:rsidRPr="00462847" w:rsidRDefault="00203A38" w:rsidP="00375706">
      <w:pPr>
        <w:rPr>
          <w:rFonts w:cs="Arial"/>
          <w:i/>
          <w:sz w:val="18"/>
          <w:szCs w:val="18"/>
          <w:lang w:val="en-GB"/>
        </w:rPr>
      </w:pPr>
      <w:r w:rsidRPr="00462847">
        <w:rPr>
          <w:rFonts w:cs="Arial"/>
          <w:i/>
          <w:sz w:val="18"/>
          <w:szCs w:val="20"/>
          <w:lang w:val="en-GB"/>
        </w:rPr>
        <w:t>The general government debt is the amount of consolidated liabilities of the general government sector comprising the following items: received deposits, issued debt securities, and received loans. In case of foreign exchange debt instruments hedged against the currency risk, the value in CZK is obtained by means of the contractual exchange rate.</w:t>
      </w:r>
    </w:p>
    <w:p w14:paraId="7FFB15A4" w14:textId="77777777" w:rsidR="008A5B46" w:rsidRPr="00462847" w:rsidRDefault="008A5B46" w:rsidP="00375706">
      <w:pPr>
        <w:rPr>
          <w:i/>
          <w:sz w:val="18"/>
          <w:szCs w:val="18"/>
          <w:lang w:val="en-GB"/>
        </w:rPr>
      </w:pPr>
    </w:p>
    <w:p w14:paraId="75F2A414" w14:textId="5D4080E1" w:rsidR="00E57455" w:rsidRPr="00462847" w:rsidRDefault="008A5B46" w:rsidP="00E57455">
      <w:pPr>
        <w:pStyle w:val="Zkladntext"/>
        <w:spacing w:line="276" w:lineRule="auto"/>
        <w:rPr>
          <w:rStyle w:val="Hypertextovodkaz"/>
          <w:rFonts w:ascii="Arial" w:hAnsi="Arial" w:cs="Arial"/>
          <w:i/>
          <w:color w:val="auto"/>
          <w:sz w:val="18"/>
          <w:szCs w:val="18"/>
          <w:u w:val="none"/>
        </w:rPr>
      </w:pPr>
      <w:r w:rsidRPr="00462847">
        <w:rPr>
          <w:rFonts w:ascii="Arial" w:hAnsi="Arial" w:cs="Arial"/>
          <w:i/>
          <w:sz w:val="18"/>
          <w:szCs w:val="20"/>
        </w:rPr>
        <w:t xml:space="preserve">The general government sector balance is compared with the amount of the GDP in the given quarter at current prices. The amount of </w:t>
      </w:r>
      <w:r w:rsidR="00F7063E" w:rsidRPr="00462847">
        <w:rPr>
          <w:rFonts w:ascii="Arial" w:hAnsi="Arial" w:cs="Arial"/>
          <w:i/>
          <w:sz w:val="18"/>
          <w:szCs w:val="20"/>
        </w:rPr>
        <w:t xml:space="preserve">the </w:t>
      </w:r>
      <w:r w:rsidRPr="00462847">
        <w:rPr>
          <w:rFonts w:ascii="Arial" w:hAnsi="Arial" w:cs="Arial"/>
          <w:i/>
          <w:sz w:val="18"/>
          <w:szCs w:val="20"/>
        </w:rPr>
        <w:t>consolidated general government debt is compared with the sum of quarterly GDP for the last four quarters at current prices. Fiscal indicators of quarterly government deficit and debt are published within the Transmission programme (Table 25 and Table 28) on the</w:t>
      </w:r>
      <w:r w:rsidR="002B5772">
        <w:rPr>
          <w:rFonts w:ascii="Arial" w:hAnsi="Arial" w:cs="Arial"/>
          <w:i/>
          <w:sz w:val="18"/>
          <w:szCs w:val="20"/>
        </w:rPr>
        <w:t xml:space="preserve"> CZSO</w:t>
      </w:r>
      <w:r w:rsidR="00874BCD" w:rsidRPr="00874BCD">
        <w:rPr>
          <w:rFonts w:ascii="Arial" w:hAnsi="Arial" w:cs="Arial"/>
          <w:i/>
          <w:sz w:val="18"/>
          <w:szCs w:val="20"/>
        </w:rPr>
        <w:t>’</w:t>
      </w:r>
      <w:r w:rsidR="002B5772">
        <w:rPr>
          <w:rFonts w:ascii="Arial" w:hAnsi="Arial" w:cs="Arial"/>
          <w:i/>
          <w:sz w:val="18"/>
          <w:szCs w:val="20"/>
        </w:rPr>
        <w:t>s</w:t>
      </w:r>
      <w:r w:rsidRPr="00462847">
        <w:rPr>
          <w:rFonts w:ascii="Arial" w:hAnsi="Arial" w:cs="Arial"/>
          <w:i/>
          <w:sz w:val="18"/>
          <w:szCs w:val="20"/>
        </w:rPr>
        <w:t xml:space="preserve"> website</w:t>
      </w:r>
      <w:r w:rsidR="00E57455" w:rsidRPr="00462847">
        <w:rPr>
          <w:rFonts w:ascii="Arial" w:hAnsi="Arial" w:cs="Arial"/>
          <w:i/>
          <w:sz w:val="18"/>
          <w:szCs w:val="20"/>
        </w:rPr>
        <w:t xml:space="preserve"> </w:t>
      </w:r>
      <w:hyperlink r:id="rId13" w:history="1">
        <w:r w:rsidR="00E57455" w:rsidRPr="00462847">
          <w:rPr>
            <w:rStyle w:val="Hypertextovodkaz"/>
            <w:rFonts w:ascii="Arial" w:hAnsi="Arial" w:cs="Arial"/>
            <w:i/>
            <w:sz w:val="18"/>
            <w:szCs w:val="18"/>
          </w:rPr>
          <w:t>General government sector</w:t>
        </w:r>
      </w:hyperlink>
      <w:r w:rsidR="00E57455" w:rsidRPr="00462847">
        <w:rPr>
          <w:rFonts w:ascii="Arial" w:hAnsi="Arial" w:cs="Arial"/>
          <w:i/>
          <w:sz w:val="18"/>
          <w:szCs w:val="18"/>
        </w:rPr>
        <w:t xml:space="preserve"> in the “GDP, National Accounts” section. Unless otherwise stated, data are not seasonally adjusted as well as they are not adjusted for calendar effects. Time series of seasonally adjusted sector accounts for the government sector (the item of net lending / net borrowing) </w:t>
      </w:r>
      <w:hyperlink r:id="rId14" w:history="1">
        <w:r w:rsidR="00E57455" w:rsidRPr="00462847">
          <w:rPr>
            <w:rStyle w:val="Hypertextovodkaz"/>
            <w:rFonts w:ascii="Arial" w:hAnsi="Arial" w:cs="Arial"/>
            <w:i/>
            <w:sz w:val="18"/>
            <w:szCs w:val="18"/>
          </w:rPr>
          <w:t>Time series of seasonally adjusted sector accounts for S.13</w:t>
        </w:r>
      </w:hyperlink>
      <w:r w:rsidR="00E57455" w:rsidRPr="00462847">
        <w:rPr>
          <w:rStyle w:val="Hypertextovodkaz"/>
          <w:rFonts w:ascii="Arial" w:hAnsi="Arial" w:cs="Arial"/>
          <w:i/>
          <w:color w:val="auto"/>
          <w:sz w:val="18"/>
          <w:szCs w:val="18"/>
          <w:u w:val="none"/>
        </w:rPr>
        <w:t>.</w:t>
      </w:r>
    </w:p>
    <w:p w14:paraId="22860A28" w14:textId="77777777" w:rsidR="00E57455" w:rsidRPr="00462847" w:rsidRDefault="00E57455" w:rsidP="00E57455">
      <w:pPr>
        <w:pStyle w:val="Zkladntext"/>
        <w:spacing w:line="276" w:lineRule="auto"/>
        <w:rPr>
          <w:rFonts w:ascii="Arial" w:hAnsi="Arial" w:cs="Arial"/>
          <w:sz w:val="18"/>
          <w:szCs w:val="1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5197"/>
      </w:tblGrid>
      <w:tr w:rsidR="00375706" w:rsidRPr="00462847" w14:paraId="2F8AFE88" w14:textId="77777777" w:rsidTr="00E57455">
        <w:tc>
          <w:tcPr>
            <w:tcW w:w="3307" w:type="dxa"/>
          </w:tcPr>
          <w:p w14:paraId="5B583878" w14:textId="77777777" w:rsidR="00375706" w:rsidRPr="00462847" w:rsidRDefault="000E63AD" w:rsidP="00A73435">
            <w:pPr>
              <w:rPr>
                <w:i/>
                <w:iCs/>
                <w:sz w:val="18"/>
                <w:szCs w:val="18"/>
                <w:lang w:val="en-GB"/>
              </w:rPr>
            </w:pPr>
            <w:r w:rsidRPr="00462847">
              <w:rPr>
                <w:i/>
                <w:iCs/>
                <w:sz w:val="18"/>
                <w:szCs w:val="18"/>
                <w:lang w:val="en-GB"/>
              </w:rPr>
              <w:t>Responsible head at the CZSO</w:t>
            </w:r>
            <w:r w:rsidR="00375706" w:rsidRPr="00462847">
              <w:rPr>
                <w:i/>
                <w:iCs/>
                <w:sz w:val="18"/>
                <w:szCs w:val="18"/>
                <w:lang w:val="en-GB"/>
              </w:rPr>
              <w:t>:</w:t>
            </w:r>
          </w:p>
        </w:tc>
        <w:tc>
          <w:tcPr>
            <w:tcW w:w="5197" w:type="dxa"/>
          </w:tcPr>
          <w:p w14:paraId="627B4209" w14:textId="77777777" w:rsidR="00375706" w:rsidRPr="00462847" w:rsidRDefault="000E63AD" w:rsidP="00A73435">
            <w:pPr>
              <w:jc w:val="left"/>
              <w:rPr>
                <w:i/>
                <w:iCs/>
                <w:sz w:val="18"/>
                <w:szCs w:val="18"/>
                <w:lang w:val="en-GB"/>
              </w:rPr>
            </w:pPr>
            <w:r w:rsidRPr="00462847">
              <w:rPr>
                <w:i/>
                <w:iCs/>
                <w:sz w:val="18"/>
                <w:szCs w:val="18"/>
                <w:lang w:val="en-GB"/>
              </w:rPr>
              <w:t>Helena Houžvičková, Director of the Government and Financial Accounts Department</w:t>
            </w:r>
            <w:r w:rsidR="00375706" w:rsidRPr="00462847">
              <w:rPr>
                <w:i/>
                <w:iCs/>
                <w:sz w:val="18"/>
                <w:szCs w:val="18"/>
                <w:lang w:val="en-GB"/>
              </w:rPr>
              <w:t xml:space="preserve">, </w:t>
            </w:r>
          </w:p>
          <w:p w14:paraId="2DA1496F" w14:textId="77777777" w:rsidR="002B61F7" w:rsidRPr="00462847" w:rsidRDefault="002B61F7" w:rsidP="002B61F7">
            <w:pPr>
              <w:rPr>
                <w:i/>
                <w:iCs/>
                <w:sz w:val="18"/>
                <w:szCs w:val="18"/>
                <w:lang w:val="en-GB"/>
              </w:rPr>
            </w:pPr>
            <w:r w:rsidRPr="00462847">
              <w:rPr>
                <w:i/>
                <w:iCs/>
                <w:sz w:val="18"/>
                <w:szCs w:val="18"/>
                <w:lang w:val="en-GB"/>
              </w:rPr>
              <w:t xml:space="preserve">phone number: (+420) 704 688 734, </w:t>
            </w:r>
          </w:p>
          <w:p w14:paraId="1F8AEBF6" w14:textId="77777777" w:rsidR="00375706" w:rsidRPr="00462847" w:rsidRDefault="002B61F7" w:rsidP="002B61F7">
            <w:pPr>
              <w:jc w:val="left"/>
              <w:rPr>
                <w:i/>
                <w:iCs/>
                <w:sz w:val="18"/>
                <w:szCs w:val="18"/>
                <w:lang w:val="en-GB"/>
              </w:rPr>
            </w:pPr>
            <w:r w:rsidRPr="00462847">
              <w:rPr>
                <w:i/>
                <w:iCs/>
                <w:sz w:val="18"/>
                <w:szCs w:val="18"/>
                <w:lang w:val="en-GB"/>
              </w:rPr>
              <w:t xml:space="preserve">e-mail: </w:t>
            </w:r>
            <w:hyperlink r:id="rId15" w:history="1">
              <w:r w:rsidRPr="00462847">
                <w:rPr>
                  <w:rStyle w:val="Hypertextovodkaz"/>
                  <w:sz w:val="18"/>
                  <w:lang w:val="en-GB"/>
                </w:rPr>
                <w:t>helena.houzvickova@czso.cz</w:t>
              </w:r>
            </w:hyperlink>
            <w:r w:rsidR="00375706" w:rsidRPr="00462847">
              <w:rPr>
                <w:sz w:val="18"/>
                <w:lang w:val="en-GB"/>
              </w:rPr>
              <w:t xml:space="preserve"> </w:t>
            </w:r>
          </w:p>
        </w:tc>
      </w:tr>
      <w:tr w:rsidR="00375706" w:rsidRPr="00462847" w14:paraId="24BA1291" w14:textId="77777777" w:rsidTr="00E57455">
        <w:tc>
          <w:tcPr>
            <w:tcW w:w="3307" w:type="dxa"/>
          </w:tcPr>
          <w:p w14:paraId="025369CC" w14:textId="77777777" w:rsidR="00375706" w:rsidRPr="00462847" w:rsidRDefault="00A555BD" w:rsidP="00A73435">
            <w:pPr>
              <w:rPr>
                <w:i/>
                <w:iCs/>
                <w:sz w:val="18"/>
                <w:szCs w:val="18"/>
                <w:lang w:val="en-GB"/>
              </w:rPr>
            </w:pPr>
            <w:r w:rsidRPr="00462847">
              <w:rPr>
                <w:i/>
                <w:iCs/>
                <w:sz w:val="18"/>
                <w:szCs w:val="18"/>
                <w:lang w:val="en-GB"/>
              </w:rPr>
              <w:lastRenderedPageBreak/>
              <w:t>Contact person</w:t>
            </w:r>
            <w:r w:rsidR="00375706" w:rsidRPr="00462847">
              <w:rPr>
                <w:i/>
                <w:iCs/>
                <w:sz w:val="18"/>
                <w:szCs w:val="18"/>
                <w:lang w:val="en-GB"/>
              </w:rPr>
              <w:t>:</w:t>
            </w:r>
          </w:p>
        </w:tc>
        <w:tc>
          <w:tcPr>
            <w:tcW w:w="5197" w:type="dxa"/>
          </w:tcPr>
          <w:p w14:paraId="550E6809" w14:textId="77777777" w:rsidR="00375706" w:rsidRPr="00462847" w:rsidRDefault="00A555BD" w:rsidP="00A73435">
            <w:pPr>
              <w:jc w:val="left"/>
              <w:rPr>
                <w:i/>
                <w:iCs/>
                <w:sz w:val="18"/>
                <w:szCs w:val="18"/>
                <w:lang w:val="en-GB"/>
              </w:rPr>
            </w:pPr>
            <w:r w:rsidRPr="00462847">
              <w:rPr>
                <w:i/>
                <w:iCs/>
                <w:sz w:val="18"/>
                <w:szCs w:val="18"/>
                <w:lang w:val="en-GB"/>
              </w:rPr>
              <w:t xml:space="preserve">Jaroslav Kahoun, Head of the Government Accounts Unit, phone number: (+420) 274 054 232, e-mail: </w:t>
            </w:r>
            <w:hyperlink r:id="rId16" w:history="1">
              <w:r w:rsidRPr="00462847">
                <w:rPr>
                  <w:rStyle w:val="Hypertextovodkaz"/>
                  <w:sz w:val="18"/>
                  <w:lang w:val="en-GB"/>
                </w:rPr>
                <w:t>jaroslav.kahoun@czso.cz</w:t>
              </w:r>
            </w:hyperlink>
            <w:r w:rsidR="00375706" w:rsidRPr="00462847">
              <w:rPr>
                <w:sz w:val="18"/>
                <w:lang w:val="en-GB"/>
              </w:rPr>
              <w:t xml:space="preserve"> </w:t>
            </w:r>
          </w:p>
        </w:tc>
      </w:tr>
      <w:tr w:rsidR="00375706" w:rsidRPr="00A555BD" w14:paraId="10DE154E" w14:textId="77777777" w:rsidTr="00E57455">
        <w:tc>
          <w:tcPr>
            <w:tcW w:w="3307" w:type="dxa"/>
          </w:tcPr>
          <w:p w14:paraId="1167015F" w14:textId="77777777" w:rsidR="00375706" w:rsidRPr="00462847" w:rsidRDefault="00A555BD" w:rsidP="00A73435">
            <w:pPr>
              <w:rPr>
                <w:i/>
                <w:iCs/>
                <w:sz w:val="18"/>
                <w:szCs w:val="18"/>
                <w:lang w:val="en-GB"/>
              </w:rPr>
            </w:pPr>
            <w:r w:rsidRPr="00462847">
              <w:rPr>
                <w:i/>
                <w:iCs/>
                <w:sz w:val="18"/>
                <w:szCs w:val="18"/>
                <w:lang w:val="en-GB"/>
              </w:rPr>
              <w:t>The Next News Release will be published on</w:t>
            </w:r>
            <w:r w:rsidR="00375706" w:rsidRPr="00462847">
              <w:rPr>
                <w:i/>
                <w:iCs/>
                <w:sz w:val="18"/>
                <w:szCs w:val="18"/>
                <w:lang w:val="en-GB"/>
              </w:rPr>
              <w:t>:</w:t>
            </w:r>
          </w:p>
        </w:tc>
        <w:tc>
          <w:tcPr>
            <w:tcW w:w="5197" w:type="dxa"/>
          </w:tcPr>
          <w:p w14:paraId="37AC51EF" w14:textId="77777777" w:rsidR="00375706" w:rsidRPr="00462847" w:rsidRDefault="00375706" w:rsidP="00A555BD">
            <w:pPr>
              <w:rPr>
                <w:i/>
                <w:iCs/>
                <w:sz w:val="18"/>
                <w:szCs w:val="18"/>
                <w:lang w:val="en-GB"/>
              </w:rPr>
            </w:pPr>
          </w:p>
          <w:p w14:paraId="68D00F0B" w14:textId="6C5F8A97" w:rsidR="00A555BD" w:rsidRPr="00A555BD" w:rsidRDefault="00E77CE0" w:rsidP="00E77CE0">
            <w:pPr>
              <w:rPr>
                <w:i/>
                <w:iCs/>
                <w:sz w:val="18"/>
                <w:szCs w:val="18"/>
                <w:lang w:val="en-GB"/>
              </w:rPr>
            </w:pPr>
            <w:r w:rsidRPr="00462847">
              <w:rPr>
                <w:i/>
                <w:iCs/>
                <w:sz w:val="18"/>
                <w:szCs w:val="18"/>
                <w:lang w:val="en-GB"/>
              </w:rPr>
              <w:t>2</w:t>
            </w:r>
            <w:r w:rsidR="00C808CC" w:rsidRPr="00462847">
              <w:rPr>
                <w:i/>
                <w:iCs/>
                <w:sz w:val="18"/>
                <w:szCs w:val="18"/>
                <w:lang w:val="en-GB"/>
              </w:rPr>
              <w:t> </w:t>
            </w:r>
            <w:r w:rsidRPr="00462847">
              <w:rPr>
                <w:i/>
                <w:iCs/>
                <w:sz w:val="18"/>
                <w:szCs w:val="18"/>
                <w:lang w:val="en-GB"/>
              </w:rPr>
              <w:t>October</w:t>
            </w:r>
            <w:r w:rsidR="00C808CC" w:rsidRPr="00462847">
              <w:rPr>
                <w:i/>
                <w:iCs/>
                <w:sz w:val="18"/>
                <w:szCs w:val="18"/>
                <w:lang w:val="en-GB"/>
              </w:rPr>
              <w:t> 2023</w:t>
            </w:r>
          </w:p>
        </w:tc>
      </w:tr>
    </w:tbl>
    <w:p w14:paraId="32E411ED" w14:textId="77777777" w:rsidR="00375706" w:rsidRPr="00A555BD" w:rsidRDefault="00375706" w:rsidP="00375706">
      <w:pPr>
        <w:rPr>
          <w:i/>
          <w:iCs/>
          <w:sz w:val="18"/>
          <w:szCs w:val="18"/>
          <w:lang w:val="en-GB"/>
        </w:rPr>
      </w:pPr>
    </w:p>
    <w:p w14:paraId="72907A99" w14:textId="77777777" w:rsidR="00375706" w:rsidRPr="00A555BD" w:rsidRDefault="00375706" w:rsidP="00A555BD">
      <w:pPr>
        <w:tabs>
          <w:tab w:val="left" w:pos="3402"/>
        </w:tabs>
        <w:rPr>
          <w:lang w:val="en-GB"/>
        </w:rPr>
      </w:pPr>
    </w:p>
    <w:p w14:paraId="2BBC470E" w14:textId="77777777" w:rsidR="00D209A7" w:rsidRPr="00A555BD" w:rsidRDefault="00D209A7" w:rsidP="00375706">
      <w:pPr>
        <w:rPr>
          <w:lang w:val="en-GB"/>
        </w:rPr>
      </w:pPr>
    </w:p>
    <w:sectPr w:rsidR="00D209A7" w:rsidRPr="00A555BD" w:rsidSect="00405244">
      <w:headerReference w:type="default" r:id="rId17"/>
      <w:footerReference w:type="default" r:id="rId18"/>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E777C" w14:textId="77777777" w:rsidR="00156933" w:rsidRDefault="00156933" w:rsidP="00BA6370">
      <w:r>
        <w:separator/>
      </w:r>
    </w:p>
  </w:endnote>
  <w:endnote w:type="continuationSeparator" w:id="0">
    <w:p w14:paraId="4D4C584B" w14:textId="77777777" w:rsidR="00156933" w:rsidRDefault="00156933"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14B3A" w14:textId="77777777" w:rsidR="003D0499" w:rsidRDefault="00F37EB6">
    <w:pPr>
      <w:pStyle w:val="Zpat"/>
    </w:pPr>
    <w:r>
      <w:rPr>
        <w:noProof/>
        <w:lang w:val="cs-CZ" w:eastAsia="cs-CZ"/>
      </w:rPr>
      <mc:AlternateContent>
        <mc:Choice Requires="wps">
          <w:drawing>
            <wp:anchor distT="0" distB="0" distL="114300" distR="114300" simplePos="0" relativeHeight="251657728" behindDoc="0" locked="0" layoutInCell="1" allowOverlap="1" wp14:anchorId="3AE76078" wp14:editId="596CB056">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614330FA" w14:textId="77777777" w:rsidR="00380178" w:rsidRPr="00D52A09" w:rsidRDefault="00380178" w:rsidP="00380178">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69BAE23A" w14:textId="77777777" w:rsidR="00380178" w:rsidRDefault="00380178" w:rsidP="00380178">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14:paraId="4185AB21" w14:textId="77777777" w:rsidR="00380178" w:rsidRPr="00D52A09" w:rsidRDefault="00380178" w:rsidP="00380178">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w:t>
                          </w:r>
                          <w:proofErr w:type="spellStart"/>
                          <w:r w:rsidRPr="00D52A09">
                            <w:rPr>
                              <w:rFonts w:cs="Arial"/>
                              <w:sz w:val="15"/>
                              <w:szCs w:val="15"/>
                            </w:rPr>
                            <w:t>of</w:t>
                          </w:r>
                          <w:proofErr w:type="spellEnd"/>
                          <w:r w:rsidRPr="00D52A09">
                            <w:rPr>
                              <w:rFonts w:cs="Arial"/>
                              <w:sz w:val="15"/>
                              <w:szCs w:val="15"/>
                            </w:rPr>
                            <w:t xml:space="preserve">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Internet: </w:t>
                          </w:r>
                          <w:hyperlink r:id="rId1" w:history="1">
                            <w:r w:rsidR="00784615" w:rsidRPr="00953416">
                              <w:rPr>
                                <w:rStyle w:val="Hypertextovodkaz"/>
                                <w:rFonts w:cs="Arial"/>
                                <w:b/>
                                <w:color w:val="0071BC"/>
                                <w:sz w:val="15"/>
                                <w:szCs w:val="15"/>
                              </w:rPr>
                              <w:t>www.czso.cz</w:t>
                            </w:r>
                          </w:hyperlink>
                        </w:p>
                        <w:p w14:paraId="4002E595" w14:textId="2FC86717" w:rsidR="00380178" w:rsidRPr="000172E7" w:rsidRDefault="00380178" w:rsidP="00380178">
                          <w:pPr>
                            <w:tabs>
                              <w:tab w:val="right" w:pos="8505"/>
                            </w:tabs>
                            <w:spacing w:line="220" w:lineRule="atLeast"/>
                            <w:rPr>
                              <w:rFonts w:cs="Arial"/>
                            </w:rPr>
                          </w:pPr>
                          <w:r w:rsidRPr="00D52A09">
                            <w:rPr>
                              <w:rFonts w:cs="Arial"/>
                              <w:sz w:val="15"/>
                              <w:szCs w:val="15"/>
                            </w:rPr>
                            <w:t xml:space="preserve">tel: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Pr="00953416">
                              <w:rPr>
                                <w:rStyle w:val="Hypertextovodkaz"/>
                                <w:rFonts w:cs="Arial"/>
                                <w:color w:val="0071BC"/>
                                <w:sz w:val="15"/>
                                <w:szCs w:val="15"/>
                              </w:rPr>
                              <w:t>infoservis@czso.cz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135774">
                            <w:rPr>
                              <w:rFonts w:cs="Arial"/>
                              <w:noProof/>
                              <w:szCs w:val="15"/>
                            </w:rPr>
                            <w:t>2</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76078"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614330FA" w14:textId="77777777" w:rsidR="00380178" w:rsidRPr="00D52A09" w:rsidRDefault="00380178" w:rsidP="00380178">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69BAE23A" w14:textId="77777777" w:rsidR="00380178" w:rsidRDefault="00380178" w:rsidP="00380178">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14:paraId="4185AB21" w14:textId="77777777" w:rsidR="00380178" w:rsidRPr="00D52A09" w:rsidRDefault="00380178" w:rsidP="00380178">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w:t>
                    </w:r>
                    <w:proofErr w:type="spellStart"/>
                    <w:r w:rsidRPr="00D52A09">
                      <w:rPr>
                        <w:rFonts w:cs="Arial"/>
                        <w:sz w:val="15"/>
                        <w:szCs w:val="15"/>
                      </w:rPr>
                      <w:t>of</w:t>
                    </w:r>
                    <w:proofErr w:type="spellEnd"/>
                    <w:r w:rsidRPr="00D52A09">
                      <w:rPr>
                        <w:rFonts w:cs="Arial"/>
                        <w:sz w:val="15"/>
                        <w:szCs w:val="15"/>
                      </w:rPr>
                      <w:t xml:space="preserve">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Internet: </w:t>
                    </w:r>
                    <w:hyperlink r:id="rId3" w:history="1">
                      <w:r w:rsidR="00784615" w:rsidRPr="00953416">
                        <w:rPr>
                          <w:rStyle w:val="Hypertextovodkaz"/>
                          <w:rFonts w:cs="Arial"/>
                          <w:b/>
                          <w:color w:val="0071BC"/>
                          <w:sz w:val="15"/>
                          <w:szCs w:val="15"/>
                        </w:rPr>
                        <w:t>www.czso.cz</w:t>
                      </w:r>
                    </w:hyperlink>
                  </w:p>
                  <w:p w14:paraId="4002E595" w14:textId="2FC86717" w:rsidR="00380178" w:rsidRPr="000172E7" w:rsidRDefault="00380178" w:rsidP="00380178">
                    <w:pPr>
                      <w:tabs>
                        <w:tab w:val="right" w:pos="8505"/>
                      </w:tabs>
                      <w:spacing w:line="220" w:lineRule="atLeast"/>
                      <w:rPr>
                        <w:rFonts w:cs="Arial"/>
                      </w:rPr>
                    </w:pPr>
                    <w:r w:rsidRPr="00D52A09">
                      <w:rPr>
                        <w:rFonts w:cs="Arial"/>
                        <w:sz w:val="15"/>
                        <w:szCs w:val="15"/>
                      </w:rPr>
                      <w:t xml:space="preserve">tel: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Pr="00953416">
                        <w:rPr>
                          <w:rStyle w:val="Hypertextovodkaz"/>
                          <w:rFonts w:cs="Arial"/>
                          <w:color w:val="0071BC"/>
                          <w:sz w:val="15"/>
                          <w:szCs w:val="15"/>
                        </w:rPr>
                        <w:t>infoservis@czso.cz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135774">
                      <w:rPr>
                        <w:rFonts w:cs="Arial"/>
                        <w:noProof/>
                        <w:szCs w:val="15"/>
                      </w:rPr>
                      <w:t>2</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39B5BDCA" wp14:editId="0C3ED377">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C1E2C20"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74CAA" w14:textId="77777777" w:rsidR="00156933" w:rsidRDefault="00156933" w:rsidP="00BA6370">
      <w:r>
        <w:separator/>
      </w:r>
    </w:p>
  </w:footnote>
  <w:footnote w:type="continuationSeparator" w:id="0">
    <w:p w14:paraId="3CE58D06" w14:textId="77777777" w:rsidR="00156933" w:rsidRDefault="00156933"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5FABD" w14:textId="77777777" w:rsidR="003D0499" w:rsidRDefault="00F37EB6">
    <w:pPr>
      <w:pStyle w:val="Zhlav"/>
    </w:pPr>
    <w:r>
      <w:rPr>
        <w:noProof/>
        <w:lang w:val="cs-CZ" w:eastAsia="cs-CZ"/>
      </w:rPr>
      <mc:AlternateContent>
        <mc:Choice Requires="wpg">
          <w:drawing>
            <wp:anchor distT="0" distB="0" distL="114300" distR="114300" simplePos="0" relativeHeight="251658752" behindDoc="0" locked="0" layoutInCell="1" allowOverlap="1" wp14:anchorId="103B3607" wp14:editId="4A946B5B">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24FE3"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4097">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B6"/>
    <w:rsid w:val="00002F63"/>
    <w:rsid w:val="000221A2"/>
    <w:rsid w:val="00027299"/>
    <w:rsid w:val="00043BF4"/>
    <w:rsid w:val="000473C8"/>
    <w:rsid w:val="00061F89"/>
    <w:rsid w:val="00064652"/>
    <w:rsid w:val="00076550"/>
    <w:rsid w:val="00080AF8"/>
    <w:rsid w:val="00080DCF"/>
    <w:rsid w:val="000843A5"/>
    <w:rsid w:val="00091722"/>
    <w:rsid w:val="00093C21"/>
    <w:rsid w:val="000A202E"/>
    <w:rsid w:val="000B2E6A"/>
    <w:rsid w:val="000B6773"/>
    <w:rsid w:val="000B6F63"/>
    <w:rsid w:val="000C6820"/>
    <w:rsid w:val="000D2054"/>
    <w:rsid w:val="000D3040"/>
    <w:rsid w:val="000D41B9"/>
    <w:rsid w:val="000E2A3F"/>
    <w:rsid w:val="000E63AD"/>
    <w:rsid w:val="000F186D"/>
    <w:rsid w:val="001102C2"/>
    <w:rsid w:val="00115265"/>
    <w:rsid w:val="00116ED1"/>
    <w:rsid w:val="00123849"/>
    <w:rsid w:val="00131F3C"/>
    <w:rsid w:val="001323D9"/>
    <w:rsid w:val="0013242C"/>
    <w:rsid w:val="00135774"/>
    <w:rsid w:val="001404AB"/>
    <w:rsid w:val="001427B6"/>
    <w:rsid w:val="001559F8"/>
    <w:rsid w:val="00156933"/>
    <w:rsid w:val="0017231D"/>
    <w:rsid w:val="00172F4E"/>
    <w:rsid w:val="00176E26"/>
    <w:rsid w:val="0018061F"/>
    <w:rsid w:val="001810DC"/>
    <w:rsid w:val="001A16E8"/>
    <w:rsid w:val="001B3556"/>
    <w:rsid w:val="001B607F"/>
    <w:rsid w:val="001C2A4F"/>
    <w:rsid w:val="001C71FD"/>
    <w:rsid w:val="001D0252"/>
    <w:rsid w:val="001D369A"/>
    <w:rsid w:val="001E3F6A"/>
    <w:rsid w:val="001F08B3"/>
    <w:rsid w:val="00203A38"/>
    <w:rsid w:val="002070FB"/>
    <w:rsid w:val="00213729"/>
    <w:rsid w:val="00214E92"/>
    <w:rsid w:val="002406FA"/>
    <w:rsid w:val="00246938"/>
    <w:rsid w:val="00295202"/>
    <w:rsid w:val="00297900"/>
    <w:rsid w:val="002B20D2"/>
    <w:rsid w:val="002B2A19"/>
    <w:rsid w:val="002B2E47"/>
    <w:rsid w:val="002B4414"/>
    <w:rsid w:val="002B5772"/>
    <w:rsid w:val="002B61F7"/>
    <w:rsid w:val="002C29D6"/>
    <w:rsid w:val="002D37F5"/>
    <w:rsid w:val="002E65F2"/>
    <w:rsid w:val="002E7717"/>
    <w:rsid w:val="002F0E22"/>
    <w:rsid w:val="0030264F"/>
    <w:rsid w:val="00304C19"/>
    <w:rsid w:val="0032398D"/>
    <w:rsid w:val="003301A3"/>
    <w:rsid w:val="00330AFB"/>
    <w:rsid w:val="00346F51"/>
    <w:rsid w:val="00357CA7"/>
    <w:rsid w:val="0036777B"/>
    <w:rsid w:val="00375706"/>
    <w:rsid w:val="00380178"/>
    <w:rsid w:val="0038282A"/>
    <w:rsid w:val="00397580"/>
    <w:rsid w:val="003A016E"/>
    <w:rsid w:val="003A45C8"/>
    <w:rsid w:val="003B7F42"/>
    <w:rsid w:val="003C2DCF"/>
    <w:rsid w:val="003C3372"/>
    <w:rsid w:val="003C7FE7"/>
    <w:rsid w:val="003D0499"/>
    <w:rsid w:val="003D3576"/>
    <w:rsid w:val="003E1495"/>
    <w:rsid w:val="003F526A"/>
    <w:rsid w:val="00405244"/>
    <w:rsid w:val="00436D82"/>
    <w:rsid w:val="004436EE"/>
    <w:rsid w:val="0045547F"/>
    <w:rsid w:val="00456304"/>
    <w:rsid w:val="00462847"/>
    <w:rsid w:val="00470144"/>
    <w:rsid w:val="004920AD"/>
    <w:rsid w:val="004948B1"/>
    <w:rsid w:val="004A7377"/>
    <w:rsid w:val="004D05B3"/>
    <w:rsid w:val="004E479E"/>
    <w:rsid w:val="004F0BE5"/>
    <w:rsid w:val="004F78E6"/>
    <w:rsid w:val="00512D99"/>
    <w:rsid w:val="00531DBB"/>
    <w:rsid w:val="00535756"/>
    <w:rsid w:val="00554994"/>
    <w:rsid w:val="00561255"/>
    <w:rsid w:val="00564213"/>
    <w:rsid w:val="00574CC3"/>
    <w:rsid w:val="0057581B"/>
    <w:rsid w:val="005A3541"/>
    <w:rsid w:val="005C20AA"/>
    <w:rsid w:val="005C231F"/>
    <w:rsid w:val="005D4F5B"/>
    <w:rsid w:val="005D6D38"/>
    <w:rsid w:val="005E5B52"/>
    <w:rsid w:val="005E6326"/>
    <w:rsid w:val="005F4A49"/>
    <w:rsid w:val="005F79FB"/>
    <w:rsid w:val="00604406"/>
    <w:rsid w:val="00605F4A"/>
    <w:rsid w:val="00606CB5"/>
    <w:rsid w:val="00607709"/>
    <w:rsid w:val="00607822"/>
    <w:rsid w:val="006103AA"/>
    <w:rsid w:val="00613BBF"/>
    <w:rsid w:val="00622B80"/>
    <w:rsid w:val="00637951"/>
    <w:rsid w:val="0064139A"/>
    <w:rsid w:val="00646DF0"/>
    <w:rsid w:val="0066063E"/>
    <w:rsid w:val="00694D08"/>
    <w:rsid w:val="00696EAD"/>
    <w:rsid w:val="00697CC4"/>
    <w:rsid w:val="006B271C"/>
    <w:rsid w:val="006C4774"/>
    <w:rsid w:val="006D003C"/>
    <w:rsid w:val="006D5C60"/>
    <w:rsid w:val="006E024F"/>
    <w:rsid w:val="006E4E81"/>
    <w:rsid w:val="00707F7D"/>
    <w:rsid w:val="00717EC5"/>
    <w:rsid w:val="00755D8B"/>
    <w:rsid w:val="00763787"/>
    <w:rsid w:val="00771B04"/>
    <w:rsid w:val="00775905"/>
    <w:rsid w:val="00777565"/>
    <w:rsid w:val="00783A3B"/>
    <w:rsid w:val="00784615"/>
    <w:rsid w:val="00785441"/>
    <w:rsid w:val="00793D5F"/>
    <w:rsid w:val="007967D7"/>
    <w:rsid w:val="007A0CA5"/>
    <w:rsid w:val="007A57F2"/>
    <w:rsid w:val="007B1333"/>
    <w:rsid w:val="007B296D"/>
    <w:rsid w:val="007B3DB8"/>
    <w:rsid w:val="007E01C2"/>
    <w:rsid w:val="007E3397"/>
    <w:rsid w:val="007F4AEB"/>
    <w:rsid w:val="007F75B2"/>
    <w:rsid w:val="008043C4"/>
    <w:rsid w:val="00813E3C"/>
    <w:rsid w:val="00831B1B"/>
    <w:rsid w:val="00855FB3"/>
    <w:rsid w:val="00861D0E"/>
    <w:rsid w:val="00863A65"/>
    <w:rsid w:val="00866325"/>
    <w:rsid w:val="00867569"/>
    <w:rsid w:val="0087438C"/>
    <w:rsid w:val="00874BCD"/>
    <w:rsid w:val="00881D66"/>
    <w:rsid w:val="00884090"/>
    <w:rsid w:val="00885C0D"/>
    <w:rsid w:val="008911AA"/>
    <w:rsid w:val="0089708D"/>
    <w:rsid w:val="008A5B46"/>
    <w:rsid w:val="008A750A"/>
    <w:rsid w:val="008B3970"/>
    <w:rsid w:val="008C384C"/>
    <w:rsid w:val="008C4770"/>
    <w:rsid w:val="008D0F11"/>
    <w:rsid w:val="008E1D32"/>
    <w:rsid w:val="008F73B4"/>
    <w:rsid w:val="00900BFC"/>
    <w:rsid w:val="009035E8"/>
    <w:rsid w:val="00907960"/>
    <w:rsid w:val="00917954"/>
    <w:rsid w:val="00924C6B"/>
    <w:rsid w:val="0093302C"/>
    <w:rsid w:val="0093786C"/>
    <w:rsid w:val="00943F6C"/>
    <w:rsid w:val="00953416"/>
    <w:rsid w:val="00957183"/>
    <w:rsid w:val="00967331"/>
    <w:rsid w:val="00971374"/>
    <w:rsid w:val="00971D4C"/>
    <w:rsid w:val="009752BC"/>
    <w:rsid w:val="00982840"/>
    <w:rsid w:val="00982D15"/>
    <w:rsid w:val="00987912"/>
    <w:rsid w:val="0099333B"/>
    <w:rsid w:val="00996918"/>
    <w:rsid w:val="009A275A"/>
    <w:rsid w:val="009B3855"/>
    <w:rsid w:val="009B55B1"/>
    <w:rsid w:val="009C29D4"/>
    <w:rsid w:val="009C4D55"/>
    <w:rsid w:val="009E39C5"/>
    <w:rsid w:val="009F465E"/>
    <w:rsid w:val="00A03DEA"/>
    <w:rsid w:val="00A07383"/>
    <w:rsid w:val="00A07BA7"/>
    <w:rsid w:val="00A17409"/>
    <w:rsid w:val="00A201D9"/>
    <w:rsid w:val="00A20E62"/>
    <w:rsid w:val="00A2779E"/>
    <w:rsid w:val="00A34697"/>
    <w:rsid w:val="00A363C4"/>
    <w:rsid w:val="00A4343D"/>
    <w:rsid w:val="00A502F1"/>
    <w:rsid w:val="00A555BD"/>
    <w:rsid w:val="00A70377"/>
    <w:rsid w:val="00A70A83"/>
    <w:rsid w:val="00A73EFB"/>
    <w:rsid w:val="00A74374"/>
    <w:rsid w:val="00A81EB3"/>
    <w:rsid w:val="00A85374"/>
    <w:rsid w:val="00A92627"/>
    <w:rsid w:val="00AA73AF"/>
    <w:rsid w:val="00AB6196"/>
    <w:rsid w:val="00AC3140"/>
    <w:rsid w:val="00AE3D52"/>
    <w:rsid w:val="00AE6F82"/>
    <w:rsid w:val="00AF21C3"/>
    <w:rsid w:val="00B00C1D"/>
    <w:rsid w:val="00B05DBF"/>
    <w:rsid w:val="00B13FAD"/>
    <w:rsid w:val="00B323D2"/>
    <w:rsid w:val="00B438E2"/>
    <w:rsid w:val="00B522E8"/>
    <w:rsid w:val="00B632CC"/>
    <w:rsid w:val="00B81ADE"/>
    <w:rsid w:val="00B926FB"/>
    <w:rsid w:val="00BA12F1"/>
    <w:rsid w:val="00BA439F"/>
    <w:rsid w:val="00BA6370"/>
    <w:rsid w:val="00BB1C3C"/>
    <w:rsid w:val="00BD05C3"/>
    <w:rsid w:val="00BE29B9"/>
    <w:rsid w:val="00BE3F5B"/>
    <w:rsid w:val="00BE6592"/>
    <w:rsid w:val="00BF39E9"/>
    <w:rsid w:val="00C0676E"/>
    <w:rsid w:val="00C23A56"/>
    <w:rsid w:val="00C269D4"/>
    <w:rsid w:val="00C4160D"/>
    <w:rsid w:val="00C41D02"/>
    <w:rsid w:val="00C54AF1"/>
    <w:rsid w:val="00C67290"/>
    <w:rsid w:val="00C808CC"/>
    <w:rsid w:val="00C8406E"/>
    <w:rsid w:val="00CB2709"/>
    <w:rsid w:val="00CB6F89"/>
    <w:rsid w:val="00CC37EB"/>
    <w:rsid w:val="00CD47EB"/>
    <w:rsid w:val="00CE228C"/>
    <w:rsid w:val="00CE71D9"/>
    <w:rsid w:val="00CF545B"/>
    <w:rsid w:val="00CF7302"/>
    <w:rsid w:val="00D079D2"/>
    <w:rsid w:val="00D209A7"/>
    <w:rsid w:val="00D23931"/>
    <w:rsid w:val="00D27D69"/>
    <w:rsid w:val="00D448C2"/>
    <w:rsid w:val="00D54C02"/>
    <w:rsid w:val="00D63731"/>
    <w:rsid w:val="00D666C3"/>
    <w:rsid w:val="00D708BE"/>
    <w:rsid w:val="00D74CD1"/>
    <w:rsid w:val="00D811AB"/>
    <w:rsid w:val="00D9647F"/>
    <w:rsid w:val="00D97DD8"/>
    <w:rsid w:val="00DD1999"/>
    <w:rsid w:val="00DD29ED"/>
    <w:rsid w:val="00DE2F71"/>
    <w:rsid w:val="00DF47FE"/>
    <w:rsid w:val="00DF4D15"/>
    <w:rsid w:val="00DF5C2B"/>
    <w:rsid w:val="00DF6E74"/>
    <w:rsid w:val="00E007C5"/>
    <w:rsid w:val="00E0156A"/>
    <w:rsid w:val="00E050EB"/>
    <w:rsid w:val="00E1630A"/>
    <w:rsid w:val="00E26704"/>
    <w:rsid w:val="00E31980"/>
    <w:rsid w:val="00E335F6"/>
    <w:rsid w:val="00E50D90"/>
    <w:rsid w:val="00E55CE2"/>
    <w:rsid w:val="00E57455"/>
    <w:rsid w:val="00E6423C"/>
    <w:rsid w:val="00E71483"/>
    <w:rsid w:val="00E7389F"/>
    <w:rsid w:val="00E77CE0"/>
    <w:rsid w:val="00E80067"/>
    <w:rsid w:val="00E93830"/>
    <w:rsid w:val="00E93E0E"/>
    <w:rsid w:val="00EB1A25"/>
    <w:rsid w:val="00EB1ED3"/>
    <w:rsid w:val="00EB3821"/>
    <w:rsid w:val="00ED095B"/>
    <w:rsid w:val="00ED1967"/>
    <w:rsid w:val="00ED27B7"/>
    <w:rsid w:val="00EE26DF"/>
    <w:rsid w:val="00EE70B7"/>
    <w:rsid w:val="00EF3023"/>
    <w:rsid w:val="00EF601A"/>
    <w:rsid w:val="00F179E6"/>
    <w:rsid w:val="00F314B7"/>
    <w:rsid w:val="00F37EB6"/>
    <w:rsid w:val="00F50820"/>
    <w:rsid w:val="00F51BF4"/>
    <w:rsid w:val="00F6356F"/>
    <w:rsid w:val="00F65530"/>
    <w:rsid w:val="00F7063E"/>
    <w:rsid w:val="00F83C49"/>
    <w:rsid w:val="00F94CDB"/>
    <w:rsid w:val="00FA6DC9"/>
    <w:rsid w:val="00FB2E96"/>
    <w:rsid w:val="00FB687C"/>
    <w:rsid w:val="00FC46F9"/>
    <w:rsid w:val="00FE114D"/>
    <w:rsid w:val="00FE3782"/>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071bc"/>
    </o:shapedefaults>
    <o:shapelayout v:ext="edit">
      <o:idmap v:ext="edit" data="1"/>
    </o:shapelayout>
  </w:shapeDefaults>
  <w:decimalSymbol w:val=","/>
  <w:listSeparator w:val=";"/>
  <w14:docId w14:val="6E783739"/>
  <w15:docId w15:val="{05E333AF-0FF6-40DB-B320-F3E5AD53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375706"/>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lang w:val="en-GB"/>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table" w:styleId="Mkatabulky">
    <w:name w:val="Table Grid"/>
    <w:basedOn w:val="Normlntabulka"/>
    <w:uiPriority w:val="59"/>
    <w:rsid w:val="00375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8A5B46"/>
    <w:pPr>
      <w:spacing w:line="240" w:lineRule="auto"/>
    </w:pPr>
    <w:rPr>
      <w:rFonts w:ascii="Times New Roman" w:eastAsia="Times New Roman" w:hAnsi="Times New Roman"/>
      <w:sz w:val="24"/>
      <w:szCs w:val="24"/>
      <w:lang w:val="en-GB"/>
    </w:rPr>
  </w:style>
  <w:style w:type="character" w:customStyle="1" w:styleId="ZkladntextChar">
    <w:name w:val="Základní text Char"/>
    <w:basedOn w:val="Standardnpsmoodstavce"/>
    <w:link w:val="Zkladntext"/>
    <w:rsid w:val="008A5B46"/>
    <w:rPr>
      <w:rFonts w:ascii="Times New Roman" w:eastAsia="Times New Roman" w:hAnsi="Times New Roman"/>
      <w:sz w:val="24"/>
      <w:szCs w:val="24"/>
      <w:lang w:val="en-GB" w:eastAsia="en-US"/>
    </w:rPr>
  </w:style>
  <w:style w:type="character" w:styleId="Sledovanodkaz">
    <w:name w:val="FollowedHyperlink"/>
    <w:basedOn w:val="Standardnpsmoodstavce"/>
    <w:uiPriority w:val="99"/>
    <w:semiHidden/>
    <w:unhideWhenUsed/>
    <w:rsid w:val="00DF5C2B"/>
    <w:rPr>
      <w:color w:val="800080" w:themeColor="followedHyperlink"/>
      <w:u w:val="single"/>
    </w:rPr>
  </w:style>
  <w:style w:type="character" w:styleId="Odkaznakoment">
    <w:name w:val="annotation reference"/>
    <w:basedOn w:val="Standardnpsmoodstavce"/>
    <w:uiPriority w:val="99"/>
    <w:semiHidden/>
    <w:unhideWhenUsed/>
    <w:rsid w:val="00346F51"/>
    <w:rPr>
      <w:sz w:val="16"/>
      <w:szCs w:val="16"/>
    </w:rPr>
  </w:style>
  <w:style w:type="paragraph" w:styleId="Textkomente">
    <w:name w:val="annotation text"/>
    <w:basedOn w:val="Normln"/>
    <w:link w:val="TextkomenteChar"/>
    <w:uiPriority w:val="99"/>
    <w:semiHidden/>
    <w:unhideWhenUsed/>
    <w:rsid w:val="00346F51"/>
    <w:pPr>
      <w:spacing w:line="240" w:lineRule="auto"/>
    </w:pPr>
    <w:rPr>
      <w:szCs w:val="20"/>
    </w:rPr>
  </w:style>
  <w:style w:type="character" w:customStyle="1" w:styleId="TextkomenteChar">
    <w:name w:val="Text komentáře Char"/>
    <w:basedOn w:val="Standardnpsmoodstavce"/>
    <w:link w:val="Textkomente"/>
    <w:uiPriority w:val="99"/>
    <w:semiHidden/>
    <w:rsid w:val="00346F51"/>
    <w:rPr>
      <w:rFonts w:ascii="Arial" w:hAnsi="Arial"/>
      <w:lang w:eastAsia="en-US"/>
    </w:rPr>
  </w:style>
  <w:style w:type="paragraph" w:styleId="Pedmtkomente">
    <w:name w:val="annotation subject"/>
    <w:basedOn w:val="Textkomente"/>
    <w:next w:val="Textkomente"/>
    <w:link w:val="PedmtkomenteChar"/>
    <w:uiPriority w:val="99"/>
    <w:semiHidden/>
    <w:unhideWhenUsed/>
    <w:rsid w:val="00346F51"/>
    <w:rPr>
      <w:b/>
      <w:bCs/>
    </w:rPr>
  </w:style>
  <w:style w:type="character" w:customStyle="1" w:styleId="PedmtkomenteChar">
    <w:name w:val="Předmět komentáře Char"/>
    <w:basedOn w:val="TextkomenteChar"/>
    <w:link w:val="Pedmtkomente"/>
    <w:uiPriority w:val="99"/>
    <w:semiHidden/>
    <w:rsid w:val="00346F5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l.czso.cz/pll/rocenka/rocenka.indexnu_gov?mylang=E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roslav.kahoun@czso.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helena.houzvickova@czso.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apl.czso.cz/pll/rocenka/rocenkavyber.kvart_qsa?mylang=EN&amp;oblast=@R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zso.cz" TargetMode="External"/><Relationship Id="rId2" Type="http://schemas.openxmlformats.org/officeDocument/2006/relationships/hyperlink" Target="mailto:infoservis@czso.cz" TargetMode="External"/><Relationship Id="rId1" Type="http://schemas.openxmlformats.org/officeDocument/2006/relationships/hyperlink" Target="http://www.czso.cz" TargetMode="External"/><Relationship Id="rId4" Type="http://schemas.openxmlformats.org/officeDocument/2006/relationships/hyperlink" Target="mailto:infoservis@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AppData\Local\Temp\Rychl&#225;%20informace%20ENG_2022-02-08.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B8972258C6CE84A9BC1C4F526E18580" ma:contentTypeVersion="2" ma:contentTypeDescription="Vytvoří nový dokument" ma:contentTypeScope="" ma:versionID="1e1153966a28e71aa7f27644818b705a">
  <xsd:schema xmlns:xsd="http://www.w3.org/2001/XMLSchema" xmlns:xs="http://www.w3.org/2001/XMLSchema" xmlns:p="http://schemas.microsoft.com/office/2006/metadata/properties" xmlns:ns2="5f927d68-6aa3-420b-a02e-a4390ec9f7ec" targetNamespace="http://schemas.microsoft.com/office/2006/metadata/properties" ma:root="true" ma:fieldsID="0c1571328458585e7e4ccad179821941" ns2:_="">
    <xsd:import namespace="5f927d68-6aa3-420b-a02e-a4390ec9f7e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27d68-6aa3-420b-a02e-a4390ec9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8E8DE-F9E7-44F5-B15D-A242D50E8DA1}">
  <ds:schemaRefs>
    <ds:schemaRef ds:uri="http://schemas.microsoft.com/sharepoint/v3/contenttype/forms"/>
  </ds:schemaRefs>
</ds:datastoreItem>
</file>

<file path=customXml/itemProps2.xml><?xml version="1.0" encoding="utf-8"?>
<ds:datastoreItem xmlns:ds="http://schemas.openxmlformats.org/officeDocument/2006/customXml" ds:itemID="{F5B36A12-7A2A-435A-9883-F64BCA912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27d68-6aa3-420b-a02e-a4390ec9f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98B37-5ECE-492F-936C-6E6660878D88}">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5f927d68-6aa3-420b-a02e-a4390ec9f7ec"/>
    <ds:schemaRef ds:uri="http://www.w3.org/XML/1998/namespace"/>
    <ds:schemaRef ds:uri="http://purl.org/dc/dcmitype/"/>
  </ds:schemaRefs>
</ds:datastoreItem>
</file>

<file path=customXml/itemProps4.xml><?xml version="1.0" encoding="utf-8"?>
<ds:datastoreItem xmlns:ds="http://schemas.openxmlformats.org/officeDocument/2006/customXml" ds:itemID="{A13111B9-94EE-4A09-9C2F-633D8A905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ENG_2022-02-08.dotx</Template>
  <TotalTime>2</TotalTime>
  <Pages>4</Pages>
  <Words>844</Words>
  <Characters>4985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5818</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matousova9707</dc:creator>
  <cp:lastModifiedBy>Houžvičková Helena</cp:lastModifiedBy>
  <cp:revision>4</cp:revision>
  <dcterms:created xsi:type="dcterms:W3CDTF">2023-06-29T12:20:00Z</dcterms:created>
  <dcterms:modified xsi:type="dcterms:W3CDTF">2023-06-29T12:23:00Z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0x0101009B8972258C6CE84A9BC1C4F526E18580</vt:lpwstr>
  </property>
</Properties>
</file>