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706" w:rsidRPr="00172F4E" w:rsidRDefault="0057581B" w:rsidP="00375706">
      <w:pPr>
        <w:pStyle w:val="Datum"/>
      </w:pPr>
      <w:bookmarkStart w:id="0" w:name="_GoBack"/>
      <w:bookmarkEnd w:id="0"/>
      <w:r w:rsidRPr="00172F4E">
        <w:t>1 April </w:t>
      </w:r>
      <w:r w:rsidR="00375706" w:rsidRPr="00172F4E">
        <w:t>2022</w:t>
      </w:r>
    </w:p>
    <w:p w:rsidR="00375706" w:rsidRPr="00172F4E" w:rsidRDefault="0057581B" w:rsidP="00375706">
      <w:pPr>
        <w:pStyle w:val="Podtitulek"/>
        <w:rPr>
          <w:color w:val="BD1B21"/>
          <w:sz w:val="32"/>
          <w:szCs w:val="32"/>
        </w:rPr>
      </w:pPr>
      <w:r w:rsidRPr="00172F4E">
        <w:rPr>
          <w:color w:val="BD1B21"/>
          <w:sz w:val="32"/>
          <w:szCs w:val="32"/>
        </w:rPr>
        <w:t xml:space="preserve">General government sector balance remains in </w:t>
      </w:r>
      <w:r w:rsidR="001427B6" w:rsidRPr="00172F4E">
        <w:rPr>
          <w:color w:val="BD1B21"/>
          <w:sz w:val="32"/>
          <w:szCs w:val="32"/>
        </w:rPr>
        <w:t>a </w:t>
      </w:r>
      <w:r w:rsidRPr="00172F4E">
        <w:rPr>
          <w:color w:val="BD1B21"/>
          <w:sz w:val="32"/>
          <w:szCs w:val="32"/>
        </w:rPr>
        <w:t>deficit</w:t>
      </w:r>
    </w:p>
    <w:p w:rsidR="00375706" w:rsidRPr="00172F4E" w:rsidRDefault="00B522E8" w:rsidP="00375706">
      <w:pPr>
        <w:pStyle w:val="Podtitulek"/>
      </w:pPr>
      <w:r w:rsidRPr="00172F4E">
        <w:t>Government deficit and debt – the fourth quarter of 2021</w:t>
      </w:r>
    </w:p>
    <w:p w:rsidR="00FE3782" w:rsidRPr="00172F4E" w:rsidRDefault="00FE3782" w:rsidP="00375706">
      <w:pPr>
        <w:rPr>
          <w:b/>
          <w:lang w:val="en-GB"/>
        </w:rPr>
      </w:pPr>
      <w:r w:rsidRPr="00172F4E">
        <w:rPr>
          <w:b/>
          <w:lang w:val="en-GB"/>
        </w:rPr>
        <w:t xml:space="preserve">In </w:t>
      </w:r>
      <w:r w:rsidR="00BE29B9" w:rsidRPr="00172F4E">
        <w:rPr>
          <w:b/>
          <w:lang w:val="en-GB"/>
        </w:rPr>
        <w:t xml:space="preserve">the </w:t>
      </w:r>
      <w:r w:rsidRPr="00172F4E">
        <w:rPr>
          <w:b/>
          <w:lang w:val="en-GB"/>
        </w:rPr>
        <w:t>Q4 2021, the general government sector balance reached the deficit of CZK </w:t>
      </w:r>
      <w:r w:rsidR="00BE29B9" w:rsidRPr="00172F4E">
        <w:rPr>
          <w:b/>
          <w:lang w:val="en-GB"/>
        </w:rPr>
        <w:t>105.2</w:t>
      </w:r>
      <w:r w:rsidRPr="00172F4E">
        <w:rPr>
          <w:b/>
          <w:lang w:val="en-GB"/>
        </w:rPr>
        <w:t xml:space="preserve"> billion, which corresponded to </w:t>
      </w:r>
      <w:r w:rsidR="00BE29B9" w:rsidRPr="00172F4E">
        <w:rPr>
          <w:b/>
          <w:lang w:val="en-GB"/>
        </w:rPr>
        <w:t>6</w:t>
      </w:r>
      <w:r w:rsidRPr="00172F4E">
        <w:rPr>
          <w:b/>
          <w:lang w:val="en-GB"/>
        </w:rPr>
        <w:t>.</w:t>
      </w:r>
      <w:r w:rsidR="00BE29B9" w:rsidRPr="00172F4E">
        <w:rPr>
          <w:b/>
          <w:lang w:val="en-GB"/>
        </w:rPr>
        <w:t>5</w:t>
      </w:r>
      <w:r w:rsidRPr="00172F4E">
        <w:rPr>
          <w:b/>
          <w:lang w:val="en-GB"/>
        </w:rPr>
        <w:t>% of</w:t>
      </w:r>
      <w:r w:rsidR="00BE29B9" w:rsidRPr="00172F4E">
        <w:rPr>
          <w:b/>
          <w:lang w:val="en-GB"/>
        </w:rPr>
        <w:t xml:space="preserve"> the</w:t>
      </w:r>
      <w:r w:rsidRPr="00172F4E">
        <w:rPr>
          <w:b/>
          <w:lang w:val="en-GB"/>
        </w:rPr>
        <w:t xml:space="preserve"> GDP. Revenues of the general government sector reached 40.</w:t>
      </w:r>
      <w:r w:rsidR="00BE29B9" w:rsidRPr="00172F4E">
        <w:rPr>
          <w:b/>
          <w:lang w:val="en-GB"/>
        </w:rPr>
        <w:t>3</w:t>
      </w:r>
      <w:r w:rsidRPr="00172F4E">
        <w:rPr>
          <w:b/>
          <w:lang w:val="en-GB"/>
        </w:rPr>
        <w:t xml:space="preserve">% of </w:t>
      </w:r>
      <w:r w:rsidR="00BE29B9" w:rsidRPr="00172F4E">
        <w:rPr>
          <w:b/>
          <w:lang w:val="en-GB"/>
        </w:rPr>
        <w:t xml:space="preserve">the </w:t>
      </w:r>
      <w:r w:rsidRPr="00172F4E">
        <w:rPr>
          <w:b/>
          <w:lang w:val="en-GB"/>
        </w:rPr>
        <w:t xml:space="preserve">GDP, while expenditure amounted to </w:t>
      </w:r>
      <w:r w:rsidR="00BE29B9" w:rsidRPr="00172F4E">
        <w:rPr>
          <w:b/>
          <w:lang w:val="en-GB"/>
        </w:rPr>
        <w:t>46</w:t>
      </w:r>
      <w:r w:rsidRPr="00172F4E">
        <w:rPr>
          <w:b/>
          <w:lang w:val="en-GB"/>
        </w:rPr>
        <w:t xml:space="preserve">.8% of </w:t>
      </w:r>
      <w:r w:rsidR="00BE29B9" w:rsidRPr="00172F4E">
        <w:rPr>
          <w:b/>
          <w:lang w:val="en-GB"/>
        </w:rPr>
        <w:t xml:space="preserve">the </w:t>
      </w:r>
      <w:r w:rsidRPr="00172F4E">
        <w:rPr>
          <w:b/>
          <w:lang w:val="en-GB"/>
        </w:rPr>
        <w:t xml:space="preserve">GDP. The government debt ratio increased by </w:t>
      </w:r>
      <w:r w:rsidR="00BE29B9" w:rsidRPr="00172F4E">
        <w:rPr>
          <w:b/>
          <w:lang w:val="en-GB"/>
        </w:rPr>
        <w:t>4</w:t>
      </w:r>
      <w:r w:rsidRPr="00172F4E">
        <w:rPr>
          <w:b/>
          <w:lang w:val="en-GB"/>
        </w:rPr>
        <w:t>.</w:t>
      </w:r>
      <w:r w:rsidR="00BE29B9" w:rsidRPr="00172F4E">
        <w:rPr>
          <w:b/>
          <w:lang w:val="en-GB"/>
        </w:rPr>
        <w:t>2</w:t>
      </w:r>
      <w:r w:rsidRPr="00172F4E">
        <w:rPr>
          <w:b/>
          <w:lang w:val="en-GB"/>
        </w:rPr>
        <w:t> percentage points (p. p.</w:t>
      </w:r>
      <w:r w:rsidR="00BE29B9" w:rsidRPr="00172F4E">
        <w:rPr>
          <w:b/>
          <w:lang w:val="en-GB"/>
        </w:rPr>
        <w:t>), year-on-year (y-o-y), to 41</w:t>
      </w:r>
      <w:r w:rsidRPr="00172F4E">
        <w:rPr>
          <w:b/>
          <w:lang w:val="en-GB"/>
        </w:rPr>
        <w:t>.</w:t>
      </w:r>
      <w:r w:rsidR="00BE29B9" w:rsidRPr="00172F4E">
        <w:rPr>
          <w:b/>
          <w:lang w:val="en-GB"/>
        </w:rPr>
        <w:t>9</w:t>
      </w:r>
      <w:r w:rsidRPr="00172F4E">
        <w:rPr>
          <w:b/>
          <w:lang w:val="en-GB"/>
        </w:rPr>
        <w:t xml:space="preserve">% of </w:t>
      </w:r>
      <w:r w:rsidR="00BE29B9" w:rsidRPr="00172F4E">
        <w:rPr>
          <w:b/>
          <w:lang w:val="en-GB"/>
        </w:rPr>
        <w:t xml:space="preserve">the </w:t>
      </w:r>
      <w:r w:rsidRPr="00172F4E">
        <w:rPr>
          <w:b/>
          <w:lang w:val="en-GB"/>
        </w:rPr>
        <w:t>GDP.</w:t>
      </w:r>
    </w:p>
    <w:p w:rsidR="00982D15" w:rsidRPr="00172F4E" w:rsidRDefault="00982D15" w:rsidP="00375706">
      <w:pPr>
        <w:rPr>
          <w:lang w:val="en-GB"/>
        </w:rPr>
      </w:pPr>
    </w:p>
    <w:p w:rsidR="00982D15" w:rsidRPr="00172F4E" w:rsidRDefault="00982D15" w:rsidP="00375706">
      <w:pPr>
        <w:rPr>
          <w:lang w:val="en-GB"/>
        </w:rPr>
      </w:pPr>
      <w:r w:rsidRPr="00172F4E">
        <w:rPr>
          <w:lang w:val="en-GB"/>
        </w:rPr>
        <w:t>In the Q4 2021, the general government sector balance improved by CZK 32.3 bn, y-o-y,</w:t>
      </w:r>
      <w:r w:rsidR="002B2A19" w:rsidRPr="00172F4E">
        <w:rPr>
          <w:lang w:val="en-GB"/>
        </w:rPr>
        <w:t xml:space="preserve"> although </w:t>
      </w:r>
      <w:r w:rsidR="002B2A19" w:rsidRPr="00E050EB">
        <w:rPr>
          <w:lang w:val="en-GB"/>
        </w:rPr>
        <w:t xml:space="preserve">all </w:t>
      </w:r>
      <w:r w:rsidR="00996918" w:rsidRPr="00E050EB">
        <w:rPr>
          <w:lang w:val="en-GB"/>
        </w:rPr>
        <w:t>components</w:t>
      </w:r>
      <w:r w:rsidR="002B2A19" w:rsidRPr="00E050EB">
        <w:rPr>
          <w:lang w:val="en-GB"/>
        </w:rPr>
        <w:t xml:space="preserve"> of the general government ended up with a deficit.</w:t>
      </w:r>
      <w:r w:rsidR="007967D7" w:rsidRPr="00E050EB">
        <w:rPr>
          <w:lang w:val="en-GB"/>
        </w:rPr>
        <w:t xml:space="preserve"> The </w:t>
      </w:r>
      <w:r w:rsidR="00BE6592" w:rsidRPr="00E050EB">
        <w:rPr>
          <w:lang w:val="en-GB"/>
        </w:rPr>
        <w:t>highest</w:t>
      </w:r>
      <w:r w:rsidR="007967D7" w:rsidRPr="00E050EB">
        <w:rPr>
          <w:lang w:val="en-GB"/>
        </w:rPr>
        <w:t xml:space="preserve"> </w:t>
      </w:r>
      <w:r w:rsidR="00BE6592" w:rsidRPr="00E050EB">
        <w:rPr>
          <w:lang w:val="en-GB"/>
        </w:rPr>
        <w:t>contribution to</w:t>
      </w:r>
      <w:r w:rsidR="007967D7" w:rsidRPr="00E050EB">
        <w:rPr>
          <w:lang w:val="en-GB"/>
        </w:rPr>
        <w:t xml:space="preserve"> the</w:t>
      </w:r>
      <w:r w:rsidR="007967D7" w:rsidRPr="00172F4E">
        <w:rPr>
          <w:lang w:val="en-GB"/>
        </w:rPr>
        <w:t xml:space="preserve"> year-on-year decrease</w:t>
      </w:r>
      <w:r w:rsidR="00BE6592" w:rsidRPr="00172F4E">
        <w:rPr>
          <w:lang w:val="en-GB"/>
        </w:rPr>
        <w:t xml:space="preserve"> was</w:t>
      </w:r>
      <w:r w:rsidR="007967D7" w:rsidRPr="00172F4E">
        <w:rPr>
          <w:lang w:val="en-GB"/>
        </w:rPr>
        <w:t xml:space="preserve"> mainly</w:t>
      </w:r>
      <w:r w:rsidR="00BE6592" w:rsidRPr="00172F4E">
        <w:rPr>
          <w:lang w:val="en-GB"/>
        </w:rPr>
        <w:t xml:space="preserve"> thanks to</w:t>
      </w:r>
      <w:r w:rsidR="007967D7" w:rsidRPr="00172F4E">
        <w:rPr>
          <w:lang w:val="en-GB"/>
        </w:rPr>
        <w:t xml:space="preserve"> </w:t>
      </w:r>
      <w:r w:rsidRPr="00172F4E">
        <w:rPr>
          <w:lang w:val="en-GB"/>
        </w:rPr>
        <w:t xml:space="preserve">the central government, the balance of which </w:t>
      </w:r>
      <w:r w:rsidR="007967D7" w:rsidRPr="00172F4E">
        <w:rPr>
          <w:lang w:val="en-GB"/>
        </w:rPr>
        <w:t xml:space="preserve">improved by CZK 32.5 bn and </w:t>
      </w:r>
      <w:r w:rsidRPr="00172F4E">
        <w:rPr>
          <w:lang w:val="en-GB"/>
        </w:rPr>
        <w:t>ended up with a deficit of CZK </w:t>
      </w:r>
      <w:r w:rsidR="007967D7" w:rsidRPr="00172F4E">
        <w:rPr>
          <w:lang w:val="en-GB"/>
        </w:rPr>
        <w:t>77.0 </w:t>
      </w:r>
      <w:r w:rsidRPr="00172F4E">
        <w:rPr>
          <w:lang w:val="en-GB"/>
        </w:rPr>
        <w:t>bn. The local government sector balance end</w:t>
      </w:r>
      <w:r w:rsidR="00884090" w:rsidRPr="00172F4E">
        <w:rPr>
          <w:lang w:val="en-GB"/>
        </w:rPr>
        <w:t>ed</w:t>
      </w:r>
      <w:r w:rsidRPr="00172F4E">
        <w:rPr>
          <w:lang w:val="en-GB"/>
        </w:rPr>
        <w:t xml:space="preserve"> up with a </w:t>
      </w:r>
      <w:r w:rsidR="00884090" w:rsidRPr="00172F4E">
        <w:rPr>
          <w:lang w:val="en-GB"/>
        </w:rPr>
        <w:t>deficit</w:t>
      </w:r>
      <w:r w:rsidRPr="00172F4E">
        <w:rPr>
          <w:lang w:val="en-GB"/>
        </w:rPr>
        <w:t xml:space="preserve"> of CZK </w:t>
      </w:r>
      <w:r w:rsidR="00884090" w:rsidRPr="00172F4E">
        <w:rPr>
          <w:lang w:val="en-GB"/>
        </w:rPr>
        <w:t>18.3</w:t>
      </w:r>
      <w:r w:rsidRPr="00172F4E">
        <w:rPr>
          <w:lang w:val="en-GB"/>
        </w:rPr>
        <w:t> </w:t>
      </w:r>
      <w:r w:rsidR="00D079D2" w:rsidRPr="00172F4E">
        <w:rPr>
          <w:lang w:val="en-GB"/>
        </w:rPr>
        <w:t xml:space="preserve">bn and </w:t>
      </w:r>
      <w:r w:rsidRPr="00172F4E">
        <w:rPr>
          <w:lang w:val="en-GB"/>
        </w:rPr>
        <w:t>social security funds</w:t>
      </w:r>
      <w:r w:rsidR="0087438C" w:rsidRPr="00172F4E">
        <w:rPr>
          <w:lang w:val="en-GB"/>
        </w:rPr>
        <w:t xml:space="preserve"> ended up</w:t>
      </w:r>
      <w:r w:rsidR="00D079D2" w:rsidRPr="00172F4E">
        <w:rPr>
          <w:lang w:val="en-GB"/>
        </w:rPr>
        <w:t xml:space="preserve"> with a deficit of </w:t>
      </w:r>
      <w:r w:rsidRPr="00172F4E">
        <w:rPr>
          <w:lang w:val="en-GB"/>
        </w:rPr>
        <w:t>CZK</w:t>
      </w:r>
      <w:r w:rsidR="00D079D2" w:rsidRPr="00172F4E">
        <w:rPr>
          <w:lang w:val="en-GB"/>
        </w:rPr>
        <w:t> 10</w:t>
      </w:r>
      <w:r w:rsidRPr="00172F4E">
        <w:rPr>
          <w:lang w:val="en-GB"/>
        </w:rPr>
        <w:t>.</w:t>
      </w:r>
      <w:r w:rsidR="00D079D2" w:rsidRPr="00172F4E">
        <w:rPr>
          <w:lang w:val="en-GB"/>
        </w:rPr>
        <w:t>0</w:t>
      </w:r>
      <w:r w:rsidRPr="00172F4E">
        <w:rPr>
          <w:lang w:val="en-GB"/>
        </w:rPr>
        <w:t> bn.</w:t>
      </w:r>
    </w:p>
    <w:p w:rsidR="00375706" w:rsidRPr="00172F4E" w:rsidRDefault="00375706" w:rsidP="00375706">
      <w:pPr>
        <w:rPr>
          <w:lang w:val="en-GB"/>
        </w:rPr>
      </w:pPr>
    </w:p>
    <w:p w:rsidR="00375706" w:rsidRPr="00172F4E" w:rsidRDefault="00375706" w:rsidP="00375706">
      <w:pPr>
        <w:pStyle w:val="TabulkaGraf"/>
      </w:pPr>
      <w:r w:rsidRPr="00172F4E">
        <w:t>The general government sector balance, Q4 2019 – Q4 2021</w:t>
      </w:r>
    </w:p>
    <w:tbl>
      <w:tblPr>
        <w:tblW w:w="8480" w:type="dxa"/>
        <w:tblInd w:w="98" w:type="dxa"/>
        <w:tblLook w:val="04A0" w:firstRow="1" w:lastRow="0" w:firstColumn="1" w:lastColumn="0" w:noHBand="0" w:noVBand="1"/>
      </w:tblPr>
      <w:tblGrid>
        <w:gridCol w:w="920"/>
        <w:gridCol w:w="840"/>
        <w:gridCol w:w="840"/>
        <w:gridCol w:w="840"/>
        <w:gridCol w:w="840"/>
        <w:gridCol w:w="840"/>
        <w:gridCol w:w="840"/>
        <w:gridCol w:w="840"/>
        <w:gridCol w:w="840"/>
        <w:gridCol w:w="840"/>
      </w:tblGrid>
      <w:tr w:rsidR="00375706" w:rsidRPr="00172F4E" w:rsidTr="00A73435">
        <w:trPr>
          <w:trHeight w:val="480"/>
        </w:trPr>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5706" w:rsidRPr="00172F4E" w:rsidRDefault="00375706" w:rsidP="00A73435">
            <w:pPr>
              <w:spacing w:line="240" w:lineRule="auto"/>
              <w:jc w:val="center"/>
              <w:rPr>
                <w:rFonts w:eastAsia="Times New Roman" w:cs="Arial"/>
                <w:color w:val="000000"/>
                <w:sz w:val="18"/>
                <w:szCs w:val="18"/>
                <w:lang w:val="en-GB"/>
              </w:rPr>
            </w:pPr>
            <w:r w:rsidRPr="00172F4E">
              <w:rPr>
                <w:rFonts w:eastAsia="Times New Roman" w:cs="Arial"/>
                <w:color w:val="000000"/>
                <w:szCs w:val="20"/>
                <w:lang w:val="en-GB"/>
              </w:rPr>
              <w:t>Period</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spacing w:line="240" w:lineRule="auto"/>
              <w:jc w:val="center"/>
              <w:rPr>
                <w:rFonts w:cs="Arial"/>
                <w:color w:val="000000"/>
                <w:sz w:val="18"/>
                <w:szCs w:val="18"/>
                <w:lang w:val="en-GB" w:eastAsia="cs-CZ"/>
              </w:rPr>
            </w:pPr>
            <w:r w:rsidRPr="00172F4E">
              <w:rPr>
                <w:rFonts w:cs="Arial"/>
                <w:color w:val="000000"/>
                <w:sz w:val="18"/>
                <w:szCs w:val="18"/>
                <w:lang w:val="en-GB"/>
              </w:rPr>
              <w:t>Q4 2019</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Q1 2020</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Q2 2020</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Q3 2020</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Q4 2020</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Q1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Q2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Q3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Cs w:val="20"/>
                <w:lang w:val="en-GB"/>
              </w:rPr>
            </w:pPr>
            <w:r w:rsidRPr="00172F4E">
              <w:rPr>
                <w:rFonts w:cs="Arial"/>
                <w:color w:val="000000"/>
                <w:sz w:val="18"/>
                <w:szCs w:val="18"/>
                <w:lang w:val="en-GB"/>
              </w:rPr>
              <w:t>Q4 2021</w:t>
            </w:r>
          </w:p>
        </w:tc>
      </w:tr>
      <w:tr w:rsidR="00375706" w:rsidRPr="00172F4E" w:rsidTr="00A73435">
        <w:trPr>
          <w:trHeight w:val="315"/>
        </w:trPr>
        <w:tc>
          <w:tcPr>
            <w:tcW w:w="920" w:type="dxa"/>
            <w:tcBorders>
              <w:top w:val="nil"/>
              <w:left w:val="single" w:sz="8" w:space="0" w:color="auto"/>
              <w:bottom w:val="single" w:sz="8" w:space="0" w:color="auto"/>
              <w:right w:val="single" w:sz="8" w:space="0" w:color="auto"/>
            </w:tcBorders>
            <w:shd w:val="clear" w:color="auto" w:fill="auto"/>
            <w:vAlign w:val="center"/>
            <w:hideMark/>
          </w:tcPr>
          <w:p w:rsidR="00375706" w:rsidRPr="00172F4E" w:rsidRDefault="00375706" w:rsidP="00A73435">
            <w:pPr>
              <w:spacing w:line="240" w:lineRule="auto"/>
              <w:jc w:val="center"/>
              <w:rPr>
                <w:rFonts w:eastAsia="Times New Roman" w:cs="Arial"/>
                <w:color w:val="000000"/>
                <w:sz w:val="18"/>
                <w:szCs w:val="18"/>
                <w:lang w:val="en-GB"/>
              </w:rPr>
            </w:pPr>
            <w:r w:rsidRPr="00172F4E">
              <w:rPr>
                <w:rFonts w:eastAsia="Times New Roman" w:cs="Arial"/>
                <w:color w:val="000000"/>
                <w:szCs w:val="20"/>
                <w:lang w:val="en-GB"/>
              </w:rPr>
              <w:t>CZK bn</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-24.4</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-50.3</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-98.4</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-43.0</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-137.5</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-141.8</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-57.5</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color w:val="000000"/>
                <w:sz w:val="18"/>
                <w:szCs w:val="18"/>
                <w:lang w:val="en-GB"/>
              </w:rPr>
              <w:t>-54.9</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-105.2</w:t>
            </w:r>
          </w:p>
        </w:tc>
      </w:tr>
      <w:tr w:rsidR="00375706" w:rsidRPr="00172F4E" w:rsidTr="00A73435">
        <w:trPr>
          <w:trHeight w:val="315"/>
        </w:trPr>
        <w:tc>
          <w:tcPr>
            <w:tcW w:w="920" w:type="dxa"/>
            <w:tcBorders>
              <w:top w:val="nil"/>
              <w:left w:val="single" w:sz="8" w:space="0" w:color="auto"/>
              <w:bottom w:val="single" w:sz="8" w:space="0" w:color="auto"/>
              <w:right w:val="single" w:sz="8" w:space="0" w:color="auto"/>
            </w:tcBorders>
            <w:shd w:val="clear" w:color="auto" w:fill="auto"/>
            <w:vAlign w:val="center"/>
            <w:hideMark/>
          </w:tcPr>
          <w:p w:rsidR="00375706" w:rsidRPr="00172F4E" w:rsidRDefault="00375706" w:rsidP="00A73435">
            <w:pPr>
              <w:spacing w:line="240" w:lineRule="auto"/>
              <w:jc w:val="center"/>
              <w:rPr>
                <w:rFonts w:eastAsia="Times New Roman" w:cs="Arial"/>
                <w:color w:val="000000"/>
                <w:sz w:val="18"/>
                <w:szCs w:val="18"/>
                <w:lang w:val="en-GB"/>
              </w:rPr>
            </w:pPr>
            <w:r w:rsidRPr="00172F4E">
              <w:rPr>
                <w:rFonts w:eastAsia="Times New Roman" w:cs="Arial"/>
                <w:color w:val="000000"/>
                <w:szCs w:val="20"/>
                <w:lang w:val="en-GB"/>
              </w:rPr>
              <w:t>% of GDP</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-1.6</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-3.7</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-7.3</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-2.9</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-9.1</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-10.2</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-3.7</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-3.5</w:t>
            </w:r>
          </w:p>
        </w:tc>
        <w:tc>
          <w:tcPr>
            <w:tcW w:w="840" w:type="dxa"/>
            <w:tcBorders>
              <w:top w:val="nil"/>
              <w:left w:val="nil"/>
              <w:bottom w:val="single" w:sz="8" w:space="0" w:color="auto"/>
              <w:right w:val="single" w:sz="8" w:space="0" w:color="auto"/>
            </w:tcBorders>
            <w:shd w:val="clear" w:color="auto" w:fill="auto"/>
            <w:vAlign w:val="center"/>
            <w:hideMark/>
          </w:tcPr>
          <w:p w:rsidR="00375706" w:rsidRPr="00172F4E" w:rsidRDefault="00375706" w:rsidP="00A73435">
            <w:pPr>
              <w:jc w:val="center"/>
              <w:rPr>
                <w:rFonts w:cs="Arial"/>
                <w:color w:val="000000"/>
                <w:sz w:val="18"/>
                <w:szCs w:val="18"/>
                <w:lang w:val="en-GB"/>
              </w:rPr>
            </w:pPr>
            <w:r w:rsidRPr="00172F4E">
              <w:rPr>
                <w:rFonts w:cs="Arial"/>
                <w:sz w:val="18"/>
                <w:szCs w:val="18"/>
                <w:lang w:val="en-GB"/>
              </w:rPr>
              <w:t>-6.5</w:t>
            </w:r>
          </w:p>
        </w:tc>
      </w:tr>
    </w:tbl>
    <w:p w:rsidR="00375706" w:rsidRPr="00172F4E" w:rsidRDefault="00375706" w:rsidP="00375706">
      <w:pPr>
        <w:rPr>
          <w:i/>
          <w:lang w:val="en-GB"/>
        </w:rPr>
      </w:pPr>
      <w:r w:rsidRPr="00172F4E">
        <w:rPr>
          <w:i/>
          <w:lang w:val="en-GB"/>
        </w:rPr>
        <w:t>Note: Data in the table are not seasonally adjusted and cannot be compared quarter-on-quarter.</w:t>
      </w:r>
    </w:p>
    <w:p w:rsidR="00375706" w:rsidRPr="00172F4E" w:rsidRDefault="00375706" w:rsidP="00375706">
      <w:pPr>
        <w:rPr>
          <w:lang w:val="en-GB"/>
        </w:rPr>
      </w:pPr>
    </w:p>
    <w:p w:rsidR="00B05DBF" w:rsidRPr="00172F4E" w:rsidRDefault="00B05DBF" w:rsidP="00375706">
      <w:pPr>
        <w:rPr>
          <w:lang w:val="en-GB"/>
        </w:rPr>
      </w:pPr>
      <w:r w:rsidRPr="00172F4E">
        <w:rPr>
          <w:lang w:val="en-GB"/>
        </w:rPr>
        <w:t>The total government revenues increased by 2.0%, y-o-y. The y-o-y increase in revenues was mainly contributed to by an increase in revenues from</w:t>
      </w:r>
      <w:r w:rsidR="00D97DD8" w:rsidRPr="00172F4E">
        <w:rPr>
          <w:lang w:val="en-GB"/>
        </w:rPr>
        <w:t xml:space="preserve"> taxes on production and imports (+11.8% to CZK 192.3 bn) and from social contributions (+5.5</w:t>
      </w:r>
      <w:r w:rsidRPr="00172F4E">
        <w:rPr>
          <w:lang w:val="en-GB"/>
        </w:rPr>
        <w:t>% to CZK 2</w:t>
      </w:r>
      <w:r w:rsidR="00D97DD8" w:rsidRPr="00172F4E">
        <w:rPr>
          <w:lang w:val="en-GB"/>
        </w:rPr>
        <w:t>66.0 bn)</w:t>
      </w:r>
      <w:r w:rsidRPr="00172F4E">
        <w:rPr>
          <w:lang w:val="en-GB"/>
        </w:rPr>
        <w:t>. A decrease was only recorded for taxes on income (</w:t>
      </w:r>
      <w:r w:rsidRPr="00172F4E">
        <w:rPr>
          <w:rFonts w:cs="Arial"/>
          <w:szCs w:val="20"/>
          <w:lang w:val="en-GB"/>
        </w:rPr>
        <w:t>−</w:t>
      </w:r>
      <w:r w:rsidR="00D97DD8" w:rsidRPr="00172F4E">
        <w:rPr>
          <w:rFonts w:cs="Arial"/>
          <w:szCs w:val="20"/>
          <w:lang w:val="en-GB"/>
        </w:rPr>
        <w:t>22</w:t>
      </w:r>
      <w:r w:rsidR="00D97DD8" w:rsidRPr="00172F4E">
        <w:rPr>
          <w:lang w:val="en-GB"/>
        </w:rPr>
        <w:t>.8</w:t>
      </w:r>
      <w:r w:rsidRPr="00172F4E">
        <w:rPr>
          <w:lang w:val="en-GB"/>
        </w:rPr>
        <w:t>% to CZK </w:t>
      </w:r>
      <w:r w:rsidR="00D97DD8" w:rsidRPr="00172F4E">
        <w:rPr>
          <w:lang w:val="en-GB"/>
        </w:rPr>
        <w:t>105.4</w:t>
      </w:r>
      <w:r w:rsidRPr="00172F4E">
        <w:rPr>
          <w:lang w:val="en-GB"/>
        </w:rPr>
        <w:t> bn).</w:t>
      </w:r>
    </w:p>
    <w:p w:rsidR="00375706" w:rsidRPr="00172F4E" w:rsidRDefault="00375706" w:rsidP="00375706">
      <w:pPr>
        <w:rPr>
          <w:lang w:val="en-GB"/>
        </w:rPr>
      </w:pPr>
    </w:p>
    <w:p w:rsidR="00375706" w:rsidRPr="00172F4E" w:rsidRDefault="001D0252" w:rsidP="00375706">
      <w:pPr>
        <w:rPr>
          <w:lang w:val="en-GB"/>
        </w:rPr>
      </w:pPr>
      <w:r w:rsidRPr="00172F4E">
        <w:rPr>
          <w:lang w:val="en-GB"/>
        </w:rPr>
        <w:t>The total government expenditure decreased by 2.5%, y-o-y. The following expenditure decreased the most:</w:t>
      </w:r>
      <w:r w:rsidR="00943F6C" w:rsidRPr="00172F4E">
        <w:rPr>
          <w:lang w:val="en-GB"/>
        </w:rPr>
        <w:t xml:space="preserve"> </w:t>
      </w:r>
      <w:r w:rsidR="00E55CE2" w:rsidRPr="00172F4E">
        <w:rPr>
          <w:lang w:val="en-GB"/>
        </w:rPr>
        <w:t>expenditure on subsidies (</w:t>
      </w:r>
      <w:r w:rsidR="00E55CE2" w:rsidRPr="00172F4E">
        <w:rPr>
          <w:rFonts w:cs="Arial"/>
          <w:szCs w:val="20"/>
          <w:lang w:val="en-GB"/>
        </w:rPr>
        <w:t xml:space="preserve">−28.7% to CZK 35.9 bn) </w:t>
      </w:r>
      <w:r w:rsidRPr="00172F4E">
        <w:rPr>
          <w:lang w:val="en-GB"/>
        </w:rPr>
        <w:t>and</w:t>
      </w:r>
      <w:r w:rsidR="00131F3C" w:rsidRPr="00172F4E">
        <w:rPr>
          <w:lang w:val="en-GB"/>
        </w:rPr>
        <w:t xml:space="preserve"> expenditure on</w:t>
      </w:r>
      <w:r w:rsidRPr="00172F4E">
        <w:rPr>
          <w:lang w:val="en-GB"/>
        </w:rPr>
        <w:t xml:space="preserve"> capital transfers (</w:t>
      </w:r>
      <w:r w:rsidRPr="00172F4E">
        <w:rPr>
          <w:rFonts w:cs="Arial"/>
          <w:szCs w:val="20"/>
          <w:lang w:val="en-GB"/>
        </w:rPr>
        <w:t>−</w:t>
      </w:r>
      <w:r w:rsidRPr="00172F4E">
        <w:rPr>
          <w:lang w:val="en-GB"/>
        </w:rPr>
        <w:t>34.3% to CZK 10.2 bn).</w:t>
      </w:r>
      <w:r w:rsidR="00375706" w:rsidRPr="00172F4E">
        <w:rPr>
          <w:lang w:val="en-GB"/>
        </w:rPr>
        <w:t xml:space="preserve"> </w:t>
      </w:r>
    </w:p>
    <w:p w:rsidR="00375706" w:rsidRPr="00172F4E" w:rsidRDefault="00375706" w:rsidP="00375706">
      <w:pPr>
        <w:rPr>
          <w:lang w:val="en-GB"/>
        </w:rPr>
      </w:pPr>
    </w:p>
    <w:p w:rsidR="00076550" w:rsidRPr="00172F4E" w:rsidRDefault="00076550" w:rsidP="00375706">
      <w:pPr>
        <w:rPr>
          <w:lang w:val="en-GB"/>
        </w:rPr>
      </w:pPr>
      <w:r w:rsidRPr="00172F4E">
        <w:rPr>
          <w:lang w:val="en-GB"/>
        </w:rPr>
        <w:t>The government debt ratio increased from 37.7% to 41.9% of the GDP, year-on-year, while the increasing nominal GDP contributed to a decrease in indebtedness by –2.6 p. p. The nominal debt of the general government increased by CZK </w:t>
      </w:r>
      <w:r w:rsidR="00EE26DF" w:rsidRPr="00172F4E">
        <w:rPr>
          <w:lang w:val="en-GB"/>
        </w:rPr>
        <w:t>417</w:t>
      </w:r>
      <w:r w:rsidRPr="00172F4E">
        <w:rPr>
          <w:lang w:val="en-GB"/>
        </w:rPr>
        <w:t>.</w:t>
      </w:r>
      <w:r w:rsidR="00EE26DF" w:rsidRPr="00172F4E">
        <w:rPr>
          <w:lang w:val="en-GB"/>
        </w:rPr>
        <w:t>3</w:t>
      </w:r>
      <w:r w:rsidRPr="00172F4E">
        <w:rPr>
          <w:lang w:val="en-GB"/>
        </w:rPr>
        <w:t> bn to CZK 2 </w:t>
      </w:r>
      <w:r w:rsidR="00EE26DF" w:rsidRPr="00172F4E">
        <w:rPr>
          <w:lang w:val="en-GB"/>
        </w:rPr>
        <w:t>566</w:t>
      </w:r>
      <w:r w:rsidRPr="00172F4E">
        <w:rPr>
          <w:lang w:val="en-GB"/>
        </w:rPr>
        <w:t>.</w:t>
      </w:r>
      <w:r w:rsidR="00EE26DF" w:rsidRPr="00172F4E">
        <w:rPr>
          <w:lang w:val="en-GB"/>
        </w:rPr>
        <w:t>6</w:t>
      </w:r>
      <w:r w:rsidRPr="00172F4E">
        <w:rPr>
          <w:lang w:val="en-GB"/>
        </w:rPr>
        <w:t xml:space="preserve"> bn and its contribution amounted to </w:t>
      </w:r>
      <w:r w:rsidR="00EE26DF" w:rsidRPr="00172F4E">
        <w:rPr>
          <w:lang w:val="en-GB"/>
        </w:rPr>
        <w:t>6</w:t>
      </w:r>
      <w:r w:rsidRPr="00172F4E">
        <w:rPr>
          <w:lang w:val="en-GB"/>
        </w:rPr>
        <w:t>.</w:t>
      </w:r>
      <w:r w:rsidR="00EE26DF" w:rsidRPr="00172F4E">
        <w:rPr>
          <w:lang w:val="en-GB"/>
        </w:rPr>
        <w:t>8</w:t>
      </w:r>
      <w:r w:rsidRPr="00172F4E">
        <w:rPr>
          <w:lang w:val="en-GB"/>
        </w:rPr>
        <w:t> p. p. In the quarter-on-quarter comparison, the d</w:t>
      </w:r>
      <w:r w:rsidR="006C4774" w:rsidRPr="00172F4E">
        <w:rPr>
          <w:lang w:val="en-GB"/>
        </w:rPr>
        <w:t>ebt ratio in</w:t>
      </w:r>
      <w:r w:rsidRPr="00172F4E">
        <w:rPr>
          <w:lang w:val="en-GB"/>
        </w:rPr>
        <w:t xml:space="preserve">creased by </w:t>
      </w:r>
      <w:r w:rsidR="006C4774" w:rsidRPr="00172F4E">
        <w:rPr>
          <w:lang w:val="en-GB"/>
        </w:rPr>
        <w:t>1</w:t>
      </w:r>
      <w:r w:rsidRPr="00172F4E">
        <w:rPr>
          <w:lang w:val="en-GB"/>
        </w:rPr>
        <w:t>.</w:t>
      </w:r>
      <w:r w:rsidR="006C4774" w:rsidRPr="00172F4E">
        <w:rPr>
          <w:lang w:val="en-GB"/>
        </w:rPr>
        <w:t>5</w:t>
      </w:r>
      <w:r w:rsidRPr="00172F4E">
        <w:rPr>
          <w:lang w:val="en-GB"/>
        </w:rPr>
        <w:t> p. p. The nominal</w:t>
      </w:r>
      <w:r w:rsidR="000D41B9" w:rsidRPr="00172F4E">
        <w:rPr>
          <w:lang w:val="en-GB"/>
        </w:rPr>
        <w:t xml:space="preserve"> debt in</w:t>
      </w:r>
      <w:r w:rsidRPr="00172F4E">
        <w:rPr>
          <w:lang w:val="en-GB"/>
        </w:rPr>
        <w:t>creased by CZK</w:t>
      </w:r>
      <w:r w:rsidR="00785441" w:rsidRPr="00172F4E">
        <w:rPr>
          <w:lang w:val="en-GB"/>
        </w:rPr>
        <w:t> </w:t>
      </w:r>
      <w:r w:rsidR="000D41B9" w:rsidRPr="00172F4E">
        <w:rPr>
          <w:lang w:val="en-GB"/>
        </w:rPr>
        <w:t>133.3</w:t>
      </w:r>
      <w:r w:rsidRPr="00172F4E">
        <w:rPr>
          <w:lang w:val="en-GB"/>
        </w:rPr>
        <w:t> bn, q-o-q, and contributed to</w:t>
      </w:r>
      <w:r w:rsidR="000D41B9" w:rsidRPr="00172F4E">
        <w:rPr>
          <w:lang w:val="en-GB"/>
        </w:rPr>
        <w:t xml:space="preserve"> the in</w:t>
      </w:r>
      <w:r w:rsidRPr="00172F4E">
        <w:rPr>
          <w:lang w:val="en-GB"/>
        </w:rPr>
        <w:t xml:space="preserve">crease of the debt ratio by </w:t>
      </w:r>
      <w:r w:rsidR="00646DF0" w:rsidRPr="00172F4E">
        <w:rPr>
          <w:lang w:val="en-GB"/>
        </w:rPr>
        <w:t>2</w:t>
      </w:r>
      <w:r w:rsidRPr="00172F4E">
        <w:rPr>
          <w:lang w:val="en-GB"/>
        </w:rPr>
        <w:t>.</w:t>
      </w:r>
      <w:r w:rsidR="00646DF0" w:rsidRPr="00172F4E">
        <w:rPr>
          <w:lang w:val="en-GB"/>
        </w:rPr>
        <w:t>2</w:t>
      </w:r>
      <w:r w:rsidRPr="00172F4E">
        <w:rPr>
          <w:lang w:val="en-GB"/>
        </w:rPr>
        <w:t xml:space="preserve"> p. p., whereas an increase in the nominal GDP contributed to a decrease by </w:t>
      </w:r>
      <w:r w:rsidR="00646DF0" w:rsidRPr="00172F4E">
        <w:rPr>
          <w:lang w:val="en-GB"/>
        </w:rPr>
        <w:t>–0.7</w:t>
      </w:r>
      <w:r w:rsidRPr="00172F4E">
        <w:rPr>
          <w:lang w:val="en-GB"/>
        </w:rPr>
        <w:t> p. p.</w:t>
      </w:r>
      <w:r w:rsidR="00646DF0" w:rsidRPr="00172F4E">
        <w:rPr>
          <w:lang w:val="en-GB"/>
        </w:rPr>
        <w:t>.</w:t>
      </w:r>
    </w:p>
    <w:p w:rsidR="00076550" w:rsidRPr="00172F4E" w:rsidRDefault="00076550" w:rsidP="00375706">
      <w:pPr>
        <w:rPr>
          <w:lang w:val="en-GB"/>
        </w:rPr>
      </w:pPr>
    </w:p>
    <w:p w:rsidR="00304C19" w:rsidRPr="00172F4E" w:rsidRDefault="00304C19" w:rsidP="00375706">
      <w:pPr>
        <w:rPr>
          <w:lang w:val="en-GB"/>
        </w:rPr>
      </w:pPr>
      <w:r w:rsidRPr="00172F4E">
        <w:rPr>
          <w:lang w:val="en-GB"/>
        </w:rPr>
        <w:lastRenderedPageBreak/>
        <w:t>Regarding the debt structure, mainly the following increased, year-on-year: issued debt securities (CZK +</w:t>
      </w:r>
      <w:r w:rsidR="00214E92" w:rsidRPr="00172F4E">
        <w:rPr>
          <w:lang w:val="en-GB"/>
        </w:rPr>
        <w:t>346.1</w:t>
      </w:r>
      <w:r w:rsidRPr="00172F4E">
        <w:rPr>
          <w:lang w:val="en-GB"/>
        </w:rPr>
        <w:t> bn) and the volume of received loans (CZK +</w:t>
      </w:r>
      <w:r w:rsidR="00214E92" w:rsidRPr="00172F4E">
        <w:rPr>
          <w:lang w:val="en-GB"/>
        </w:rPr>
        <w:t>66.0</w:t>
      </w:r>
      <w:r w:rsidRPr="00172F4E">
        <w:rPr>
          <w:lang w:val="en-GB"/>
        </w:rPr>
        <w:t xml:space="preserve"> bn). Issued debt securities continue to be the main debt component. </w:t>
      </w:r>
    </w:p>
    <w:p w:rsidR="00375706" w:rsidRPr="00172F4E" w:rsidRDefault="00375706" w:rsidP="00375706">
      <w:pPr>
        <w:rPr>
          <w:lang w:val="en-GB"/>
        </w:rPr>
      </w:pPr>
    </w:p>
    <w:p w:rsidR="00375706" w:rsidRPr="00172F4E" w:rsidRDefault="00375706" w:rsidP="00375706">
      <w:pPr>
        <w:jc w:val="left"/>
        <w:rPr>
          <w:noProof/>
          <w:lang w:val="en-GB" w:eastAsia="cs-CZ"/>
        </w:rPr>
      </w:pPr>
      <w:r w:rsidRPr="00172F4E">
        <w:rPr>
          <w:rFonts w:eastAsia="Times New Roman"/>
          <w:b/>
          <w:bCs/>
          <w:szCs w:val="28"/>
          <w:lang w:val="en-GB"/>
        </w:rPr>
        <w:t>Debt of the general government sector, Q4 2019 – Q4 2021</w:t>
      </w:r>
    </w:p>
    <w:p w:rsidR="00375706" w:rsidRPr="00172F4E" w:rsidRDefault="00375706" w:rsidP="00375706">
      <w:pPr>
        <w:rPr>
          <w:lang w:val="en-GB"/>
        </w:rPr>
      </w:pPr>
      <w:r w:rsidRPr="00172F4E">
        <w:rPr>
          <w:noProof/>
          <w:lang w:eastAsia="cs-CZ"/>
        </w:rPr>
        <w:drawing>
          <wp:inline distT="0" distB="0" distL="0" distR="0" wp14:anchorId="2D0D4713" wp14:editId="716C6FE0">
            <wp:extent cx="4721916" cy="2706551"/>
            <wp:effectExtent l="0" t="0" r="2540" b="1778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75706" w:rsidRPr="00172F4E" w:rsidRDefault="00375706" w:rsidP="00375706">
      <w:pPr>
        <w:rPr>
          <w:lang w:val="en-GB"/>
        </w:rPr>
      </w:pPr>
    </w:p>
    <w:p w:rsidR="00783A3B" w:rsidRPr="00172F4E" w:rsidRDefault="00783A3B" w:rsidP="00375706">
      <w:pPr>
        <w:rPr>
          <w:lang w:val="en-GB"/>
        </w:rPr>
      </w:pPr>
      <w:r w:rsidRPr="00172F4E">
        <w:rPr>
          <w:lang w:val="en-GB"/>
        </w:rPr>
        <w:t xml:space="preserve">The general government sector balance after seasonal adjustment as well as adjustment for calendar effects ended up with a deficit of CZK 79.4 bn, which corresponded to </w:t>
      </w:r>
      <w:r w:rsidR="00987912" w:rsidRPr="00172F4E">
        <w:rPr>
          <w:lang w:val="en-GB"/>
        </w:rPr>
        <w:t>5</w:t>
      </w:r>
      <w:r w:rsidRPr="00172F4E">
        <w:rPr>
          <w:lang w:val="en-GB"/>
        </w:rPr>
        <w:t>.</w:t>
      </w:r>
      <w:r w:rsidR="00987912" w:rsidRPr="00172F4E">
        <w:rPr>
          <w:lang w:val="en-GB"/>
        </w:rPr>
        <w:t>1</w:t>
      </w:r>
      <w:r w:rsidRPr="00172F4E">
        <w:rPr>
          <w:lang w:val="en-GB"/>
        </w:rPr>
        <w:t xml:space="preserve">% of GDP. The general government sector balance </w:t>
      </w:r>
      <w:r w:rsidR="00F94CDB" w:rsidRPr="00172F4E">
        <w:rPr>
          <w:lang w:val="en-GB"/>
        </w:rPr>
        <w:t>improved</w:t>
      </w:r>
      <w:r w:rsidRPr="00172F4E">
        <w:rPr>
          <w:lang w:val="en-GB"/>
        </w:rPr>
        <w:t xml:space="preserve"> by CZK</w:t>
      </w:r>
      <w:r w:rsidR="00F94CDB" w:rsidRPr="00172F4E">
        <w:rPr>
          <w:lang w:val="en-GB"/>
        </w:rPr>
        <w:t> 8</w:t>
      </w:r>
      <w:r w:rsidRPr="00172F4E">
        <w:rPr>
          <w:lang w:val="en-GB"/>
        </w:rPr>
        <w:t>.9 bn, q-o-q. The development of the general government sector balance adjusted by seasonal and calendar effects is shown in the chart below.</w:t>
      </w:r>
    </w:p>
    <w:p w:rsidR="00375706" w:rsidRPr="00172F4E" w:rsidRDefault="00375706" w:rsidP="00375706">
      <w:pPr>
        <w:rPr>
          <w:lang w:val="en-GB"/>
        </w:rPr>
      </w:pPr>
    </w:p>
    <w:p w:rsidR="00375706" w:rsidRPr="00172F4E" w:rsidRDefault="0099333B" w:rsidP="00375706">
      <w:pPr>
        <w:jc w:val="left"/>
        <w:rPr>
          <w:lang w:val="en-GB"/>
        </w:rPr>
      </w:pPr>
      <w:r>
        <w:rPr>
          <w:rFonts w:eastAsia="Times New Roman"/>
          <w:b/>
          <w:bCs/>
          <w:szCs w:val="28"/>
          <w:lang w:val="en-GB"/>
        </w:rPr>
        <w:t xml:space="preserve">Seasonally adjusted </w:t>
      </w:r>
      <w:r w:rsidR="00375706" w:rsidRPr="00172F4E">
        <w:rPr>
          <w:rFonts w:eastAsia="Times New Roman"/>
          <w:b/>
          <w:bCs/>
          <w:szCs w:val="28"/>
          <w:lang w:val="en-GB"/>
        </w:rPr>
        <w:t>general government sector</w:t>
      </w:r>
      <w:r>
        <w:rPr>
          <w:rFonts w:eastAsia="Times New Roman"/>
          <w:b/>
          <w:bCs/>
          <w:szCs w:val="28"/>
          <w:lang w:val="en-GB"/>
        </w:rPr>
        <w:t xml:space="preserve"> balance</w:t>
      </w:r>
      <w:r w:rsidR="00375706" w:rsidRPr="00172F4E">
        <w:rPr>
          <w:rFonts w:eastAsia="Times New Roman"/>
          <w:b/>
          <w:bCs/>
          <w:szCs w:val="28"/>
          <w:lang w:val="en-GB"/>
        </w:rPr>
        <w:t>, Q4 2019 – Q4 2021</w:t>
      </w:r>
    </w:p>
    <w:p w:rsidR="00375706" w:rsidRPr="00172F4E" w:rsidRDefault="00375706" w:rsidP="00375706">
      <w:pPr>
        <w:rPr>
          <w:lang w:val="en-GB"/>
        </w:rPr>
      </w:pPr>
      <w:r w:rsidRPr="00172F4E">
        <w:rPr>
          <w:noProof/>
          <w:lang w:eastAsia="cs-CZ"/>
        </w:rPr>
        <w:drawing>
          <wp:inline distT="0" distB="0" distL="0" distR="0" wp14:anchorId="680CEB9E" wp14:editId="52B8075B">
            <wp:extent cx="5400040" cy="2117090"/>
            <wp:effectExtent l="0" t="0" r="10160" b="1651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5706" w:rsidRPr="00172F4E" w:rsidRDefault="001B3556" w:rsidP="00375706">
      <w:pPr>
        <w:pStyle w:val="Poznmky0"/>
      </w:pPr>
      <w:r w:rsidRPr="00172F4E">
        <w:t>Notes</w:t>
      </w:r>
      <w:r w:rsidR="00375706" w:rsidRPr="00172F4E">
        <w:t>:</w:t>
      </w:r>
    </w:p>
    <w:p w:rsidR="00027299" w:rsidRPr="00172F4E" w:rsidRDefault="00027299" w:rsidP="00375706">
      <w:pPr>
        <w:rPr>
          <w:rFonts w:cs="Arial"/>
          <w:i/>
          <w:sz w:val="18"/>
          <w:szCs w:val="20"/>
          <w:lang w:val="en-GB"/>
        </w:rPr>
      </w:pPr>
      <w:r w:rsidRPr="00172F4E">
        <w:rPr>
          <w:rFonts w:cs="Arial"/>
          <w:i/>
          <w:sz w:val="18"/>
          <w:szCs w:val="20"/>
          <w:lang w:val="en-GB"/>
        </w:rPr>
        <w:lastRenderedPageBreak/>
        <w:t xml:space="preserve">Quantification of fiscal indicators of government deficit and debt mentioned above is based on the ESA2010 methodology. Data published in this news release are methodologically consistent with the data used for the statistics of the excessive deficit procedure (EDP) purposes and for the assessment of how Maastricht convergence criteria are met. </w:t>
      </w:r>
    </w:p>
    <w:p w:rsidR="00027299" w:rsidRPr="00172F4E" w:rsidRDefault="00027299" w:rsidP="00375706">
      <w:pPr>
        <w:rPr>
          <w:rFonts w:cs="Arial"/>
          <w:i/>
          <w:sz w:val="18"/>
          <w:szCs w:val="18"/>
          <w:lang w:val="en-GB"/>
        </w:rPr>
      </w:pPr>
    </w:p>
    <w:p w:rsidR="00881D66" w:rsidRPr="00172F4E" w:rsidRDefault="00881D66" w:rsidP="00375706">
      <w:pPr>
        <w:rPr>
          <w:rFonts w:cs="Arial"/>
          <w:i/>
          <w:sz w:val="18"/>
          <w:szCs w:val="18"/>
          <w:lang w:val="en-GB"/>
        </w:rPr>
      </w:pPr>
      <w:r w:rsidRPr="00172F4E">
        <w:rPr>
          <w:rFonts w:cs="Arial"/>
          <w:i/>
          <w:sz w:val="18"/>
          <w:szCs w:val="20"/>
          <w:lang w:val="en-GB"/>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rsidR="00203A38" w:rsidRPr="00172F4E" w:rsidRDefault="00203A38" w:rsidP="00375706">
      <w:pPr>
        <w:rPr>
          <w:rFonts w:cs="Arial"/>
          <w:i/>
          <w:sz w:val="18"/>
          <w:szCs w:val="18"/>
          <w:lang w:val="en-GB"/>
        </w:rPr>
      </w:pPr>
    </w:p>
    <w:p w:rsidR="00203A38" w:rsidRPr="00172F4E" w:rsidRDefault="00203A38" w:rsidP="00375706">
      <w:pPr>
        <w:rPr>
          <w:rFonts w:cs="Arial"/>
          <w:i/>
          <w:sz w:val="18"/>
          <w:szCs w:val="18"/>
          <w:lang w:val="en-GB"/>
        </w:rPr>
      </w:pPr>
      <w:r w:rsidRPr="00172F4E">
        <w:rPr>
          <w:rFonts w:cs="Arial"/>
          <w:i/>
          <w:sz w:val="18"/>
          <w:szCs w:val="20"/>
          <w:lang w:val="en-GB"/>
        </w:rPr>
        <w:t>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is obtained by means of the contractual exchange rate.</w:t>
      </w:r>
    </w:p>
    <w:p w:rsidR="008A5B46" w:rsidRPr="00172F4E" w:rsidRDefault="008A5B46" w:rsidP="00375706">
      <w:pPr>
        <w:rPr>
          <w:i/>
          <w:sz w:val="18"/>
          <w:szCs w:val="18"/>
          <w:lang w:val="en-GB"/>
        </w:rPr>
      </w:pPr>
    </w:p>
    <w:p w:rsidR="008A5B46" w:rsidRPr="00172F4E" w:rsidRDefault="008A5B46" w:rsidP="008A5B46">
      <w:pPr>
        <w:pStyle w:val="Zkladntext"/>
        <w:spacing w:line="276" w:lineRule="auto"/>
        <w:rPr>
          <w:rFonts w:ascii="Arial" w:hAnsi="Arial" w:cs="Arial"/>
          <w:i/>
          <w:sz w:val="18"/>
          <w:szCs w:val="20"/>
        </w:rPr>
      </w:pPr>
      <w:r w:rsidRPr="00172F4E">
        <w:rPr>
          <w:rFonts w:ascii="Arial" w:hAnsi="Arial" w:cs="Arial"/>
          <w:i/>
          <w:sz w:val="18"/>
          <w:szCs w:val="20"/>
        </w:rPr>
        <w:t xml:space="preserve">The general government sector balance is compared with the amount of the GDP in the given quarter at current prices. The amount of </w:t>
      </w:r>
      <w:r w:rsidR="00F7063E" w:rsidRPr="00172F4E">
        <w:rPr>
          <w:rFonts w:ascii="Arial" w:hAnsi="Arial" w:cs="Arial"/>
          <w:i/>
          <w:sz w:val="18"/>
          <w:szCs w:val="20"/>
        </w:rPr>
        <w:t xml:space="preserve">the </w:t>
      </w:r>
      <w:r w:rsidRPr="00172F4E">
        <w:rPr>
          <w:rFonts w:ascii="Arial" w:hAnsi="Arial" w:cs="Arial"/>
          <w:i/>
          <w:sz w:val="18"/>
          <w:szCs w:val="20"/>
        </w:rPr>
        <w:t xml:space="preserve">consolidated general government debt is compared with the sum of quarterly GDP for the last four quarters at current prices. Fiscal indicators of quarterly government deficit and debt are published within the Transmission programme (Table 25 and Table 28) on the website </w:t>
      </w:r>
      <w:hyperlink r:id="rId9" w:history="1">
        <w:r w:rsidRPr="00172F4E">
          <w:rPr>
            <w:rStyle w:val="Hypertextovodkaz"/>
            <w:rFonts w:ascii="Arial" w:hAnsi="Arial" w:cs="Arial"/>
            <w:i/>
            <w:sz w:val="18"/>
            <w:szCs w:val="20"/>
          </w:rPr>
          <w:t>www.czso.cz</w:t>
        </w:r>
      </w:hyperlink>
      <w:r w:rsidRPr="00172F4E">
        <w:rPr>
          <w:rFonts w:ascii="Arial" w:hAnsi="Arial" w:cs="Arial"/>
          <w:i/>
          <w:sz w:val="18"/>
          <w:szCs w:val="20"/>
        </w:rPr>
        <w:t xml:space="preserve"> in the “GDP, National Accounts” section.</w:t>
      </w:r>
    </w:p>
    <w:p w:rsidR="008A5B46" w:rsidRPr="00172F4E" w:rsidRDefault="008A5B46" w:rsidP="008A5B46">
      <w:pPr>
        <w:pStyle w:val="Zkladntext"/>
        <w:spacing w:line="276" w:lineRule="auto"/>
        <w:rPr>
          <w:rFonts w:ascii="Arial" w:hAnsi="Arial" w:cs="Arial"/>
          <w:i/>
          <w:sz w:val="18"/>
          <w:szCs w:val="20"/>
        </w:rPr>
      </w:pPr>
      <w:r w:rsidRPr="00172F4E">
        <w:rPr>
          <w:rFonts w:ascii="Arial" w:hAnsi="Arial" w:cs="Arial"/>
          <w:i/>
          <w:sz w:val="18"/>
          <w:szCs w:val="20"/>
        </w:rPr>
        <w:t>(</w:t>
      </w:r>
      <w:hyperlink r:id="rId10" w:history="1">
        <w:r w:rsidRPr="00172F4E">
          <w:rPr>
            <w:rStyle w:val="Hypertextovodkaz"/>
            <w:rFonts w:ascii="Arial" w:hAnsi="Arial" w:cs="Arial"/>
            <w:i/>
            <w:sz w:val="18"/>
            <w:szCs w:val="20"/>
          </w:rPr>
          <w:t>http://apl.czso.cz/pll/rocenka/rocenka.indexnu_gov?mylang=EN</w:t>
        </w:r>
      </w:hyperlink>
      <w:r w:rsidRPr="00172F4E">
        <w:rPr>
          <w:rFonts w:ascii="Arial" w:hAnsi="Arial" w:cs="Arial"/>
          <w:i/>
          <w:sz w:val="18"/>
          <w:szCs w:val="20"/>
        </w:rPr>
        <w:t>)</w:t>
      </w:r>
    </w:p>
    <w:p w:rsidR="00375706" w:rsidRPr="00172F4E" w:rsidRDefault="00375706" w:rsidP="00375706">
      <w:pPr>
        <w:rPr>
          <w:i/>
          <w:sz w:val="18"/>
          <w:szCs w:val="18"/>
          <w:lang w:val="en-GB"/>
        </w:rPr>
      </w:pPr>
    </w:p>
    <w:p w:rsidR="005C20AA" w:rsidRPr="00172F4E" w:rsidRDefault="005C20AA" w:rsidP="00375706">
      <w:pPr>
        <w:rPr>
          <w:i/>
          <w:sz w:val="18"/>
          <w:szCs w:val="18"/>
          <w:lang w:val="en-GB"/>
        </w:rPr>
      </w:pPr>
      <w:r w:rsidRPr="00172F4E">
        <w:rPr>
          <w:rFonts w:cs="Arial"/>
          <w:i/>
          <w:sz w:val="18"/>
          <w:szCs w:val="20"/>
          <w:lang w:val="en-GB"/>
        </w:rPr>
        <w:t>Unless otherwise stated, data are not seasonally adjusted as well as they are not adjusted for calendar effects.</w:t>
      </w:r>
    </w:p>
    <w:p w:rsidR="00375706" w:rsidRPr="00172F4E" w:rsidRDefault="00375706" w:rsidP="00375706">
      <w:pPr>
        <w:pStyle w:val="Poznmky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5197"/>
      </w:tblGrid>
      <w:tr w:rsidR="00375706" w:rsidRPr="00172F4E" w:rsidTr="00A73435">
        <w:tc>
          <w:tcPr>
            <w:tcW w:w="3369" w:type="dxa"/>
          </w:tcPr>
          <w:p w:rsidR="00375706" w:rsidRPr="00172F4E" w:rsidRDefault="000E63AD" w:rsidP="00A73435">
            <w:pPr>
              <w:rPr>
                <w:i/>
                <w:iCs/>
                <w:sz w:val="18"/>
                <w:szCs w:val="18"/>
                <w:lang w:val="en-GB"/>
              </w:rPr>
            </w:pPr>
            <w:r w:rsidRPr="00172F4E">
              <w:rPr>
                <w:i/>
                <w:iCs/>
                <w:sz w:val="18"/>
                <w:szCs w:val="18"/>
                <w:lang w:val="en-GB"/>
              </w:rPr>
              <w:t>Responsible head at the CZSO</w:t>
            </w:r>
            <w:r w:rsidR="00375706" w:rsidRPr="00172F4E">
              <w:rPr>
                <w:i/>
                <w:iCs/>
                <w:sz w:val="18"/>
                <w:szCs w:val="18"/>
                <w:lang w:val="en-GB"/>
              </w:rPr>
              <w:t>:</w:t>
            </w:r>
          </w:p>
        </w:tc>
        <w:tc>
          <w:tcPr>
            <w:tcW w:w="5275" w:type="dxa"/>
          </w:tcPr>
          <w:p w:rsidR="00375706" w:rsidRPr="00172F4E" w:rsidRDefault="000E63AD" w:rsidP="00A73435">
            <w:pPr>
              <w:jc w:val="left"/>
              <w:rPr>
                <w:i/>
                <w:iCs/>
                <w:sz w:val="18"/>
                <w:szCs w:val="18"/>
                <w:lang w:val="en-GB"/>
              </w:rPr>
            </w:pPr>
            <w:r w:rsidRPr="00172F4E">
              <w:rPr>
                <w:i/>
                <w:iCs/>
                <w:sz w:val="18"/>
                <w:szCs w:val="18"/>
                <w:lang w:val="en-GB"/>
              </w:rPr>
              <w:t>Helena Houžvičková, Director of the Government and Financial Accounts Department</w:t>
            </w:r>
            <w:r w:rsidR="00375706" w:rsidRPr="00172F4E">
              <w:rPr>
                <w:i/>
                <w:iCs/>
                <w:sz w:val="18"/>
                <w:szCs w:val="18"/>
                <w:lang w:val="en-GB"/>
              </w:rPr>
              <w:t xml:space="preserve">, </w:t>
            </w:r>
          </w:p>
          <w:p w:rsidR="002B61F7" w:rsidRPr="00172F4E" w:rsidRDefault="002B61F7" w:rsidP="002B61F7">
            <w:pPr>
              <w:rPr>
                <w:i/>
                <w:iCs/>
                <w:sz w:val="18"/>
                <w:szCs w:val="18"/>
                <w:lang w:val="en-GB"/>
              </w:rPr>
            </w:pPr>
            <w:r w:rsidRPr="00172F4E">
              <w:rPr>
                <w:i/>
                <w:iCs/>
                <w:sz w:val="18"/>
                <w:szCs w:val="18"/>
                <w:lang w:val="en-GB"/>
              </w:rPr>
              <w:t xml:space="preserve">phone number: (+420) 704 688 734, </w:t>
            </w:r>
          </w:p>
          <w:p w:rsidR="00375706" w:rsidRPr="00172F4E" w:rsidRDefault="002B61F7" w:rsidP="002B61F7">
            <w:pPr>
              <w:jc w:val="left"/>
              <w:rPr>
                <w:i/>
                <w:iCs/>
                <w:sz w:val="18"/>
                <w:szCs w:val="18"/>
                <w:lang w:val="en-GB"/>
              </w:rPr>
            </w:pPr>
            <w:r w:rsidRPr="00172F4E">
              <w:rPr>
                <w:i/>
                <w:iCs/>
                <w:sz w:val="18"/>
                <w:szCs w:val="18"/>
                <w:lang w:val="en-GB"/>
              </w:rPr>
              <w:t xml:space="preserve">e-mail: </w:t>
            </w:r>
            <w:hyperlink r:id="rId11" w:history="1">
              <w:r w:rsidRPr="00172F4E">
                <w:rPr>
                  <w:rStyle w:val="Hypertextovodkaz"/>
                  <w:sz w:val="18"/>
                  <w:lang w:val="en-GB"/>
                </w:rPr>
                <w:t>helena.houzvickova@czso.cz</w:t>
              </w:r>
            </w:hyperlink>
            <w:r w:rsidR="00375706" w:rsidRPr="00172F4E">
              <w:rPr>
                <w:sz w:val="18"/>
                <w:lang w:val="en-GB"/>
              </w:rPr>
              <w:t xml:space="preserve"> </w:t>
            </w:r>
          </w:p>
        </w:tc>
      </w:tr>
      <w:tr w:rsidR="00375706" w:rsidRPr="00172F4E" w:rsidTr="00A73435">
        <w:tc>
          <w:tcPr>
            <w:tcW w:w="3369" w:type="dxa"/>
          </w:tcPr>
          <w:p w:rsidR="00375706" w:rsidRPr="00172F4E" w:rsidRDefault="00A555BD" w:rsidP="00A73435">
            <w:pPr>
              <w:rPr>
                <w:i/>
                <w:iCs/>
                <w:sz w:val="18"/>
                <w:szCs w:val="18"/>
                <w:lang w:val="en-GB"/>
              </w:rPr>
            </w:pPr>
            <w:r w:rsidRPr="00172F4E">
              <w:rPr>
                <w:i/>
                <w:iCs/>
                <w:sz w:val="18"/>
                <w:szCs w:val="18"/>
                <w:lang w:val="en-GB"/>
              </w:rPr>
              <w:t>Contact person</w:t>
            </w:r>
            <w:r w:rsidR="00375706" w:rsidRPr="00172F4E">
              <w:rPr>
                <w:i/>
                <w:iCs/>
                <w:sz w:val="18"/>
                <w:szCs w:val="18"/>
                <w:lang w:val="en-GB"/>
              </w:rPr>
              <w:t>:</w:t>
            </w:r>
          </w:p>
        </w:tc>
        <w:tc>
          <w:tcPr>
            <w:tcW w:w="5275" w:type="dxa"/>
          </w:tcPr>
          <w:p w:rsidR="00375706" w:rsidRPr="00172F4E" w:rsidRDefault="00A555BD" w:rsidP="00A73435">
            <w:pPr>
              <w:jc w:val="left"/>
              <w:rPr>
                <w:i/>
                <w:iCs/>
                <w:sz w:val="18"/>
                <w:szCs w:val="18"/>
                <w:lang w:val="en-GB"/>
              </w:rPr>
            </w:pPr>
            <w:r w:rsidRPr="00172F4E">
              <w:rPr>
                <w:i/>
                <w:iCs/>
                <w:sz w:val="18"/>
                <w:szCs w:val="18"/>
                <w:lang w:val="en-GB"/>
              </w:rPr>
              <w:t xml:space="preserve">Jaroslav Kahoun, Head of the Government Accounts Unit, phone number: (+420) 274 054 232, e-mail: </w:t>
            </w:r>
            <w:hyperlink r:id="rId12" w:history="1">
              <w:r w:rsidRPr="00172F4E">
                <w:rPr>
                  <w:rStyle w:val="Hypertextovodkaz"/>
                  <w:sz w:val="18"/>
                  <w:lang w:val="en-GB"/>
                </w:rPr>
                <w:t>jaroslav.kahoun@czso.cz</w:t>
              </w:r>
            </w:hyperlink>
            <w:r w:rsidR="00375706" w:rsidRPr="00172F4E">
              <w:rPr>
                <w:sz w:val="18"/>
                <w:lang w:val="en-GB"/>
              </w:rPr>
              <w:t xml:space="preserve"> </w:t>
            </w:r>
          </w:p>
        </w:tc>
      </w:tr>
      <w:tr w:rsidR="00375706" w:rsidRPr="00A555BD" w:rsidTr="00A73435">
        <w:tc>
          <w:tcPr>
            <w:tcW w:w="3369" w:type="dxa"/>
          </w:tcPr>
          <w:p w:rsidR="00375706" w:rsidRPr="00172F4E" w:rsidRDefault="00A555BD" w:rsidP="00A73435">
            <w:pPr>
              <w:rPr>
                <w:i/>
                <w:iCs/>
                <w:sz w:val="18"/>
                <w:szCs w:val="18"/>
                <w:lang w:val="en-GB"/>
              </w:rPr>
            </w:pPr>
            <w:r w:rsidRPr="00172F4E">
              <w:rPr>
                <w:i/>
                <w:iCs/>
                <w:sz w:val="18"/>
                <w:szCs w:val="18"/>
                <w:lang w:val="en-GB"/>
              </w:rPr>
              <w:t>The Next News Release will be published on</w:t>
            </w:r>
            <w:r w:rsidR="00375706" w:rsidRPr="00172F4E">
              <w:rPr>
                <w:i/>
                <w:iCs/>
                <w:sz w:val="18"/>
                <w:szCs w:val="18"/>
                <w:lang w:val="en-GB"/>
              </w:rPr>
              <w:t>:</w:t>
            </w:r>
          </w:p>
        </w:tc>
        <w:tc>
          <w:tcPr>
            <w:tcW w:w="5275" w:type="dxa"/>
          </w:tcPr>
          <w:p w:rsidR="00375706" w:rsidRPr="00172F4E" w:rsidRDefault="00375706" w:rsidP="00A555BD">
            <w:pPr>
              <w:rPr>
                <w:i/>
                <w:iCs/>
                <w:sz w:val="18"/>
                <w:szCs w:val="18"/>
                <w:lang w:val="en-GB"/>
              </w:rPr>
            </w:pPr>
          </w:p>
          <w:p w:rsidR="00A555BD" w:rsidRPr="00A555BD" w:rsidRDefault="00A555BD" w:rsidP="00A555BD">
            <w:pPr>
              <w:rPr>
                <w:i/>
                <w:iCs/>
                <w:sz w:val="18"/>
                <w:szCs w:val="18"/>
                <w:lang w:val="en-GB"/>
              </w:rPr>
            </w:pPr>
            <w:r w:rsidRPr="00172F4E">
              <w:rPr>
                <w:i/>
                <w:iCs/>
                <w:sz w:val="18"/>
                <w:szCs w:val="18"/>
                <w:lang w:val="en-GB"/>
              </w:rPr>
              <w:t>1 July 2022</w:t>
            </w:r>
          </w:p>
        </w:tc>
      </w:tr>
    </w:tbl>
    <w:p w:rsidR="00375706" w:rsidRPr="00A555BD" w:rsidRDefault="00375706" w:rsidP="00375706">
      <w:pPr>
        <w:rPr>
          <w:i/>
          <w:iCs/>
          <w:sz w:val="18"/>
          <w:szCs w:val="18"/>
          <w:lang w:val="en-GB"/>
        </w:rPr>
      </w:pPr>
    </w:p>
    <w:p w:rsidR="00375706" w:rsidRPr="00A555BD" w:rsidRDefault="00375706" w:rsidP="00A555BD">
      <w:pPr>
        <w:tabs>
          <w:tab w:val="left" w:pos="3402"/>
        </w:tabs>
        <w:rPr>
          <w:lang w:val="en-GB"/>
        </w:rPr>
      </w:pPr>
    </w:p>
    <w:p w:rsidR="00D209A7" w:rsidRPr="00A555BD" w:rsidRDefault="00D209A7" w:rsidP="00375706">
      <w:pPr>
        <w:rPr>
          <w:lang w:val="en-GB"/>
        </w:rPr>
      </w:pPr>
    </w:p>
    <w:sectPr w:rsidR="00D209A7" w:rsidRPr="00A555BD"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3C4" w:rsidRDefault="00A363C4" w:rsidP="00BA6370">
      <w:r>
        <w:separator/>
      </w:r>
    </w:p>
  </w:endnote>
  <w:endnote w:type="continuationSeparator" w:id="0">
    <w:p w:rsidR="00A363C4" w:rsidRDefault="00A363C4"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F37EB6">
    <w:pPr>
      <w:pStyle w:val="Zpat"/>
    </w:pPr>
    <w:r>
      <w:rPr>
        <w:noProof/>
        <w:lang w:val="cs-CZ" w:eastAsia="cs-CZ"/>
      </w:rPr>
      <mc:AlternateContent>
        <mc:Choice Requires="wps">
          <w:drawing>
            <wp:anchor distT="0" distB="0" distL="114300" distR="114300" simplePos="0" relativeHeight="251657728" behindDoc="0" locked="0" layoutInCell="1" allowOverlap="1">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784615" w:rsidRPr="00953416">
                              <w:rPr>
                                <w:rStyle w:val="Hypertextovodkaz"/>
                                <w:rFonts w:cs="Arial"/>
                                <w:b/>
                                <w:color w:val="0071BC"/>
                                <w:sz w:val="15"/>
                                <w:szCs w:val="15"/>
                              </w:rPr>
                              <w:t>www.czso.cz</w:t>
                            </w:r>
                          </w:hyperlink>
                        </w:p>
                        <w:p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953416">
                              <w:rPr>
                                <w:rStyle w:val="Hypertextovodkaz"/>
                                <w:rFonts w:cs="Arial"/>
                                <w:color w:val="0071BC"/>
                                <w:sz w:val="15"/>
                                <w:szCs w:val="15"/>
                              </w:rPr>
                              <w:t>infoservis@czso.cz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2A1C0B">
                            <w:rPr>
                              <w:rFonts w:cs="Arial"/>
                              <w:noProof/>
                              <w:szCs w:val="15"/>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784615" w:rsidRPr="00953416">
                        <w:rPr>
                          <w:rStyle w:val="Hypertextovodkaz"/>
                          <w:rFonts w:cs="Arial"/>
                          <w:b/>
                          <w:color w:val="0071BC"/>
                          <w:sz w:val="15"/>
                          <w:szCs w:val="15"/>
                        </w:rPr>
                        <w:t>www.czso.cz</w:t>
                      </w:r>
                    </w:hyperlink>
                  </w:p>
                  <w:p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953416">
                        <w:rPr>
                          <w:rStyle w:val="Hypertextovodkaz"/>
                          <w:rFonts w:cs="Arial"/>
                          <w:color w:val="0071BC"/>
                          <w:sz w:val="15"/>
                          <w:szCs w:val="15"/>
                        </w:rPr>
                        <w:t>infoservis@czso.cz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2A1C0B">
                      <w:rPr>
                        <w:rFonts w:cs="Arial"/>
                        <w:noProof/>
                        <w:szCs w:val="15"/>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5A2497"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3C4" w:rsidRDefault="00A363C4" w:rsidP="00BA6370">
      <w:r>
        <w:separator/>
      </w:r>
    </w:p>
  </w:footnote>
  <w:footnote w:type="continuationSeparator" w:id="0">
    <w:p w:rsidR="00A363C4" w:rsidRDefault="00A363C4"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F37EB6">
    <w:pPr>
      <w:pStyle w:val="Zhlav"/>
    </w:pPr>
    <w:r>
      <w:rPr>
        <w:noProof/>
        <w:lang w:val="cs-CZ" w:eastAsia="cs-CZ"/>
      </w:rPr>
      <mc:AlternateContent>
        <mc:Choice Requires="wpg">
          <w:drawing>
            <wp:anchor distT="0" distB="0" distL="114300" distR="114300" simplePos="0" relativeHeight="251658752" behindDoc="0" locked="0" layoutInCell="1" allowOverlap="1">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D3B96"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B6"/>
    <w:rsid w:val="00027299"/>
    <w:rsid w:val="00043BF4"/>
    <w:rsid w:val="00064652"/>
    <w:rsid w:val="00076550"/>
    <w:rsid w:val="000843A5"/>
    <w:rsid w:val="00091722"/>
    <w:rsid w:val="000B6773"/>
    <w:rsid w:val="000B6F63"/>
    <w:rsid w:val="000D41B9"/>
    <w:rsid w:val="000E63AD"/>
    <w:rsid w:val="000F186D"/>
    <w:rsid w:val="00116ED1"/>
    <w:rsid w:val="00123849"/>
    <w:rsid w:val="00131F3C"/>
    <w:rsid w:val="0013242C"/>
    <w:rsid w:val="001404AB"/>
    <w:rsid w:val="001427B6"/>
    <w:rsid w:val="0017231D"/>
    <w:rsid w:val="00172F4E"/>
    <w:rsid w:val="00176E26"/>
    <w:rsid w:val="0018061F"/>
    <w:rsid w:val="001810DC"/>
    <w:rsid w:val="001B3556"/>
    <w:rsid w:val="001B607F"/>
    <w:rsid w:val="001C71FD"/>
    <w:rsid w:val="001D0252"/>
    <w:rsid w:val="001D369A"/>
    <w:rsid w:val="001F08B3"/>
    <w:rsid w:val="00203A38"/>
    <w:rsid w:val="002070FB"/>
    <w:rsid w:val="00213729"/>
    <w:rsid w:val="00214E92"/>
    <w:rsid w:val="002406FA"/>
    <w:rsid w:val="00297900"/>
    <w:rsid w:val="002A1C0B"/>
    <w:rsid w:val="002B2A19"/>
    <w:rsid w:val="002B2E47"/>
    <w:rsid w:val="002B61F7"/>
    <w:rsid w:val="002D37F5"/>
    <w:rsid w:val="0030264F"/>
    <w:rsid w:val="00304C19"/>
    <w:rsid w:val="0032398D"/>
    <w:rsid w:val="003301A3"/>
    <w:rsid w:val="0036777B"/>
    <w:rsid w:val="00375706"/>
    <w:rsid w:val="00380178"/>
    <w:rsid w:val="0038282A"/>
    <w:rsid w:val="00397580"/>
    <w:rsid w:val="003A45C8"/>
    <w:rsid w:val="003B7F42"/>
    <w:rsid w:val="003C2DCF"/>
    <w:rsid w:val="003C3372"/>
    <w:rsid w:val="003C7FE7"/>
    <w:rsid w:val="003D0499"/>
    <w:rsid w:val="003D3576"/>
    <w:rsid w:val="003F526A"/>
    <w:rsid w:val="00405244"/>
    <w:rsid w:val="00436D82"/>
    <w:rsid w:val="004436EE"/>
    <w:rsid w:val="0045547F"/>
    <w:rsid w:val="004920AD"/>
    <w:rsid w:val="004D05B3"/>
    <w:rsid w:val="004E479E"/>
    <w:rsid w:val="004F78E6"/>
    <w:rsid w:val="00512D99"/>
    <w:rsid w:val="00531DBB"/>
    <w:rsid w:val="00564213"/>
    <w:rsid w:val="0057581B"/>
    <w:rsid w:val="005C20AA"/>
    <w:rsid w:val="005F79FB"/>
    <w:rsid w:val="00604406"/>
    <w:rsid w:val="00605F4A"/>
    <w:rsid w:val="00607822"/>
    <w:rsid w:val="006103AA"/>
    <w:rsid w:val="00613BBF"/>
    <w:rsid w:val="00622B80"/>
    <w:rsid w:val="0064139A"/>
    <w:rsid w:val="00646DF0"/>
    <w:rsid w:val="006B271C"/>
    <w:rsid w:val="006C4774"/>
    <w:rsid w:val="006D5C60"/>
    <w:rsid w:val="006E024F"/>
    <w:rsid w:val="006E4E81"/>
    <w:rsid w:val="00707F7D"/>
    <w:rsid w:val="00717EC5"/>
    <w:rsid w:val="00755D8B"/>
    <w:rsid w:val="00763787"/>
    <w:rsid w:val="00783A3B"/>
    <w:rsid w:val="00784615"/>
    <w:rsid w:val="00785441"/>
    <w:rsid w:val="00793D5F"/>
    <w:rsid w:val="007967D7"/>
    <w:rsid w:val="007A0CA5"/>
    <w:rsid w:val="007A57F2"/>
    <w:rsid w:val="007B1333"/>
    <w:rsid w:val="007B296D"/>
    <w:rsid w:val="007F4AEB"/>
    <w:rsid w:val="007F75B2"/>
    <w:rsid w:val="008043C4"/>
    <w:rsid w:val="00831B1B"/>
    <w:rsid w:val="00855FB3"/>
    <w:rsid w:val="00861D0E"/>
    <w:rsid w:val="00866325"/>
    <w:rsid w:val="00867569"/>
    <w:rsid w:val="0087438C"/>
    <w:rsid w:val="00881D66"/>
    <w:rsid w:val="00884090"/>
    <w:rsid w:val="00885C0D"/>
    <w:rsid w:val="0089708D"/>
    <w:rsid w:val="008A5B46"/>
    <w:rsid w:val="008A750A"/>
    <w:rsid w:val="008B3970"/>
    <w:rsid w:val="008C384C"/>
    <w:rsid w:val="008C4770"/>
    <w:rsid w:val="008D0F11"/>
    <w:rsid w:val="008F73B4"/>
    <w:rsid w:val="009035E8"/>
    <w:rsid w:val="00943F6C"/>
    <w:rsid w:val="00953416"/>
    <w:rsid w:val="00971374"/>
    <w:rsid w:val="00982D15"/>
    <w:rsid w:val="00987912"/>
    <w:rsid w:val="0099333B"/>
    <w:rsid w:val="00996918"/>
    <w:rsid w:val="009B55B1"/>
    <w:rsid w:val="009C4D55"/>
    <w:rsid w:val="009E39C5"/>
    <w:rsid w:val="009F110C"/>
    <w:rsid w:val="00A07BA7"/>
    <w:rsid w:val="00A17409"/>
    <w:rsid w:val="00A363C4"/>
    <w:rsid w:val="00A4343D"/>
    <w:rsid w:val="00A502F1"/>
    <w:rsid w:val="00A555BD"/>
    <w:rsid w:val="00A70377"/>
    <w:rsid w:val="00A70A83"/>
    <w:rsid w:val="00A74374"/>
    <w:rsid w:val="00A81EB3"/>
    <w:rsid w:val="00AB6196"/>
    <w:rsid w:val="00AC3140"/>
    <w:rsid w:val="00B00C1D"/>
    <w:rsid w:val="00B05DBF"/>
    <w:rsid w:val="00B522E8"/>
    <w:rsid w:val="00B632CC"/>
    <w:rsid w:val="00B926FB"/>
    <w:rsid w:val="00BA12F1"/>
    <w:rsid w:val="00BA439F"/>
    <w:rsid w:val="00BA6370"/>
    <w:rsid w:val="00BE29B9"/>
    <w:rsid w:val="00BE6592"/>
    <w:rsid w:val="00C269D4"/>
    <w:rsid w:val="00C4160D"/>
    <w:rsid w:val="00C54AF1"/>
    <w:rsid w:val="00C8406E"/>
    <w:rsid w:val="00CB2709"/>
    <w:rsid w:val="00CB6F89"/>
    <w:rsid w:val="00CD47EB"/>
    <w:rsid w:val="00CE228C"/>
    <w:rsid w:val="00CE71D9"/>
    <w:rsid w:val="00CF545B"/>
    <w:rsid w:val="00CF7302"/>
    <w:rsid w:val="00D079D2"/>
    <w:rsid w:val="00D209A7"/>
    <w:rsid w:val="00D27D69"/>
    <w:rsid w:val="00D448C2"/>
    <w:rsid w:val="00D63731"/>
    <w:rsid w:val="00D666C3"/>
    <w:rsid w:val="00D811AB"/>
    <w:rsid w:val="00D97DD8"/>
    <w:rsid w:val="00DF47FE"/>
    <w:rsid w:val="00DF5C2B"/>
    <w:rsid w:val="00E0156A"/>
    <w:rsid w:val="00E050EB"/>
    <w:rsid w:val="00E1630A"/>
    <w:rsid w:val="00E26704"/>
    <w:rsid w:val="00E31980"/>
    <w:rsid w:val="00E55CE2"/>
    <w:rsid w:val="00E6423C"/>
    <w:rsid w:val="00E71483"/>
    <w:rsid w:val="00E93830"/>
    <w:rsid w:val="00E93E0E"/>
    <w:rsid w:val="00EB1A25"/>
    <w:rsid w:val="00EB1ED3"/>
    <w:rsid w:val="00EE26DF"/>
    <w:rsid w:val="00EE70B7"/>
    <w:rsid w:val="00F314B7"/>
    <w:rsid w:val="00F37EB6"/>
    <w:rsid w:val="00F7063E"/>
    <w:rsid w:val="00F83C49"/>
    <w:rsid w:val="00F94CDB"/>
    <w:rsid w:val="00FB687C"/>
    <w:rsid w:val="00FE114D"/>
    <w:rsid w:val="00FE3782"/>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5:docId w15:val="{05E333AF-0FF6-40DB-B320-F3E5AD53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75706"/>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val="en-GB"/>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37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A5B46"/>
    <w:pPr>
      <w:spacing w:line="240" w:lineRule="auto"/>
    </w:pPr>
    <w:rPr>
      <w:rFonts w:ascii="Times New Roman" w:eastAsia="Times New Roman" w:hAnsi="Times New Roman"/>
      <w:sz w:val="24"/>
      <w:szCs w:val="24"/>
      <w:lang w:val="en-GB"/>
    </w:rPr>
  </w:style>
  <w:style w:type="character" w:customStyle="1" w:styleId="ZkladntextChar">
    <w:name w:val="Základní text Char"/>
    <w:basedOn w:val="Standardnpsmoodstavce"/>
    <w:link w:val="Zkladntext"/>
    <w:rsid w:val="008A5B46"/>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DF5C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mailto:jaroslav.kahoun@czso.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lena.houzvickova@czso.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pl.czso.cz/pll/rocenka/rocenka.indexnu_gov?mylang=EN" TargetMode="External"/><Relationship Id="rId4" Type="http://schemas.openxmlformats.org/officeDocument/2006/relationships/webSettings" Target="webSettings.xml"/><Relationship Id="rId9" Type="http://schemas.openxmlformats.org/officeDocument/2006/relationships/hyperlink" Target="http://www.czso.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infoservis@czso.cz" TargetMode="External"/><Relationship Id="rId1" Type="http://schemas.openxmlformats.org/officeDocument/2006/relationships/hyperlink" Target="http://www.czso.cz" TargetMode="External"/><Relationship Id="rId4"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AppData\Local\Temp\Rychl&#225;%20informace%20ENG_2022-02-0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BFS3\BARANNU\nu\vl&#225;da\RYCHL&#193;%20INFORMACE%20-%20Q%20deficit%20a%20dluh\DATA\4Q202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ABFS3\BARANNU\nu\vl&#225;da\RYCHL&#193;%20INFORMACE%20-%20Q%20deficit%20a%20dluh\DATA\4Q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33573928258968"/>
          <c:y val="5.1400554097404488E-2"/>
          <c:w val="0.79323140857392815"/>
          <c:h val="0.66924941673957428"/>
        </c:manualLayout>
      </c:layout>
      <c:barChart>
        <c:barDir val="col"/>
        <c:grouping val="clustered"/>
        <c:varyColors val="0"/>
        <c:ser>
          <c:idx val="0"/>
          <c:order val="0"/>
          <c:tx>
            <c:strRef>
              <c:f>graf_EN1!$B$3</c:f>
              <c:strCache>
                <c:ptCount val="1"/>
                <c:pt idx="0">
                  <c:v>CZK bn</c:v>
                </c:pt>
              </c:strCache>
            </c:strRef>
          </c:tx>
          <c:spPr>
            <a:solidFill>
              <a:srgbClr val="0066CC"/>
            </a:solidFill>
          </c:spPr>
          <c:invertIfNegative val="0"/>
          <c:dLbls>
            <c:numFmt formatCode="#,##0.0" sourceLinked="0"/>
            <c:spPr>
              <a:noFill/>
              <a:ln>
                <a:noFill/>
              </a:ln>
              <a:effectLst/>
            </c:spPr>
            <c:txPr>
              <a:bodyPr rot="-5400000" vert="horz" wrap="square" lIns="38100" tIns="19050" rIns="38100" bIns="19050" anchor="ctr">
                <a:spAutoFit/>
              </a:bodyPr>
              <a:lstStyle/>
              <a:p>
                <a:pPr>
                  <a:defRPr>
                    <a:solidFill>
                      <a:schemeClr val="bg1"/>
                    </a:solidFill>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graf_EN1!$P$2:$X$2</c:f>
              <c:strCache>
                <c:ptCount val="9"/>
                <c:pt idx="0">
                  <c:v>Q4 2019</c:v>
                </c:pt>
                <c:pt idx="1">
                  <c:v>Q1 2020</c:v>
                </c:pt>
                <c:pt idx="2">
                  <c:v>Q2 2020</c:v>
                </c:pt>
                <c:pt idx="3">
                  <c:v>Q3 2020</c:v>
                </c:pt>
                <c:pt idx="4">
                  <c:v>Q4 2020</c:v>
                </c:pt>
                <c:pt idx="5">
                  <c:v>Q1 2021</c:v>
                </c:pt>
                <c:pt idx="6">
                  <c:v>Q2 2021</c:v>
                </c:pt>
                <c:pt idx="7">
                  <c:v>Q3 2021</c:v>
                </c:pt>
                <c:pt idx="8">
                  <c:v>Q4 2021</c:v>
                </c:pt>
              </c:strCache>
            </c:strRef>
          </c:cat>
          <c:val>
            <c:numRef>
              <c:f>graf_EN1!$P$3:$X$3</c:f>
              <c:numCache>
                <c:formatCode>#,##0</c:formatCode>
                <c:ptCount val="9"/>
                <c:pt idx="0">
                  <c:v>1740.2629999999999</c:v>
                </c:pt>
                <c:pt idx="1">
                  <c:v>1889.221</c:v>
                </c:pt>
                <c:pt idx="2">
                  <c:v>2265.056</c:v>
                </c:pt>
                <c:pt idx="3">
                  <c:v>2173.1439999999998</c:v>
                </c:pt>
                <c:pt idx="4">
                  <c:v>2149.268</c:v>
                </c:pt>
                <c:pt idx="5">
                  <c:v>2512.5239999999999</c:v>
                </c:pt>
                <c:pt idx="6">
                  <c:v>2516.9229999999998</c:v>
                </c:pt>
                <c:pt idx="7">
                  <c:v>2433.2849999999999</c:v>
                </c:pt>
                <c:pt idx="8">
                  <c:v>2566.587</c:v>
                </c:pt>
              </c:numCache>
            </c:numRef>
          </c:val>
          <c:extLst>
            <c:ext xmlns:c16="http://schemas.microsoft.com/office/drawing/2014/chart" uri="{C3380CC4-5D6E-409C-BE32-E72D297353CC}">
              <c16:uniqueId val="{00000000-8E85-4556-8144-62D330CCB493}"/>
            </c:ext>
          </c:extLst>
        </c:ser>
        <c:dLbls>
          <c:showLegendKey val="0"/>
          <c:showVal val="0"/>
          <c:showCatName val="0"/>
          <c:showSerName val="0"/>
          <c:showPercent val="0"/>
          <c:showBubbleSize val="0"/>
        </c:dLbls>
        <c:gapWidth val="51"/>
        <c:axId val="199040384"/>
        <c:axId val="199062656"/>
      </c:barChart>
      <c:scatterChart>
        <c:scatterStyle val="lineMarker"/>
        <c:varyColors val="0"/>
        <c:ser>
          <c:idx val="1"/>
          <c:order val="1"/>
          <c:tx>
            <c:strRef>
              <c:f>graf_EN1!$B$4</c:f>
              <c:strCache>
                <c:ptCount val="1"/>
                <c:pt idx="0">
                  <c:v>% of GDP</c:v>
                </c:pt>
              </c:strCache>
            </c:strRef>
          </c:tx>
          <c:spPr>
            <a:ln w="28575">
              <a:noFill/>
            </a:ln>
          </c:spPr>
          <c:marker>
            <c:symbol val="circle"/>
            <c:size val="7"/>
            <c:spPr>
              <a:solidFill>
                <a:srgbClr val="FF0000"/>
              </a:solidFill>
            </c:spPr>
          </c:marker>
          <c:dLbls>
            <c:spPr>
              <a:noFill/>
              <a:ln>
                <a:noFill/>
              </a:ln>
              <a:effectLst/>
            </c:spPr>
            <c:txPr>
              <a:bodyPr/>
              <a:lstStyle/>
              <a:p>
                <a:pPr>
                  <a:defRPr>
                    <a:solidFill>
                      <a:sysClr val="windowText" lastClr="000000"/>
                    </a:solidFill>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xVal>
            <c:strRef>
              <c:f>graf_EN1!$P$2:$X$2</c:f>
              <c:strCache>
                <c:ptCount val="9"/>
                <c:pt idx="0">
                  <c:v>Q4 2019</c:v>
                </c:pt>
                <c:pt idx="1">
                  <c:v>Q1 2020</c:v>
                </c:pt>
                <c:pt idx="2">
                  <c:v>Q2 2020</c:v>
                </c:pt>
                <c:pt idx="3">
                  <c:v>Q3 2020</c:v>
                </c:pt>
                <c:pt idx="4">
                  <c:v>Q4 2020</c:v>
                </c:pt>
                <c:pt idx="5">
                  <c:v>Q1 2021</c:v>
                </c:pt>
                <c:pt idx="6">
                  <c:v>Q2 2021</c:v>
                </c:pt>
                <c:pt idx="7">
                  <c:v>Q3 2021</c:v>
                </c:pt>
                <c:pt idx="8">
                  <c:v>Q4 2021</c:v>
                </c:pt>
              </c:strCache>
            </c:strRef>
          </c:xVal>
          <c:yVal>
            <c:numRef>
              <c:f>graf_EN1!$P$4:$X$4</c:f>
              <c:numCache>
                <c:formatCode>0.0</c:formatCode>
                <c:ptCount val="9"/>
                <c:pt idx="0">
                  <c:v>30.05</c:v>
                </c:pt>
                <c:pt idx="1">
                  <c:v>32.42</c:v>
                </c:pt>
                <c:pt idx="2">
                  <c:v>39.56</c:v>
                </c:pt>
                <c:pt idx="3">
                  <c:v>38.11</c:v>
                </c:pt>
                <c:pt idx="4">
                  <c:v>37.74</c:v>
                </c:pt>
                <c:pt idx="5">
                  <c:v>43.99</c:v>
                </c:pt>
                <c:pt idx="6">
                  <c:v>42.63</c:v>
                </c:pt>
                <c:pt idx="7">
                  <c:v>40.43</c:v>
                </c:pt>
                <c:pt idx="8">
                  <c:v>41.93</c:v>
                </c:pt>
              </c:numCache>
            </c:numRef>
          </c:yVal>
          <c:smooth val="0"/>
          <c:extLst>
            <c:ext xmlns:c16="http://schemas.microsoft.com/office/drawing/2014/chart" uri="{C3380CC4-5D6E-409C-BE32-E72D297353CC}">
              <c16:uniqueId val="{00000001-8E85-4556-8144-62D330CCB493}"/>
            </c:ext>
          </c:extLst>
        </c:ser>
        <c:dLbls>
          <c:showLegendKey val="0"/>
          <c:showVal val="0"/>
          <c:showCatName val="0"/>
          <c:showSerName val="0"/>
          <c:showPercent val="0"/>
          <c:showBubbleSize val="0"/>
        </c:dLbls>
        <c:axId val="199066752"/>
        <c:axId val="199064576"/>
      </c:scatterChart>
      <c:catAx>
        <c:axId val="199040384"/>
        <c:scaling>
          <c:orientation val="minMax"/>
        </c:scaling>
        <c:delete val="0"/>
        <c:axPos val="b"/>
        <c:numFmt formatCode="General" sourceLinked="0"/>
        <c:majorTickMark val="out"/>
        <c:minorTickMark val="none"/>
        <c:tickLblPos val="nextTo"/>
        <c:crossAx val="199062656"/>
        <c:crosses val="autoZero"/>
        <c:auto val="1"/>
        <c:lblAlgn val="ctr"/>
        <c:lblOffset val="100"/>
        <c:noMultiLvlLbl val="0"/>
      </c:catAx>
      <c:valAx>
        <c:axId val="199062656"/>
        <c:scaling>
          <c:orientation val="minMax"/>
        </c:scaling>
        <c:delete val="0"/>
        <c:axPos val="l"/>
        <c:majorGridlines>
          <c:spPr>
            <a:ln>
              <a:noFill/>
            </a:ln>
          </c:spPr>
        </c:majorGridlines>
        <c:title>
          <c:tx>
            <c:rich>
              <a:bodyPr rot="-5400000" vert="horz"/>
              <a:lstStyle/>
              <a:p>
                <a:pPr>
                  <a:defRPr b="0"/>
                </a:pPr>
                <a:r>
                  <a:rPr lang="cs-CZ" b="0"/>
                  <a:t>CZK bn</a:t>
                </a:r>
              </a:p>
            </c:rich>
          </c:tx>
          <c:layout>
            <c:manualLayout>
              <c:xMode val="edge"/>
              <c:yMode val="edge"/>
              <c:x val="5.5555555555555558E-3"/>
              <c:y val="0.31484470691163602"/>
            </c:manualLayout>
          </c:layout>
          <c:overlay val="0"/>
        </c:title>
        <c:numFmt formatCode="#,##0" sourceLinked="1"/>
        <c:majorTickMark val="out"/>
        <c:minorTickMark val="none"/>
        <c:tickLblPos val="nextTo"/>
        <c:crossAx val="199040384"/>
        <c:crosses val="autoZero"/>
        <c:crossBetween val="between"/>
      </c:valAx>
      <c:valAx>
        <c:axId val="199064576"/>
        <c:scaling>
          <c:orientation val="minMax"/>
          <c:max val="45"/>
          <c:min val="0"/>
        </c:scaling>
        <c:delete val="0"/>
        <c:axPos val="r"/>
        <c:title>
          <c:tx>
            <c:rich>
              <a:bodyPr rot="-5400000" vert="horz"/>
              <a:lstStyle/>
              <a:p>
                <a:pPr>
                  <a:defRPr b="0"/>
                </a:pPr>
                <a:r>
                  <a:rPr lang="cs-CZ" b="0"/>
                  <a:t>% of GDP</a:t>
                </a:r>
              </a:p>
            </c:rich>
          </c:tx>
          <c:layout/>
          <c:overlay val="0"/>
        </c:title>
        <c:numFmt formatCode="0" sourceLinked="0"/>
        <c:majorTickMark val="out"/>
        <c:minorTickMark val="none"/>
        <c:tickLblPos val="high"/>
        <c:crossAx val="199066752"/>
        <c:crosses val="max"/>
        <c:crossBetween val="midCat"/>
      </c:valAx>
      <c:valAx>
        <c:axId val="199066752"/>
        <c:scaling>
          <c:orientation val="minMax"/>
        </c:scaling>
        <c:delete val="1"/>
        <c:axPos val="b"/>
        <c:majorTickMark val="out"/>
        <c:minorTickMark val="none"/>
        <c:tickLblPos val="nextTo"/>
        <c:crossAx val="199064576"/>
        <c:crosses val="autoZero"/>
        <c:crossBetween val="midCat"/>
      </c:valAx>
    </c:plotArea>
    <c:legend>
      <c:legendPos val="b"/>
      <c:layou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35038659484416E-2"/>
          <c:y val="4.1085881556253576E-2"/>
          <c:w val="0.90350569010863835"/>
          <c:h val="0.83847678435006567"/>
        </c:manualLayout>
      </c:layout>
      <c:lineChart>
        <c:grouping val="standard"/>
        <c:varyColors val="0"/>
        <c:ser>
          <c:idx val="0"/>
          <c:order val="0"/>
          <c:tx>
            <c:strRef>
              <c:f>'SEZ _EN'!$E$2</c:f>
              <c:strCache>
                <c:ptCount val="1"/>
                <c:pt idx="0">
                  <c:v>% GDP</c:v>
                </c:pt>
              </c:strCache>
            </c:strRef>
          </c:tx>
          <c:spPr>
            <a:ln w="28575" cap="rnd">
              <a:solidFill>
                <a:srgbClr val="0066CC"/>
              </a:solidFill>
              <a:round/>
            </a:ln>
            <a:effectLst/>
          </c:spPr>
          <c:marker>
            <c:symbol val="circle"/>
            <c:size val="5"/>
            <c:spPr>
              <a:solidFill>
                <a:srgbClr val="0066CC"/>
              </a:solidFill>
              <a:ln w="9525">
                <a:solidFill>
                  <a:schemeClr val="accent1"/>
                </a:solidFill>
              </a:ln>
              <a:effectLst/>
            </c:spPr>
          </c:marker>
          <c:dLbls>
            <c:dLbl>
              <c:idx val="0"/>
              <c:layout>
                <c:manualLayout>
                  <c:x val="-3.1121289685525903E-2"/>
                  <c:y val="8.14724854308465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695-4F80-9F32-7EC842AB5C73}"/>
                </c:ext>
              </c:extLst>
            </c:dLbl>
            <c:dLbl>
              <c:idx val="1"/>
              <c:layout>
                <c:manualLayout>
                  <c:x val="-5.2744404521133319E-2"/>
                  <c:y val="5.65429956848614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695-4F80-9F32-7EC842AB5C73}"/>
                </c:ext>
              </c:extLst>
            </c:dLbl>
            <c:dLbl>
              <c:idx val="2"/>
              <c:layout>
                <c:manualLayout>
                  <c:x val="-3.2342590724285795E-2"/>
                  <c:y val="7.91663330219316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695-4F80-9F32-7EC842AB5C73}"/>
                </c:ext>
              </c:extLst>
            </c:dLbl>
            <c:dLbl>
              <c:idx val="3"/>
              <c:layout>
                <c:manualLayout>
                  <c:x val="-3.3222597156041048E-2"/>
                  <c:y val="8.60176164420125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695-4F80-9F32-7EC842AB5C73}"/>
                </c:ext>
              </c:extLst>
            </c:dLbl>
            <c:dLbl>
              <c:idx val="4"/>
              <c:layout>
                <c:manualLayout>
                  <c:x val="-4.144017604314159E-2"/>
                  <c:y val="6.472930290493349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695-4F80-9F32-7EC842AB5C73}"/>
                </c:ext>
              </c:extLst>
            </c:dLbl>
            <c:dLbl>
              <c:idx val="5"/>
              <c:layout>
                <c:manualLayout>
                  <c:x val="-4.0093658076517928E-2"/>
                  <c:y val="6.69713955247119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695-4F80-9F32-7EC842AB5C73}"/>
                </c:ext>
              </c:extLst>
            </c:dLbl>
            <c:dLbl>
              <c:idx val="6"/>
              <c:layout>
                <c:manualLayout>
                  <c:x val="-3.1064785110835293E-2"/>
                  <c:y val="7.94274656345922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695-4F80-9F32-7EC842AB5C73}"/>
                </c:ext>
              </c:extLst>
            </c:dLbl>
            <c:dLbl>
              <c:idx val="7"/>
              <c:layout>
                <c:manualLayout>
                  <c:x val="-3.161814626976505E-2"/>
                  <c:y val="5.32190044041103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695-4F80-9F32-7EC842AB5C73}"/>
                </c:ext>
              </c:extLst>
            </c:dLbl>
            <c:dLbl>
              <c:idx val="8"/>
              <c:layout>
                <c:manualLayout>
                  <c:x val="-2.9078753948562512E-2"/>
                  <c:y val="5.47328617821077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695-4F80-9F32-7EC842AB5C7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'SEZ _EN'!$A$74:$A$82</c:f>
              <c:strCache>
                <c:ptCount val="9"/>
                <c:pt idx="0">
                  <c:v>Q4 2019</c:v>
                </c:pt>
                <c:pt idx="1">
                  <c:v>Q1 2020</c:v>
                </c:pt>
                <c:pt idx="2">
                  <c:v>Q2 2020</c:v>
                </c:pt>
                <c:pt idx="3">
                  <c:v>Q3 2020</c:v>
                </c:pt>
                <c:pt idx="4">
                  <c:v>Q4 2020</c:v>
                </c:pt>
                <c:pt idx="5">
                  <c:v>Q1 2021</c:v>
                </c:pt>
                <c:pt idx="6">
                  <c:v>Q2 2021</c:v>
                </c:pt>
                <c:pt idx="7">
                  <c:v>Q3 2021</c:v>
                </c:pt>
                <c:pt idx="8">
                  <c:v>Q4 2021</c:v>
                </c:pt>
              </c:strCache>
            </c:strRef>
          </c:cat>
          <c:val>
            <c:numRef>
              <c:f>'SEZ _EN'!$E$74:$E$82</c:f>
              <c:numCache>
                <c:formatCode>0.0</c:formatCode>
                <c:ptCount val="9"/>
                <c:pt idx="0">
                  <c:v>-0.65499382740766732</c:v>
                </c:pt>
                <c:pt idx="1">
                  <c:v>-2.5347046320565627</c:v>
                </c:pt>
                <c:pt idx="2">
                  <c:v>-8.2248804614434903</c:v>
                </c:pt>
                <c:pt idx="3">
                  <c:v>-5.426801388477414</c:v>
                </c:pt>
                <c:pt idx="4">
                  <c:v>-7.124691838588296</c:v>
                </c:pt>
                <c:pt idx="5">
                  <c:v>-7.8572183413449821</c:v>
                </c:pt>
                <c:pt idx="6">
                  <c:v>-4.9579544632701502</c:v>
                </c:pt>
                <c:pt idx="7">
                  <c:v>-5.6538243049119998</c:v>
                </c:pt>
                <c:pt idx="8">
                  <c:v>-5.091114719981638</c:v>
                </c:pt>
              </c:numCache>
            </c:numRef>
          </c:val>
          <c:smooth val="0"/>
          <c:extLst>
            <c:ext xmlns:c16="http://schemas.microsoft.com/office/drawing/2014/chart" uri="{C3380CC4-5D6E-409C-BE32-E72D297353CC}">
              <c16:uniqueId val="{00000009-1695-4F80-9F32-7EC842AB5C73}"/>
            </c:ext>
          </c:extLst>
        </c:ser>
        <c:dLbls>
          <c:showLegendKey val="0"/>
          <c:showVal val="0"/>
          <c:showCatName val="0"/>
          <c:showSerName val="0"/>
          <c:showPercent val="0"/>
          <c:showBubbleSize val="0"/>
        </c:dLbls>
        <c:marker val="1"/>
        <c:smooth val="0"/>
        <c:axId val="548997200"/>
        <c:axId val="333288000"/>
      </c:lineChart>
      <c:catAx>
        <c:axId val="5489972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333288000"/>
        <c:crosses val="autoZero"/>
        <c:auto val="1"/>
        <c:lblAlgn val="ctr"/>
        <c:lblOffset val="100"/>
        <c:noMultiLvlLbl val="0"/>
      </c:catAx>
      <c:valAx>
        <c:axId val="333288000"/>
        <c:scaling>
          <c:orientation val="minMax"/>
          <c:max val="3"/>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sz="800">
                    <a:solidFill>
                      <a:schemeClr val="tx1"/>
                    </a:solidFill>
                    <a:latin typeface="Arial" panose="020B0604020202020204" pitchFamily="34" charset="0"/>
                    <a:cs typeface="Arial" panose="020B0604020202020204" pitchFamily="34" charset="0"/>
                  </a:rPr>
                  <a:t>% of </a:t>
                </a:r>
                <a:r>
                  <a:rPr lang="cs-CZ" sz="800" baseline="0">
                    <a:solidFill>
                      <a:schemeClr val="tx1"/>
                    </a:solidFill>
                    <a:latin typeface="Arial" panose="020B0604020202020204" pitchFamily="34" charset="0"/>
                    <a:cs typeface="Arial" panose="020B0604020202020204" pitchFamily="34" charset="0"/>
                  </a:rPr>
                  <a:t> GDP</a:t>
                </a:r>
                <a:endParaRPr lang="cs-CZ" sz="800">
                  <a:solidFill>
                    <a:schemeClr val="tx1"/>
                  </a:solidFill>
                  <a:latin typeface="Arial" panose="020B0604020202020204" pitchFamily="34" charset="0"/>
                  <a:cs typeface="Arial" panose="020B0604020202020204" pitchFamily="34" charset="0"/>
                </a:endParaRPr>
              </a:p>
            </c:rich>
          </c:tx>
          <c:layout>
            <c:manualLayout>
              <c:xMode val="edge"/>
              <c:yMode val="edge"/>
              <c:x val="8.3594580109196247E-3"/>
              <c:y val="0.3416895364928043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0.0" sourceLinked="1"/>
        <c:majorTickMark val="out"/>
        <c:minorTickMark val="none"/>
        <c:tickLblPos val="nextTo"/>
        <c:spPr>
          <a:solidFill>
            <a:sysClr val="window" lastClr="FFFFFF"/>
          </a:solid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548997200"/>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3C32-6DAA-485D-940E-D693C0A1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0</TotalTime>
  <Pages>3</Pages>
  <Words>796</Words>
  <Characters>4701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5487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matousova9707</dc:creator>
  <cp:lastModifiedBy>Helena Houžvičková</cp:lastModifiedBy>
  <cp:revision>2</cp:revision>
  <dcterms:created xsi:type="dcterms:W3CDTF">2022-03-31T06:17:00Z</dcterms:created>
  <dcterms:modified xsi:type="dcterms:W3CDTF">2022-03-31T06:17:00Z</dcterms:modified>
</cp:coreProperties>
</file>