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7" w:rsidRPr="000533DD" w:rsidRDefault="006B0833" w:rsidP="00DF3F77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DF3F77" w:rsidRPr="000533DD">
        <w:rPr>
          <w:lang w:val="cs-CZ"/>
        </w:rPr>
        <w:t xml:space="preserve">. </w:t>
      </w:r>
      <w:r w:rsidR="00AD7A9B">
        <w:rPr>
          <w:lang w:val="cs-CZ"/>
        </w:rPr>
        <w:t>2</w:t>
      </w:r>
      <w:r w:rsidR="00DF3F77" w:rsidRPr="000533DD">
        <w:rPr>
          <w:lang w:val="cs-CZ"/>
        </w:rPr>
        <w:t>. 202</w:t>
      </w:r>
      <w:r>
        <w:rPr>
          <w:lang w:val="cs-CZ"/>
        </w:rPr>
        <w:t>3</w:t>
      </w:r>
    </w:p>
    <w:p w:rsidR="00A85EF5" w:rsidRPr="00A85EF5" w:rsidRDefault="00447E3D" w:rsidP="00A85EF5">
      <w:pPr>
        <w:pStyle w:val="Podtitulek"/>
        <w:spacing w:before="280" w:after="0" w:line="360" w:lineRule="exact"/>
      </w:pPr>
      <w:r w:rsidRPr="00163846">
        <w:rPr>
          <w:color w:val="BD1B21"/>
          <w:sz w:val="32"/>
          <w:szCs w:val="32"/>
        </w:rPr>
        <w:t>Stavebn</w:t>
      </w:r>
      <w:r>
        <w:rPr>
          <w:color w:val="BD1B21"/>
          <w:sz w:val="32"/>
          <w:szCs w:val="32"/>
        </w:rPr>
        <w:t>í produkce</w:t>
      </w:r>
      <w:r w:rsidRPr="00163846">
        <w:rPr>
          <w:color w:val="BD1B21"/>
          <w:sz w:val="32"/>
          <w:szCs w:val="32"/>
        </w:rPr>
        <w:t xml:space="preserve"> v</w:t>
      </w:r>
      <w:r>
        <w:rPr>
          <w:color w:val="BD1B21"/>
          <w:sz w:val="32"/>
          <w:szCs w:val="32"/>
        </w:rPr>
        <w:t xml:space="preserve"> roce </w:t>
      </w:r>
      <w:r w:rsidR="00A918A0">
        <w:rPr>
          <w:color w:val="BD1B21"/>
          <w:sz w:val="32"/>
          <w:szCs w:val="32"/>
        </w:rPr>
        <w:t xml:space="preserve">2022 </w:t>
      </w:r>
      <w:r w:rsidR="00F16FD5">
        <w:rPr>
          <w:color w:val="BD1B21"/>
          <w:sz w:val="32"/>
          <w:szCs w:val="32"/>
        </w:rPr>
        <w:t>vz</w:t>
      </w:r>
      <w:r>
        <w:rPr>
          <w:color w:val="BD1B21"/>
          <w:sz w:val="32"/>
          <w:szCs w:val="32"/>
        </w:rPr>
        <w:t>rostla o 1,9 %</w:t>
      </w:r>
    </w:p>
    <w:p w:rsidR="00DF3F77" w:rsidRPr="000533DD" w:rsidRDefault="00DF3F77" w:rsidP="00DF3F77">
      <w:pPr>
        <w:pStyle w:val="Nadpis2"/>
        <w:spacing w:before="80" w:after="280" w:line="320" w:lineRule="exact"/>
      </w:pPr>
      <w:r w:rsidRPr="00D337E2">
        <w:t>Stavebnictví –</w:t>
      </w:r>
      <w:r w:rsidR="00F86FB2">
        <w:t xml:space="preserve"> </w:t>
      </w:r>
      <w:r w:rsidR="00AD7A9B">
        <w:t>prosinec</w:t>
      </w:r>
      <w:r w:rsidRPr="00D337E2">
        <w:t> 2022</w:t>
      </w:r>
      <w:r w:rsidRPr="000533DD">
        <w:t xml:space="preserve"> </w:t>
      </w:r>
    </w:p>
    <w:p w:rsidR="00DF3F77" w:rsidRDefault="00DF3F77" w:rsidP="00DF3F77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 xml:space="preserve">Stavební produkce </w:t>
      </w:r>
      <w:r w:rsidR="00E970C2" w:rsidRPr="000533DD">
        <w:rPr>
          <w:rFonts w:cs="Arial"/>
        </w:rPr>
        <w:t>v </w:t>
      </w:r>
      <w:r w:rsidR="00AD7A9B" w:rsidRPr="00E40673">
        <w:rPr>
          <w:rFonts w:cs="Arial"/>
        </w:rPr>
        <w:t>prosinci</w:t>
      </w:r>
      <w:r w:rsidRPr="000533DD">
        <w:rPr>
          <w:rFonts w:cs="Arial"/>
        </w:rPr>
        <w:t xml:space="preserve"> reálně meziročně </w:t>
      </w:r>
      <w:r w:rsidR="008C586A">
        <w:rPr>
          <w:rFonts w:cs="Arial"/>
        </w:rPr>
        <w:t>klesla</w:t>
      </w:r>
      <w:r w:rsidRPr="000533DD">
        <w:rPr>
          <w:rFonts w:cs="Arial"/>
        </w:rPr>
        <w:t xml:space="preserve"> o </w:t>
      </w:r>
      <w:r w:rsidR="007D5C5F">
        <w:rPr>
          <w:rFonts w:cs="Arial"/>
        </w:rPr>
        <w:t>0</w:t>
      </w:r>
      <w:r>
        <w:rPr>
          <w:rFonts w:cs="Arial"/>
        </w:rPr>
        <w:t>,</w:t>
      </w:r>
      <w:r w:rsidR="007D5C5F">
        <w:rPr>
          <w:rFonts w:cs="Arial"/>
        </w:rPr>
        <w:t>2</w:t>
      </w:r>
      <w:r w:rsidRPr="000533DD">
        <w:rPr>
          <w:rFonts w:cs="Arial"/>
        </w:rPr>
        <w:t> %</w:t>
      </w:r>
      <w:r w:rsidRPr="000533DD">
        <w:rPr>
          <w:rFonts w:cs="Arial"/>
          <w:i/>
        </w:rPr>
        <w:t>.</w:t>
      </w:r>
      <w:r w:rsidRPr="000533DD">
        <w:rPr>
          <w:rFonts w:cs="Arial"/>
        </w:rPr>
        <w:t xml:space="preserve"> Meziměsíčně byla </w:t>
      </w:r>
      <w:r w:rsidR="007D5C5F">
        <w:rPr>
          <w:rFonts w:cs="Arial"/>
        </w:rPr>
        <w:t>vyš</w:t>
      </w:r>
      <w:r>
        <w:rPr>
          <w:rFonts w:cs="Arial"/>
        </w:rPr>
        <w:t>ší</w:t>
      </w:r>
      <w:r w:rsidRPr="000533DD">
        <w:rPr>
          <w:rFonts w:cs="Arial"/>
        </w:rPr>
        <w:t xml:space="preserve"> o </w:t>
      </w:r>
      <w:r w:rsidR="007D5C5F">
        <w:rPr>
          <w:rFonts w:cs="Arial"/>
        </w:rPr>
        <w:t>1</w:t>
      </w:r>
      <w:r>
        <w:rPr>
          <w:rFonts w:cs="Arial"/>
        </w:rPr>
        <w:t>,</w:t>
      </w:r>
      <w:r w:rsidR="007D5C5F">
        <w:rPr>
          <w:rFonts w:cs="Arial"/>
        </w:rPr>
        <w:t>2</w:t>
      </w:r>
      <w:r w:rsidRPr="000533DD">
        <w:rPr>
          <w:rFonts w:cs="Arial"/>
        </w:rPr>
        <w:t> %. Stavební úřady vydaly meziročně o </w:t>
      </w:r>
      <w:r w:rsidR="00897E8D">
        <w:rPr>
          <w:rFonts w:cs="Arial"/>
        </w:rPr>
        <w:t>15</w:t>
      </w:r>
      <w:r w:rsidRPr="000533DD">
        <w:rPr>
          <w:rFonts w:cs="Arial"/>
        </w:rPr>
        <w:t>,</w:t>
      </w:r>
      <w:r w:rsidR="00897E8D">
        <w:rPr>
          <w:rFonts w:cs="Arial"/>
        </w:rPr>
        <w:t>6</w:t>
      </w:r>
      <w:r w:rsidRPr="000533DD">
        <w:rPr>
          <w:rFonts w:cs="Arial"/>
        </w:rPr>
        <w:t xml:space="preserve"> % stavebních povolení </w:t>
      </w:r>
      <w:r w:rsidR="00C97DC8">
        <w:rPr>
          <w:rFonts w:cs="Arial"/>
        </w:rPr>
        <w:t>méně</w:t>
      </w:r>
      <w:r w:rsidRPr="000533DD">
        <w:rPr>
          <w:rFonts w:cs="Arial"/>
        </w:rPr>
        <w:t xml:space="preserve"> a</w:t>
      </w:r>
      <w:r>
        <w:rPr>
          <w:rFonts w:cs="Arial"/>
        </w:rPr>
        <w:t> </w:t>
      </w:r>
      <w:r w:rsidRPr="000533DD">
        <w:rPr>
          <w:rFonts w:cs="Arial"/>
        </w:rPr>
        <w:t xml:space="preserve">orientační hodnota těchto povolení </w:t>
      </w:r>
      <w:r w:rsidR="00897E8D" w:rsidRPr="002F2C21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897E8D">
        <w:rPr>
          <w:rFonts w:cs="Arial"/>
        </w:rPr>
        <w:t>8</w:t>
      </w:r>
      <w:r w:rsidRPr="000533DD">
        <w:rPr>
          <w:rFonts w:cs="Arial"/>
        </w:rPr>
        <w:t>,</w:t>
      </w:r>
      <w:r w:rsidR="00897E8D">
        <w:rPr>
          <w:rFonts w:cs="Arial"/>
        </w:rPr>
        <w:t>5</w:t>
      </w:r>
      <w:r w:rsidRPr="000533DD">
        <w:rPr>
          <w:rFonts w:cs="Arial"/>
        </w:rPr>
        <w:t xml:space="preserve"> %. Meziročně bylo zahájeno o </w:t>
      </w:r>
      <w:r w:rsidR="00362B8A">
        <w:rPr>
          <w:rFonts w:cs="Arial"/>
        </w:rPr>
        <w:t>21</w:t>
      </w:r>
      <w:r w:rsidRPr="000533DD">
        <w:rPr>
          <w:rFonts w:cs="Arial"/>
        </w:rPr>
        <w:t>,</w:t>
      </w:r>
      <w:r w:rsidR="00362B8A">
        <w:rPr>
          <w:rFonts w:cs="Arial"/>
        </w:rPr>
        <w:t>9</w:t>
      </w:r>
      <w:r w:rsidR="000C181D"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362B8A">
        <w:rPr>
          <w:rFonts w:cs="Arial"/>
        </w:rPr>
        <w:t>méně</w:t>
      </w:r>
      <w:r w:rsidRPr="000533DD">
        <w:rPr>
          <w:rFonts w:cs="Arial"/>
        </w:rPr>
        <w:t>. Dokončeno bylo o </w:t>
      </w:r>
      <w:r w:rsidR="00843152">
        <w:rPr>
          <w:rFonts w:cs="Arial"/>
        </w:rPr>
        <w:t>31</w:t>
      </w:r>
      <w:r>
        <w:rPr>
          <w:rFonts w:cs="Arial"/>
        </w:rPr>
        <w:t>,</w:t>
      </w:r>
      <w:r w:rsidR="00843152">
        <w:rPr>
          <w:rFonts w:cs="Arial"/>
        </w:rPr>
        <w:t>6</w:t>
      </w:r>
      <w:r w:rsidR="000C181D"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1345F2">
        <w:rPr>
          <w:rFonts w:cs="Arial"/>
        </w:rPr>
        <w:t>více</w:t>
      </w:r>
      <w:r w:rsidRPr="000533DD">
        <w:rPr>
          <w:rFonts w:cs="Arial"/>
        </w:rPr>
        <w:t>.</w:t>
      </w:r>
    </w:p>
    <w:p w:rsidR="00A918A0" w:rsidRDefault="00A918A0" w:rsidP="00A918A0">
      <w:pPr>
        <w:spacing w:before="120"/>
        <w:rPr>
          <w:rFonts w:cs="Arial"/>
          <w:i/>
          <w:szCs w:val="20"/>
        </w:rPr>
      </w:pPr>
      <w:r w:rsidRPr="00D25FFD">
        <w:rPr>
          <w:rFonts w:cs="Arial"/>
          <w:i/>
          <w:szCs w:val="20"/>
        </w:rPr>
        <w:t>„</w:t>
      </w:r>
      <w:r>
        <w:rPr>
          <w:rFonts w:cs="Arial"/>
          <w:i/>
          <w:szCs w:val="20"/>
        </w:rPr>
        <w:t>S</w:t>
      </w:r>
      <w:r w:rsidRPr="00D25FFD">
        <w:rPr>
          <w:rFonts w:cs="Arial"/>
          <w:i/>
          <w:szCs w:val="20"/>
        </w:rPr>
        <w:t xml:space="preserve">tavební produkce </w:t>
      </w:r>
      <w:r>
        <w:rPr>
          <w:rFonts w:cs="Arial"/>
          <w:i/>
          <w:szCs w:val="20"/>
        </w:rPr>
        <w:t xml:space="preserve">si </w:t>
      </w:r>
      <w:r w:rsidRPr="00D25FFD">
        <w:rPr>
          <w:rFonts w:cs="Arial"/>
          <w:i/>
          <w:szCs w:val="20"/>
        </w:rPr>
        <w:t>v roce 202</w:t>
      </w:r>
      <w:r>
        <w:rPr>
          <w:rFonts w:cs="Arial"/>
          <w:i/>
          <w:szCs w:val="20"/>
        </w:rPr>
        <w:t>2</w:t>
      </w:r>
      <w:r w:rsidRPr="00D25FFD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udržela mírný růst a v obou segmentech vzrostla shodně o 1,9 %</w:t>
      </w:r>
      <w:r w:rsidRPr="00D25FFD">
        <w:rPr>
          <w:rFonts w:cs="Arial"/>
          <w:i/>
          <w:szCs w:val="20"/>
        </w:rPr>
        <w:t xml:space="preserve">. Stavebnictví se v průběhu roku </w:t>
      </w:r>
      <w:r>
        <w:rPr>
          <w:rFonts w:cs="Arial"/>
          <w:i/>
          <w:szCs w:val="20"/>
        </w:rPr>
        <w:t xml:space="preserve">dále </w:t>
      </w:r>
      <w:r w:rsidRPr="00D25FFD">
        <w:rPr>
          <w:rFonts w:cs="Arial"/>
          <w:i/>
          <w:szCs w:val="20"/>
        </w:rPr>
        <w:t>potýkalo s růstem cen a nedostatkem stavebních kapacit,“</w:t>
      </w:r>
      <w:r>
        <w:rPr>
          <w:rFonts w:cs="Arial"/>
          <w:szCs w:val="20"/>
        </w:rPr>
        <w:t xml:space="preserve"> říká</w:t>
      </w:r>
      <w:r w:rsidRPr="00D25FFD">
        <w:t xml:space="preserve"> </w:t>
      </w:r>
      <w:r w:rsidRPr="0061646C">
        <w:t>Radek Matějka, ředitel odboru statistiky zemědělství a lesnictví, průmyslu, stavebnictví a energetiky</w:t>
      </w:r>
      <w:r w:rsidR="00393337">
        <w:t xml:space="preserve"> ČSÚ</w:t>
      </w:r>
      <w:r w:rsidRPr="0061646C">
        <w:t>.</w:t>
      </w:r>
    </w:p>
    <w:p w:rsidR="00CF73DC" w:rsidRPr="001D1324" w:rsidRDefault="00963F8C" w:rsidP="00DF3F77">
      <w:pPr>
        <w:spacing w:before="120"/>
        <w:rPr>
          <w:rFonts w:cs="Arial"/>
          <w:b/>
          <w:bCs/>
          <w:szCs w:val="20"/>
        </w:rPr>
      </w:pPr>
      <w:r w:rsidRPr="00CF73DC">
        <w:rPr>
          <w:rFonts w:cs="Arial"/>
          <w:szCs w:val="20"/>
        </w:rPr>
        <w:t>Stavební produkce</w:t>
      </w:r>
      <w:r w:rsidRPr="00963F8C">
        <w:rPr>
          <w:rFonts w:cs="Arial"/>
          <w:i/>
          <w:szCs w:val="20"/>
        </w:rPr>
        <w:t xml:space="preserve"> </w:t>
      </w:r>
      <w:r w:rsidR="00CF73DC" w:rsidRPr="00A545D2">
        <w:rPr>
          <w:rFonts w:cs="Arial"/>
          <w:szCs w:val="20"/>
        </w:rPr>
        <w:t xml:space="preserve">byla reálně meziměsíčně </w:t>
      </w:r>
      <w:r w:rsidR="00E71AD7">
        <w:rPr>
          <w:rFonts w:cs="Arial"/>
          <w:szCs w:val="20"/>
        </w:rPr>
        <w:t>vyš</w:t>
      </w:r>
      <w:r w:rsidR="00CF73DC" w:rsidRPr="00A545D2">
        <w:rPr>
          <w:rFonts w:cs="Arial"/>
          <w:szCs w:val="20"/>
        </w:rPr>
        <w:t xml:space="preserve">ší </w:t>
      </w:r>
      <w:r w:rsidR="00D60B80" w:rsidRPr="000533DD">
        <w:rPr>
          <w:rFonts w:cs="Arial"/>
        </w:rPr>
        <w:t>o </w:t>
      </w:r>
      <w:r w:rsidR="00D60B80">
        <w:rPr>
          <w:rFonts w:cs="Arial"/>
        </w:rPr>
        <w:t>1,2</w:t>
      </w:r>
      <w:r w:rsidR="00D60B80" w:rsidRPr="000533DD">
        <w:rPr>
          <w:rFonts w:cs="Arial"/>
        </w:rPr>
        <w:t> %</w:t>
      </w:r>
      <w:r w:rsidRPr="00963F8C">
        <w:rPr>
          <w:rFonts w:cs="Arial"/>
          <w:i/>
          <w:szCs w:val="20"/>
        </w:rPr>
        <w:t xml:space="preserve">. </w:t>
      </w:r>
      <w:r w:rsidR="00CF73DC" w:rsidRPr="00A545D2">
        <w:rPr>
          <w:rFonts w:cs="Arial"/>
          <w:szCs w:val="20"/>
        </w:rPr>
        <w:t xml:space="preserve">Meziročně </w:t>
      </w:r>
      <w:r w:rsidR="00CF73DC">
        <w:rPr>
          <w:rFonts w:cs="Arial"/>
          <w:szCs w:val="20"/>
        </w:rPr>
        <w:t>klesla</w:t>
      </w:r>
      <w:r w:rsidR="00CF73DC" w:rsidRPr="00A545D2">
        <w:rPr>
          <w:rFonts w:cs="Arial"/>
          <w:szCs w:val="20"/>
        </w:rPr>
        <w:t xml:space="preserve"> o </w:t>
      </w:r>
      <w:r w:rsidR="00E71AD7">
        <w:rPr>
          <w:rFonts w:cs="Arial"/>
          <w:szCs w:val="20"/>
        </w:rPr>
        <w:t>0</w:t>
      </w:r>
      <w:r w:rsidR="00CF73DC" w:rsidRPr="00A545D2">
        <w:rPr>
          <w:rFonts w:cs="Arial"/>
          <w:szCs w:val="20"/>
        </w:rPr>
        <w:t>,</w:t>
      </w:r>
      <w:r w:rsidR="00E71AD7">
        <w:rPr>
          <w:rFonts w:cs="Arial"/>
          <w:szCs w:val="20"/>
        </w:rPr>
        <w:t>2</w:t>
      </w:r>
      <w:r w:rsidR="00CF73DC" w:rsidRPr="00A545D2">
        <w:rPr>
          <w:rFonts w:cs="Arial"/>
          <w:szCs w:val="20"/>
        </w:rPr>
        <w:t xml:space="preserve"> %. </w:t>
      </w:r>
      <w:r w:rsidR="00032697" w:rsidRPr="0020349A">
        <w:rPr>
          <w:rFonts w:cs="Arial"/>
          <w:i/>
          <w:szCs w:val="20"/>
        </w:rPr>
        <w:t xml:space="preserve">„V prosinci tlumilo </w:t>
      </w:r>
      <w:r w:rsidR="00032697">
        <w:rPr>
          <w:rFonts w:cs="Arial"/>
          <w:i/>
          <w:szCs w:val="20"/>
        </w:rPr>
        <w:t xml:space="preserve">celkový </w:t>
      </w:r>
      <w:r w:rsidR="00032697" w:rsidRPr="0020349A">
        <w:rPr>
          <w:rFonts w:cs="Arial"/>
          <w:i/>
          <w:szCs w:val="20"/>
        </w:rPr>
        <w:t>pokles produkce inženýrské stavitelství, které meziročně vzrostlo o 8,2 %. Produkce pozemního stavitelství narazila na vyšší srovnávací základnu a klesla o 3,2 %,“</w:t>
      </w:r>
      <w:r w:rsidR="00032697" w:rsidRPr="0020349A">
        <w:rPr>
          <w:rFonts w:cs="Arial"/>
          <w:szCs w:val="20"/>
        </w:rPr>
        <w:t xml:space="preserve"> říká Petra Cuřínová, vedoucí oddělení statistiky stavebnictví a bytové výstavby</w:t>
      </w:r>
      <w:r w:rsidR="00393337">
        <w:rPr>
          <w:rFonts w:cs="Arial"/>
          <w:szCs w:val="20"/>
        </w:rPr>
        <w:t xml:space="preserve"> ČSÚ</w:t>
      </w:r>
      <w:r w:rsidR="00032697" w:rsidRPr="0020349A">
        <w:rPr>
          <w:rFonts w:cs="Arial"/>
          <w:szCs w:val="20"/>
        </w:rPr>
        <w:t>.</w:t>
      </w:r>
    </w:p>
    <w:p w:rsidR="003D6715" w:rsidRPr="007F4980" w:rsidRDefault="00DF3F77" w:rsidP="007D5B0B">
      <w:pPr>
        <w:spacing w:before="120"/>
        <w:rPr>
          <w:rFonts w:cs="Arial"/>
          <w:szCs w:val="20"/>
        </w:rPr>
      </w:pPr>
      <w:r w:rsidRPr="00A545D2">
        <w:rPr>
          <w:rFonts w:cs="Arial"/>
          <w:bCs/>
          <w:szCs w:val="20"/>
        </w:rPr>
        <w:t xml:space="preserve">Stavební úřady vydaly </w:t>
      </w:r>
      <w:r w:rsidR="00BB36B0">
        <w:rPr>
          <w:rFonts w:cs="Arial"/>
          <w:szCs w:val="20"/>
        </w:rPr>
        <w:t>6</w:t>
      </w:r>
      <w:r w:rsidR="00A3526F">
        <w:rPr>
          <w:rFonts w:cs="Arial"/>
          <w:szCs w:val="20"/>
        </w:rPr>
        <w:t xml:space="preserve"> </w:t>
      </w:r>
      <w:r w:rsidR="00BB36B0">
        <w:rPr>
          <w:rFonts w:cs="Arial"/>
          <w:szCs w:val="20"/>
        </w:rPr>
        <w:t>700</w:t>
      </w:r>
      <w:r w:rsidRPr="00A545D2">
        <w:rPr>
          <w:rFonts w:cs="Arial"/>
          <w:b/>
          <w:bCs/>
          <w:szCs w:val="20"/>
        </w:rPr>
        <w:t xml:space="preserve"> </w:t>
      </w:r>
      <w:r w:rsidRPr="002F2C21">
        <w:rPr>
          <w:rFonts w:cs="Arial"/>
          <w:bCs/>
          <w:szCs w:val="20"/>
        </w:rPr>
        <w:t>stavebních povolení</w:t>
      </w:r>
      <w:r w:rsidRPr="00A545D2">
        <w:rPr>
          <w:rFonts w:cs="Arial"/>
          <w:szCs w:val="20"/>
        </w:rPr>
        <w:t>, meziročně o </w:t>
      </w:r>
      <w:r w:rsidR="00BB36B0">
        <w:rPr>
          <w:rFonts w:cs="Arial"/>
          <w:szCs w:val="20"/>
        </w:rPr>
        <w:t>15</w:t>
      </w:r>
      <w:r w:rsidRPr="00A545D2">
        <w:rPr>
          <w:rFonts w:cs="Arial"/>
          <w:szCs w:val="20"/>
        </w:rPr>
        <w:t>,</w:t>
      </w:r>
      <w:r w:rsidR="00BB36B0">
        <w:rPr>
          <w:rFonts w:cs="Arial"/>
          <w:szCs w:val="20"/>
        </w:rPr>
        <w:t>6</w:t>
      </w:r>
      <w:r w:rsidRPr="00A545D2">
        <w:rPr>
          <w:rFonts w:cs="Arial"/>
          <w:szCs w:val="20"/>
        </w:rPr>
        <w:t xml:space="preserve"> % </w:t>
      </w:r>
      <w:r w:rsidR="001F4FCF">
        <w:rPr>
          <w:rFonts w:cs="Arial"/>
          <w:szCs w:val="20"/>
        </w:rPr>
        <w:t>méně</w:t>
      </w:r>
      <w:r w:rsidRPr="00A545D2">
        <w:rPr>
          <w:rFonts w:cs="Arial"/>
          <w:szCs w:val="20"/>
        </w:rPr>
        <w:t>.</w:t>
      </w:r>
      <w:r w:rsidR="00347F2D">
        <w:rPr>
          <w:rFonts w:cs="Arial"/>
          <w:szCs w:val="20"/>
        </w:rPr>
        <w:t xml:space="preserve"> </w:t>
      </w:r>
      <w:r w:rsidR="003D6715" w:rsidRPr="00E90CCC">
        <w:rPr>
          <w:rFonts w:cs="Arial"/>
          <w:bCs/>
          <w:szCs w:val="20"/>
        </w:rPr>
        <w:t>Orientační hodnota</w:t>
      </w:r>
      <w:r w:rsidR="003D6715" w:rsidRPr="00E90CCC">
        <w:rPr>
          <w:rFonts w:cs="Arial"/>
          <w:szCs w:val="20"/>
        </w:rPr>
        <w:t xml:space="preserve"> </w:t>
      </w:r>
      <w:r w:rsidR="003C634D" w:rsidRPr="00E90CCC">
        <w:rPr>
          <w:rFonts w:cs="Arial"/>
          <w:szCs w:val="20"/>
        </w:rPr>
        <w:t>povolených</w:t>
      </w:r>
      <w:r w:rsidR="003D6715" w:rsidRPr="00E90CCC">
        <w:rPr>
          <w:rFonts w:cs="Arial"/>
          <w:szCs w:val="20"/>
        </w:rPr>
        <w:t xml:space="preserve"> staveb dosáhla </w:t>
      </w:r>
      <w:r w:rsidR="00BB36B0">
        <w:rPr>
          <w:rFonts w:cs="Arial"/>
          <w:szCs w:val="20"/>
        </w:rPr>
        <w:t>51</w:t>
      </w:r>
      <w:r w:rsidR="003D6715" w:rsidRPr="00E90CCC">
        <w:rPr>
          <w:rFonts w:cs="Arial"/>
          <w:szCs w:val="20"/>
        </w:rPr>
        <w:t>,</w:t>
      </w:r>
      <w:r w:rsidR="00BB36B0">
        <w:rPr>
          <w:rFonts w:cs="Arial"/>
          <w:szCs w:val="20"/>
        </w:rPr>
        <w:t>2</w:t>
      </w:r>
      <w:r w:rsidR="003D6715" w:rsidRPr="00E90CCC">
        <w:rPr>
          <w:rFonts w:cs="Arial"/>
          <w:szCs w:val="20"/>
        </w:rPr>
        <w:t> mld. Kč a </w:t>
      </w:r>
      <w:r w:rsidR="003C634D" w:rsidRPr="00E90CCC">
        <w:rPr>
          <w:rFonts w:cs="Arial"/>
          <w:szCs w:val="20"/>
        </w:rPr>
        <w:t>meziročně</w:t>
      </w:r>
      <w:r w:rsidR="003D6715" w:rsidRPr="00E90CCC">
        <w:rPr>
          <w:rFonts w:cs="Arial"/>
          <w:szCs w:val="20"/>
        </w:rPr>
        <w:t xml:space="preserve"> </w:t>
      </w:r>
      <w:r w:rsidR="00BB36B0" w:rsidRPr="002F2C21">
        <w:rPr>
          <w:rFonts w:cs="Arial"/>
          <w:szCs w:val="20"/>
        </w:rPr>
        <w:t>vzrostla</w:t>
      </w:r>
      <w:r w:rsidR="00E90CCC">
        <w:rPr>
          <w:rFonts w:cs="Arial"/>
          <w:szCs w:val="20"/>
        </w:rPr>
        <w:t xml:space="preserve"> </w:t>
      </w:r>
      <w:r w:rsidR="00E90CCC" w:rsidRPr="00A545D2">
        <w:rPr>
          <w:rFonts w:cs="Arial"/>
          <w:szCs w:val="20"/>
        </w:rPr>
        <w:t>o </w:t>
      </w:r>
      <w:r w:rsidR="00BB36B0">
        <w:rPr>
          <w:rFonts w:cs="Arial"/>
          <w:szCs w:val="20"/>
        </w:rPr>
        <w:t>8</w:t>
      </w:r>
      <w:r w:rsidR="00E90CCC" w:rsidRPr="00A545D2">
        <w:rPr>
          <w:rFonts w:cs="Arial"/>
          <w:szCs w:val="20"/>
        </w:rPr>
        <w:t>,</w:t>
      </w:r>
      <w:r w:rsidR="00BB36B0">
        <w:rPr>
          <w:rFonts w:cs="Arial"/>
          <w:szCs w:val="20"/>
        </w:rPr>
        <w:t>5</w:t>
      </w:r>
      <w:r w:rsidR="00E90CCC" w:rsidRPr="00A545D2">
        <w:rPr>
          <w:rFonts w:cs="Arial"/>
          <w:szCs w:val="20"/>
        </w:rPr>
        <w:t> %</w:t>
      </w:r>
      <w:r w:rsidR="00E90CCC">
        <w:rPr>
          <w:rFonts w:cs="Arial"/>
          <w:szCs w:val="20"/>
        </w:rPr>
        <w:t>.</w:t>
      </w:r>
      <w:r w:rsidR="003C634D" w:rsidRPr="003C634D">
        <w:rPr>
          <w:rFonts w:cs="Arial"/>
          <w:i/>
          <w:szCs w:val="20"/>
        </w:rPr>
        <w:t xml:space="preserve"> </w:t>
      </w:r>
      <w:r w:rsidR="007F4980">
        <w:rPr>
          <w:rFonts w:cs="Arial"/>
          <w:szCs w:val="20"/>
        </w:rPr>
        <w:t>K růstu orientační hodnoty přispělo povolení velkých staveb dopravní infrastruktury.</w:t>
      </w:r>
    </w:p>
    <w:p w:rsidR="00EC6488" w:rsidRDefault="00EC6488" w:rsidP="00DF3F77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Počet zahájených bytů</w:t>
      </w:r>
      <w:r w:rsidRPr="002F2C21">
        <w:rPr>
          <w:rFonts w:cs="Arial"/>
          <w:szCs w:val="20"/>
        </w:rPr>
        <w:t xml:space="preserve"> meziročně </w:t>
      </w:r>
      <w:r w:rsidR="00362B8A">
        <w:rPr>
          <w:rFonts w:cs="Arial"/>
          <w:szCs w:val="20"/>
        </w:rPr>
        <w:t>klesl</w:t>
      </w:r>
      <w:r w:rsidRPr="002F2C21">
        <w:rPr>
          <w:rFonts w:cs="Arial"/>
          <w:szCs w:val="20"/>
        </w:rPr>
        <w:t xml:space="preserve"> o </w:t>
      </w:r>
      <w:r w:rsidR="00362B8A">
        <w:rPr>
          <w:rFonts w:cs="Arial"/>
          <w:szCs w:val="20"/>
        </w:rPr>
        <w:t>21</w:t>
      </w:r>
      <w:r w:rsidRPr="002F2C21">
        <w:rPr>
          <w:rFonts w:cs="Arial"/>
          <w:szCs w:val="20"/>
        </w:rPr>
        <w:t>,</w:t>
      </w:r>
      <w:r w:rsidR="00362B8A">
        <w:rPr>
          <w:rFonts w:cs="Arial"/>
          <w:szCs w:val="20"/>
        </w:rPr>
        <w:t>9</w:t>
      </w:r>
      <w:r w:rsidRPr="002F2C21">
        <w:rPr>
          <w:rFonts w:cs="Arial"/>
          <w:szCs w:val="20"/>
        </w:rPr>
        <w:t xml:space="preserve"> % a dosáhl hodnoty </w:t>
      </w:r>
      <w:r w:rsidR="00362B8A">
        <w:rPr>
          <w:rFonts w:cs="Arial"/>
          <w:szCs w:val="20"/>
        </w:rPr>
        <w:t>3</w:t>
      </w:r>
      <w:r w:rsidR="00303C5E">
        <w:rPr>
          <w:rFonts w:cs="Arial"/>
          <w:szCs w:val="20"/>
        </w:rPr>
        <w:t> </w:t>
      </w:r>
      <w:r w:rsidR="00362B8A">
        <w:rPr>
          <w:rFonts w:cs="Arial"/>
          <w:szCs w:val="20"/>
        </w:rPr>
        <w:t>597</w:t>
      </w:r>
      <w:r w:rsidRPr="002F2C21">
        <w:rPr>
          <w:rFonts w:cs="Arial"/>
          <w:szCs w:val="20"/>
        </w:rPr>
        <w:t xml:space="preserve"> bytů. </w:t>
      </w:r>
      <w:r w:rsidRPr="002F2C21">
        <w:rPr>
          <w:rFonts w:cs="Arial"/>
          <w:bCs/>
          <w:szCs w:val="20"/>
        </w:rPr>
        <w:t>Počet dokončených bytů</w:t>
      </w:r>
      <w:r w:rsidRPr="002F2C21">
        <w:rPr>
          <w:rFonts w:cs="Arial"/>
          <w:szCs w:val="20"/>
        </w:rPr>
        <w:t xml:space="preserve"> meziročně vzrostl o </w:t>
      </w:r>
      <w:r w:rsidR="00843152">
        <w:rPr>
          <w:rFonts w:cs="Arial"/>
          <w:szCs w:val="20"/>
        </w:rPr>
        <w:t>31</w:t>
      </w:r>
      <w:r w:rsidRPr="002F2C21">
        <w:rPr>
          <w:rFonts w:cs="Arial"/>
          <w:szCs w:val="20"/>
        </w:rPr>
        <w:t>,</w:t>
      </w:r>
      <w:r w:rsidR="00843152">
        <w:rPr>
          <w:rFonts w:cs="Arial"/>
          <w:szCs w:val="20"/>
        </w:rPr>
        <w:t>6</w:t>
      </w:r>
      <w:r w:rsidRPr="002F2C21">
        <w:rPr>
          <w:rFonts w:cs="Arial"/>
          <w:szCs w:val="20"/>
        </w:rPr>
        <w:t xml:space="preserve"> % a činil </w:t>
      </w:r>
      <w:r w:rsidR="00843152">
        <w:rPr>
          <w:rFonts w:cs="Arial"/>
          <w:szCs w:val="20"/>
        </w:rPr>
        <w:t>4</w:t>
      </w:r>
      <w:r w:rsidR="001345F2">
        <w:rPr>
          <w:rFonts w:cs="Arial"/>
          <w:szCs w:val="20"/>
        </w:rPr>
        <w:t xml:space="preserve"> </w:t>
      </w:r>
      <w:r w:rsidR="00843152">
        <w:rPr>
          <w:rFonts w:cs="Arial"/>
          <w:szCs w:val="20"/>
        </w:rPr>
        <w:t>786</w:t>
      </w:r>
      <w:r w:rsidRPr="002F2C21">
        <w:rPr>
          <w:rFonts w:cs="Arial"/>
          <w:szCs w:val="20"/>
        </w:rPr>
        <w:t xml:space="preserve"> bytů.</w:t>
      </w:r>
    </w:p>
    <w:p w:rsidR="0087123F" w:rsidRPr="002F2C21" w:rsidRDefault="0087123F" w:rsidP="00DF3F77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Průměrný evidenční počet zaměstnanců</w:t>
      </w:r>
      <w:r w:rsidRPr="002F2C21">
        <w:rPr>
          <w:rFonts w:cs="Arial"/>
          <w:szCs w:val="20"/>
        </w:rPr>
        <w:t xml:space="preserve"> ve stavebnictví se meziročně</w:t>
      </w:r>
      <w:r w:rsidRPr="002F2C21">
        <w:rPr>
          <w:rFonts w:cs="Arial"/>
          <w:bCs/>
          <w:szCs w:val="20"/>
        </w:rPr>
        <w:t xml:space="preserve"> </w:t>
      </w:r>
      <w:r w:rsidR="00706A21" w:rsidRPr="002F2C21">
        <w:rPr>
          <w:rFonts w:cs="Arial"/>
          <w:bCs/>
          <w:szCs w:val="20"/>
        </w:rPr>
        <w:t>zvýš</w:t>
      </w:r>
      <w:r w:rsidRPr="002F2C21">
        <w:rPr>
          <w:rFonts w:cs="Arial"/>
          <w:bCs/>
          <w:szCs w:val="20"/>
        </w:rPr>
        <w:t>il</w:t>
      </w:r>
      <w:r w:rsidRPr="002F2C21">
        <w:rPr>
          <w:rFonts w:cs="Arial"/>
          <w:szCs w:val="20"/>
        </w:rPr>
        <w:t xml:space="preserve"> o </w:t>
      </w:r>
      <w:r w:rsidR="00424B7E">
        <w:rPr>
          <w:rFonts w:cs="Arial"/>
          <w:szCs w:val="20"/>
        </w:rPr>
        <w:t>0</w:t>
      </w:r>
      <w:r w:rsidR="00223D61" w:rsidRPr="002F2C21">
        <w:rPr>
          <w:rFonts w:cs="Arial"/>
          <w:szCs w:val="20"/>
        </w:rPr>
        <w:t>,</w:t>
      </w:r>
      <w:r w:rsidR="00424B7E">
        <w:rPr>
          <w:rFonts w:cs="Arial"/>
          <w:szCs w:val="20"/>
        </w:rPr>
        <w:t>9</w:t>
      </w:r>
      <w:r w:rsidRPr="002F2C21">
        <w:rPr>
          <w:rFonts w:cs="Arial"/>
          <w:szCs w:val="20"/>
        </w:rPr>
        <w:t xml:space="preserve"> %. </w:t>
      </w:r>
      <w:r w:rsidRPr="002F2C21">
        <w:rPr>
          <w:rFonts w:cs="Arial"/>
          <w:bCs/>
          <w:szCs w:val="20"/>
        </w:rPr>
        <w:t>Průměrná hrubá měsíční nominální mzda</w:t>
      </w:r>
      <w:r w:rsidRPr="002F2C21">
        <w:rPr>
          <w:rFonts w:cs="Arial"/>
          <w:szCs w:val="20"/>
        </w:rPr>
        <w:t xml:space="preserve"> těchto zaměstnanců meziročně vzrostla o </w:t>
      </w:r>
      <w:r w:rsidR="00424B7E">
        <w:rPr>
          <w:rFonts w:cs="Arial"/>
          <w:szCs w:val="20"/>
        </w:rPr>
        <w:t>8</w:t>
      </w:r>
      <w:r w:rsidR="00223D61" w:rsidRPr="002F2C21">
        <w:rPr>
          <w:rFonts w:cs="Arial"/>
          <w:szCs w:val="20"/>
        </w:rPr>
        <w:t>,</w:t>
      </w:r>
      <w:r w:rsidR="00424B7E">
        <w:rPr>
          <w:rFonts w:cs="Arial"/>
          <w:szCs w:val="20"/>
        </w:rPr>
        <w:t>9</w:t>
      </w:r>
      <w:r w:rsidRPr="002F2C21">
        <w:rPr>
          <w:rFonts w:cs="Arial"/>
          <w:szCs w:val="20"/>
        </w:rPr>
        <w:t> %</w:t>
      </w:r>
      <w:r w:rsidR="00DA72DC" w:rsidRPr="002F2C21">
        <w:rPr>
          <w:rFonts w:cs="Arial"/>
          <w:szCs w:val="20"/>
        </w:rPr>
        <w:t>.</w:t>
      </w:r>
    </w:p>
    <w:p w:rsidR="0087123F" w:rsidRDefault="00DF3F77" w:rsidP="0087123F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Stavební produkce</w:t>
      </w:r>
      <w:r w:rsidRPr="002F2C21">
        <w:rPr>
          <w:rFonts w:cs="Arial"/>
          <w:szCs w:val="20"/>
        </w:rPr>
        <w:t xml:space="preserve"> podle údajů </w:t>
      </w:r>
      <w:proofErr w:type="spellStart"/>
      <w:r w:rsidRPr="002F2C21">
        <w:rPr>
          <w:rFonts w:cs="Arial"/>
          <w:szCs w:val="20"/>
        </w:rPr>
        <w:t>Eurostatu</w:t>
      </w:r>
      <w:proofErr w:type="spellEnd"/>
      <w:r w:rsidRPr="002F2C21">
        <w:rPr>
          <w:rFonts w:cs="Arial"/>
          <w:bCs/>
          <w:szCs w:val="20"/>
        </w:rPr>
        <w:t xml:space="preserve"> </w:t>
      </w:r>
      <w:r w:rsidRPr="00B443A9">
        <w:rPr>
          <w:rFonts w:cs="Arial"/>
          <w:bCs/>
          <w:szCs w:val="20"/>
        </w:rPr>
        <w:t>v </w:t>
      </w:r>
      <w:r w:rsidR="00B443A9" w:rsidRPr="00B443A9">
        <w:rPr>
          <w:rFonts w:cs="Arial"/>
          <w:szCs w:val="20"/>
        </w:rPr>
        <w:t>listopad</w:t>
      </w:r>
      <w:r w:rsidR="00B443A9" w:rsidRPr="00B443A9">
        <w:rPr>
          <w:rFonts w:cs="Arial"/>
          <w:bCs/>
          <w:szCs w:val="20"/>
        </w:rPr>
        <w:t>u</w:t>
      </w:r>
      <w:r w:rsidRPr="002F2C21">
        <w:rPr>
          <w:rFonts w:cs="Arial"/>
          <w:bCs/>
          <w:szCs w:val="20"/>
        </w:rPr>
        <w:t xml:space="preserve"> 202</w:t>
      </w:r>
      <w:r w:rsidR="006E6A33" w:rsidRPr="002F2C21">
        <w:rPr>
          <w:rFonts w:cs="Arial"/>
          <w:bCs/>
          <w:szCs w:val="20"/>
        </w:rPr>
        <w:t>2</w:t>
      </w:r>
      <w:r w:rsidRPr="002F2C21">
        <w:rPr>
          <w:rFonts w:cs="Arial"/>
          <w:bCs/>
          <w:szCs w:val="20"/>
        </w:rPr>
        <w:t xml:space="preserve"> v EU27 </w:t>
      </w:r>
      <w:r w:rsidRPr="002F2C21">
        <w:rPr>
          <w:rFonts w:cs="Arial"/>
          <w:szCs w:val="20"/>
        </w:rPr>
        <w:t xml:space="preserve">meziročně </w:t>
      </w:r>
      <w:r w:rsidR="009A2EC4" w:rsidRPr="002F2C21">
        <w:rPr>
          <w:rFonts w:cs="Arial"/>
          <w:szCs w:val="20"/>
        </w:rPr>
        <w:t>vzrostla</w:t>
      </w:r>
      <w:r w:rsidRPr="002F2C21">
        <w:rPr>
          <w:rFonts w:cs="Arial"/>
          <w:szCs w:val="20"/>
        </w:rPr>
        <w:t xml:space="preserve"> o </w:t>
      </w:r>
      <w:r w:rsidR="00C4029E">
        <w:rPr>
          <w:rFonts w:cs="Arial"/>
          <w:szCs w:val="20"/>
        </w:rPr>
        <w:t>1</w:t>
      </w:r>
      <w:r w:rsidRPr="002F2C21">
        <w:rPr>
          <w:rFonts w:cs="Arial"/>
          <w:szCs w:val="20"/>
        </w:rPr>
        <w:t>,</w:t>
      </w:r>
      <w:r w:rsidR="00C4029E">
        <w:rPr>
          <w:rFonts w:cs="Arial"/>
          <w:szCs w:val="20"/>
        </w:rPr>
        <w:t>8</w:t>
      </w:r>
      <w:r w:rsidRPr="002F2C21">
        <w:rPr>
          <w:rFonts w:cs="Arial"/>
          <w:szCs w:val="20"/>
        </w:rPr>
        <w:t xml:space="preserve"> %. Pozemní stavitelství se </w:t>
      </w:r>
      <w:r w:rsidR="009A2EC4" w:rsidRPr="002F2C21">
        <w:rPr>
          <w:rFonts w:cs="Arial"/>
          <w:szCs w:val="20"/>
        </w:rPr>
        <w:t>zvýš</w:t>
      </w:r>
      <w:r w:rsidR="00D402EA" w:rsidRPr="002F2C21">
        <w:rPr>
          <w:rFonts w:cs="Arial"/>
          <w:szCs w:val="20"/>
        </w:rPr>
        <w:t>ilo</w:t>
      </w:r>
      <w:r w:rsidRPr="002F2C21">
        <w:rPr>
          <w:rFonts w:cs="Arial"/>
          <w:szCs w:val="20"/>
        </w:rPr>
        <w:t xml:space="preserve"> o </w:t>
      </w:r>
      <w:r w:rsidR="00C4029E">
        <w:rPr>
          <w:rFonts w:cs="Arial"/>
          <w:szCs w:val="20"/>
        </w:rPr>
        <w:t>1</w:t>
      </w:r>
      <w:r w:rsidRPr="002F2C21">
        <w:rPr>
          <w:rFonts w:cs="Arial"/>
          <w:szCs w:val="20"/>
        </w:rPr>
        <w:t>,</w:t>
      </w:r>
      <w:r w:rsidR="00C4029E">
        <w:rPr>
          <w:rFonts w:cs="Arial"/>
          <w:szCs w:val="20"/>
        </w:rPr>
        <w:t>6</w:t>
      </w:r>
      <w:r w:rsidRPr="002F2C21">
        <w:rPr>
          <w:rFonts w:cs="Arial"/>
          <w:szCs w:val="20"/>
        </w:rPr>
        <w:t> % a inženýrské stavitelství o </w:t>
      </w:r>
      <w:r w:rsidR="00C4029E">
        <w:rPr>
          <w:rFonts w:cs="Arial"/>
          <w:szCs w:val="20"/>
        </w:rPr>
        <w:t>2</w:t>
      </w:r>
      <w:r w:rsidRPr="002F2C21">
        <w:rPr>
          <w:rFonts w:cs="Arial"/>
          <w:szCs w:val="20"/>
        </w:rPr>
        <w:t>,</w:t>
      </w:r>
      <w:r w:rsidR="00C4029E">
        <w:rPr>
          <w:rFonts w:cs="Arial"/>
          <w:szCs w:val="20"/>
        </w:rPr>
        <w:t>8</w:t>
      </w:r>
      <w:r w:rsidRPr="002F2C21">
        <w:rPr>
          <w:rFonts w:cs="Arial"/>
          <w:szCs w:val="20"/>
        </w:rPr>
        <w:t xml:space="preserve"> %. Údaje za </w:t>
      </w:r>
      <w:r w:rsidR="00B443A9" w:rsidRPr="00E65DFB">
        <w:t>prosinec</w:t>
      </w:r>
      <w:r w:rsidRPr="002F2C21">
        <w:rPr>
          <w:rFonts w:cs="Arial"/>
          <w:szCs w:val="20"/>
        </w:rPr>
        <w:t xml:space="preserve"> 2022 </w:t>
      </w:r>
      <w:proofErr w:type="spellStart"/>
      <w:r w:rsidRPr="002F2C21">
        <w:rPr>
          <w:rFonts w:cs="Arial"/>
          <w:szCs w:val="20"/>
        </w:rPr>
        <w:t>Eurostat</w:t>
      </w:r>
      <w:proofErr w:type="spellEnd"/>
      <w:r w:rsidRPr="002F2C21">
        <w:rPr>
          <w:rFonts w:cs="Arial"/>
          <w:szCs w:val="20"/>
        </w:rPr>
        <w:t xml:space="preserve"> zveřejní podle předběžného harmonogramu dne </w:t>
      </w:r>
      <w:r w:rsidR="006B683F" w:rsidRPr="006B683F">
        <w:rPr>
          <w:rFonts w:cs="Arial"/>
          <w:szCs w:val="20"/>
        </w:rPr>
        <w:t>20</w:t>
      </w:r>
      <w:r w:rsidRPr="006B683F">
        <w:rPr>
          <w:rFonts w:cs="Arial"/>
          <w:szCs w:val="20"/>
        </w:rPr>
        <w:t>. </w:t>
      </w:r>
      <w:r w:rsidR="00B443A9" w:rsidRPr="006B683F">
        <w:rPr>
          <w:rFonts w:cs="Arial"/>
          <w:szCs w:val="20"/>
        </w:rPr>
        <w:t>2</w:t>
      </w:r>
      <w:r w:rsidRPr="006B683F">
        <w:rPr>
          <w:rFonts w:cs="Arial"/>
          <w:szCs w:val="20"/>
        </w:rPr>
        <w:t>. 202</w:t>
      </w:r>
      <w:r w:rsidR="005A4CBC" w:rsidRPr="006B683F">
        <w:rPr>
          <w:rFonts w:cs="Arial"/>
          <w:szCs w:val="20"/>
        </w:rPr>
        <w:t>3</w:t>
      </w:r>
      <w:r w:rsidRPr="00F0712F">
        <w:rPr>
          <w:rFonts w:cs="Arial"/>
          <w:szCs w:val="20"/>
        </w:rPr>
        <w:t>.</w:t>
      </w:r>
    </w:p>
    <w:p w:rsidR="001B7FF8" w:rsidRDefault="001B7FF8" w:rsidP="0087123F">
      <w:pPr>
        <w:spacing w:before="120"/>
        <w:rPr>
          <w:rFonts w:cs="Arial"/>
          <w:szCs w:val="20"/>
        </w:rPr>
      </w:pPr>
    </w:p>
    <w:p w:rsidR="003C7BB3" w:rsidRDefault="003C7BB3" w:rsidP="0087123F">
      <w:pPr>
        <w:spacing w:before="120"/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 xml:space="preserve">o vývoji ve stavebnictví </w:t>
      </w:r>
      <w:r w:rsidRPr="00DA6FE5">
        <w:rPr>
          <w:szCs w:val="20"/>
        </w:rPr>
        <w:t>naleznete v </w:t>
      </w:r>
      <w:hyperlink r:id="rId10" w:history="1">
        <w:r w:rsidRPr="00D87BF0">
          <w:rPr>
            <w:rStyle w:val="Hypertextovodkaz"/>
          </w:rPr>
          <w:t>doplňující informaci k RI stavebnictví</w:t>
        </w:r>
      </w:hyperlink>
      <w:bookmarkStart w:id="0" w:name="_GoBack"/>
      <w:bookmarkEnd w:id="0"/>
      <w:r w:rsidRPr="00DA6FE5">
        <w:t>.</w:t>
      </w:r>
    </w:p>
    <w:p w:rsidR="0087123F" w:rsidRPr="00627B07" w:rsidRDefault="0087123F" w:rsidP="006E0BFB">
      <w:pPr>
        <w:pStyle w:val="Poznmky0"/>
        <w:pBdr>
          <w:top w:val="single" w:sz="4" w:space="1" w:color="auto"/>
        </w:pBdr>
        <w:spacing w:before="0" w:line="247" w:lineRule="auto"/>
      </w:pPr>
      <w:r w:rsidRPr="00627B07">
        <w:t>Poznámky:</w:t>
      </w:r>
    </w:p>
    <w:p w:rsidR="00831B50" w:rsidRDefault="0087123F" w:rsidP="00581422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27B07">
        <w:rPr>
          <w:iCs/>
        </w:rPr>
        <w:t>Meziroční vývoj stavební produkce je publikován po očištění o vliv počtu pracovních dnů. Meziměsíční, popř. mezičtvrtletní tempa jsou očištěna také o vliv sezónnosti.</w:t>
      </w:r>
    </w:p>
    <w:p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hyperlink r:id="rId11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:rsidR="00DF3F77" w:rsidRPr="00627B07" w:rsidRDefault="00DF3F77" w:rsidP="00A848D0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12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3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6B683F">
        <w:rPr>
          <w:i/>
        </w:rPr>
        <w:t>31</w:t>
      </w:r>
      <w:r w:rsidRPr="00627B07">
        <w:rPr>
          <w:i/>
        </w:rPr>
        <w:t xml:space="preserve">. </w:t>
      </w:r>
      <w:r w:rsidR="006B683F">
        <w:rPr>
          <w:i/>
        </w:rPr>
        <w:t>1</w:t>
      </w:r>
      <w:r w:rsidRPr="00627B07">
        <w:rPr>
          <w:i/>
        </w:rPr>
        <w:t>. 202</w:t>
      </w:r>
      <w:r w:rsidR="005A4CBC">
        <w:rPr>
          <w:i/>
        </w:rPr>
        <w:t>3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14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5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A848D0" w:rsidRDefault="00A848D0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6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lastRenderedPageBreak/>
        <w:t>Termín zveřejnění další RI:</w:t>
      </w:r>
      <w:r w:rsidRPr="00627B07">
        <w:rPr>
          <w:i/>
        </w:rPr>
        <w:tab/>
      </w:r>
      <w:r w:rsidR="00E42408">
        <w:rPr>
          <w:i/>
        </w:rPr>
        <w:t>10</w:t>
      </w:r>
      <w:r w:rsidRPr="00627B07">
        <w:rPr>
          <w:i/>
        </w:rPr>
        <w:t xml:space="preserve">. </w:t>
      </w:r>
      <w:r w:rsidR="00E42408">
        <w:rPr>
          <w:i/>
        </w:rPr>
        <w:t>3</w:t>
      </w:r>
      <w:r w:rsidRPr="00627B07">
        <w:rPr>
          <w:i/>
        </w:rPr>
        <w:t>. 202</w:t>
      </w:r>
      <w:r w:rsidR="00965FD0">
        <w:rPr>
          <w:i/>
        </w:rPr>
        <w:t>3</w:t>
      </w:r>
    </w:p>
    <w:p w:rsidR="00380A28" w:rsidRDefault="00380A28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616B09" w:rsidRDefault="00616B09" w:rsidP="00616B09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 w:rsidRPr="00627B07">
        <w:rPr>
          <w:i w:val="0"/>
          <w:iCs w:val="0"/>
          <w:color w:val="auto"/>
          <w:sz w:val="20"/>
          <w:szCs w:val="20"/>
        </w:rPr>
        <w:t>Přílohy:</w:t>
      </w:r>
    </w:p>
    <w:p w:rsidR="00616B09" w:rsidRDefault="00616B09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Doplňující informace k RI Stavebnictví</w:t>
      </w:r>
    </w:p>
    <w:p w:rsidR="00DF3F77" w:rsidRDefault="00DF3F77" w:rsidP="00DF3F77">
      <w:pPr>
        <w:pStyle w:val="Zkladntext3"/>
        <w:spacing w:line="247" w:lineRule="auto"/>
        <w:rPr>
          <w:lang w:eastAsia="en-US"/>
        </w:rPr>
      </w:pPr>
      <w:r w:rsidRPr="00627B07">
        <w:rPr>
          <w:lang w:eastAsia="en-US"/>
        </w:rPr>
        <w:t>Tab. 1 Index stavební produkce, stavební povolení a bytová výstavba (meziroční indexy, měsíc)</w:t>
      </w:r>
    </w:p>
    <w:p w:rsidR="00F2784F" w:rsidRDefault="00F2784F" w:rsidP="00F2784F">
      <w:pPr>
        <w:pStyle w:val="Zkladntext3"/>
        <w:spacing w:line="276" w:lineRule="auto"/>
        <w:rPr>
          <w:lang w:eastAsia="en-US"/>
        </w:rPr>
      </w:pPr>
      <w:r>
        <w:rPr>
          <w:rFonts w:eastAsia="Calibri"/>
          <w:lang w:eastAsia="en-US"/>
        </w:rPr>
        <w:t>Tab. 2 Index stavební produkce, stavební zakázky, stavební povolení a bytová výstavba (</w:t>
      </w:r>
      <w:r w:rsidRPr="00D91FAA">
        <w:rPr>
          <w:lang w:eastAsia="en-US"/>
        </w:rPr>
        <w:t>meziroční indexy</w:t>
      </w:r>
      <w:r>
        <w:rPr>
          <w:rFonts w:eastAsia="Calibri"/>
          <w:lang w:eastAsia="en-US"/>
        </w:rPr>
        <w:t>, čtvrtletí)</w:t>
      </w:r>
    </w:p>
    <w:p w:rsidR="00F2784F" w:rsidRDefault="00F2784F" w:rsidP="00F2784F">
      <w:pPr>
        <w:pStyle w:val="Zkladntext3"/>
        <w:spacing w:line="276" w:lineRule="auto"/>
        <w:rPr>
          <w:lang w:eastAsia="en-US"/>
        </w:rPr>
      </w:pPr>
      <w:r>
        <w:rPr>
          <w:iCs/>
        </w:rPr>
        <w:t>Tab. 3 Index stavební produkce, stavební zakázky, stavební povolení a bytová výstavba (meziroční indexy, rok)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1 Index stavební produkce (meziroční indexy)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2 Index stavební produkce (bazické indexy)</w:t>
      </w:r>
    </w:p>
    <w:p w:rsidR="00DF3F77" w:rsidRPr="00DF3F77" w:rsidRDefault="00DF3F77" w:rsidP="00BC6294">
      <w:pPr>
        <w:spacing w:line="254" w:lineRule="auto"/>
      </w:pPr>
      <w:r w:rsidRPr="00627B07">
        <w:t>Graf 3 Index stavební produkce – mezinárodní porovnání (bazické</w:t>
      </w:r>
      <w:r>
        <w:t xml:space="preserve"> indexy)</w:t>
      </w:r>
    </w:p>
    <w:sectPr w:rsidR="00DF3F77" w:rsidRPr="00DF3F77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25" w:rsidRDefault="002B5525" w:rsidP="00BA6370">
      <w:r>
        <w:separator/>
      </w:r>
    </w:p>
  </w:endnote>
  <w:endnote w:type="continuationSeparator" w:id="0">
    <w:p w:rsidR="002B5525" w:rsidRDefault="002B552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87BF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87BF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25" w:rsidRDefault="002B5525" w:rsidP="00BA6370">
      <w:r>
        <w:separator/>
      </w:r>
    </w:p>
  </w:footnote>
  <w:footnote w:type="continuationSeparator" w:id="0">
    <w:p w:rsidR="002B5525" w:rsidRDefault="002B552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10C48"/>
    <w:rsid w:val="00011884"/>
    <w:rsid w:val="000224B9"/>
    <w:rsid w:val="000229F4"/>
    <w:rsid w:val="00032697"/>
    <w:rsid w:val="00034975"/>
    <w:rsid w:val="00043BF4"/>
    <w:rsid w:val="000634DE"/>
    <w:rsid w:val="00082748"/>
    <w:rsid w:val="000843A5"/>
    <w:rsid w:val="000910DA"/>
    <w:rsid w:val="000919CA"/>
    <w:rsid w:val="00091AEC"/>
    <w:rsid w:val="00096D6C"/>
    <w:rsid w:val="000A4237"/>
    <w:rsid w:val="000A7180"/>
    <w:rsid w:val="000B159D"/>
    <w:rsid w:val="000B6F63"/>
    <w:rsid w:val="000C181D"/>
    <w:rsid w:val="000D093F"/>
    <w:rsid w:val="000E43CC"/>
    <w:rsid w:val="00111737"/>
    <w:rsid w:val="00113796"/>
    <w:rsid w:val="001152B6"/>
    <w:rsid w:val="0011568B"/>
    <w:rsid w:val="001215F4"/>
    <w:rsid w:val="001345F2"/>
    <w:rsid w:val="001404AB"/>
    <w:rsid w:val="0014315B"/>
    <w:rsid w:val="001454B5"/>
    <w:rsid w:val="001511B3"/>
    <w:rsid w:val="001566AD"/>
    <w:rsid w:val="00160A23"/>
    <w:rsid w:val="00166C19"/>
    <w:rsid w:val="0017231D"/>
    <w:rsid w:val="001810DC"/>
    <w:rsid w:val="0019458A"/>
    <w:rsid w:val="001B493A"/>
    <w:rsid w:val="001B4F6E"/>
    <w:rsid w:val="001B607F"/>
    <w:rsid w:val="001B7FF8"/>
    <w:rsid w:val="001C5350"/>
    <w:rsid w:val="001D1324"/>
    <w:rsid w:val="001D369A"/>
    <w:rsid w:val="001E4C2C"/>
    <w:rsid w:val="001F08B3"/>
    <w:rsid w:val="001F2FE0"/>
    <w:rsid w:val="001F34DB"/>
    <w:rsid w:val="001F4ECC"/>
    <w:rsid w:val="001F4FCF"/>
    <w:rsid w:val="00200854"/>
    <w:rsid w:val="00201E3A"/>
    <w:rsid w:val="002070FB"/>
    <w:rsid w:val="00207490"/>
    <w:rsid w:val="00213729"/>
    <w:rsid w:val="002210B0"/>
    <w:rsid w:val="00222824"/>
    <w:rsid w:val="00223C89"/>
    <w:rsid w:val="00223D61"/>
    <w:rsid w:val="00224408"/>
    <w:rsid w:val="00233618"/>
    <w:rsid w:val="0023558B"/>
    <w:rsid w:val="002406FA"/>
    <w:rsid w:val="00246270"/>
    <w:rsid w:val="0025335B"/>
    <w:rsid w:val="0026107B"/>
    <w:rsid w:val="00262609"/>
    <w:rsid w:val="00266042"/>
    <w:rsid w:val="00275DF8"/>
    <w:rsid w:val="00285776"/>
    <w:rsid w:val="00294FF3"/>
    <w:rsid w:val="00296AF1"/>
    <w:rsid w:val="002A1B3D"/>
    <w:rsid w:val="002B0837"/>
    <w:rsid w:val="002B1037"/>
    <w:rsid w:val="002B2E47"/>
    <w:rsid w:val="002B5525"/>
    <w:rsid w:val="002C7795"/>
    <w:rsid w:val="002D6D37"/>
    <w:rsid w:val="002D7F4F"/>
    <w:rsid w:val="002E1CB1"/>
    <w:rsid w:val="002E5859"/>
    <w:rsid w:val="002E5B89"/>
    <w:rsid w:val="002F2C21"/>
    <w:rsid w:val="002F5D03"/>
    <w:rsid w:val="003021E3"/>
    <w:rsid w:val="00303C5E"/>
    <w:rsid w:val="00304A1E"/>
    <w:rsid w:val="00311C82"/>
    <w:rsid w:val="00314E8E"/>
    <w:rsid w:val="00324550"/>
    <w:rsid w:val="003301A3"/>
    <w:rsid w:val="003330A5"/>
    <w:rsid w:val="00337154"/>
    <w:rsid w:val="00345143"/>
    <w:rsid w:val="0034695B"/>
    <w:rsid w:val="00347F2D"/>
    <w:rsid w:val="00352AF6"/>
    <w:rsid w:val="0035392D"/>
    <w:rsid w:val="0035535C"/>
    <w:rsid w:val="00362B8A"/>
    <w:rsid w:val="00363C17"/>
    <w:rsid w:val="0036777B"/>
    <w:rsid w:val="00375350"/>
    <w:rsid w:val="00380A28"/>
    <w:rsid w:val="00381711"/>
    <w:rsid w:val="00381794"/>
    <w:rsid w:val="0038282A"/>
    <w:rsid w:val="00390AB3"/>
    <w:rsid w:val="00393337"/>
    <w:rsid w:val="00393A8D"/>
    <w:rsid w:val="00397580"/>
    <w:rsid w:val="003A0D9F"/>
    <w:rsid w:val="003A45C8"/>
    <w:rsid w:val="003A45DD"/>
    <w:rsid w:val="003B6DEA"/>
    <w:rsid w:val="003C2DCF"/>
    <w:rsid w:val="003C2E77"/>
    <w:rsid w:val="003C3D01"/>
    <w:rsid w:val="003C4F7B"/>
    <w:rsid w:val="003C634D"/>
    <w:rsid w:val="003C7BB3"/>
    <w:rsid w:val="003C7FE7"/>
    <w:rsid w:val="003D0499"/>
    <w:rsid w:val="003D0B1D"/>
    <w:rsid w:val="003D2588"/>
    <w:rsid w:val="003D3576"/>
    <w:rsid w:val="003D6715"/>
    <w:rsid w:val="003E0D4B"/>
    <w:rsid w:val="003F0EE8"/>
    <w:rsid w:val="003F526A"/>
    <w:rsid w:val="00403883"/>
    <w:rsid w:val="00403FA1"/>
    <w:rsid w:val="00405244"/>
    <w:rsid w:val="004154C7"/>
    <w:rsid w:val="00421C25"/>
    <w:rsid w:val="00424B7E"/>
    <w:rsid w:val="004302A6"/>
    <w:rsid w:val="004305FA"/>
    <w:rsid w:val="00432420"/>
    <w:rsid w:val="004436EE"/>
    <w:rsid w:val="00447E3D"/>
    <w:rsid w:val="0045547F"/>
    <w:rsid w:val="0046167E"/>
    <w:rsid w:val="00461C16"/>
    <w:rsid w:val="0046428E"/>
    <w:rsid w:val="00466708"/>
    <w:rsid w:val="00471DEF"/>
    <w:rsid w:val="00472310"/>
    <w:rsid w:val="004765B4"/>
    <w:rsid w:val="004920AD"/>
    <w:rsid w:val="00494902"/>
    <w:rsid w:val="004B0E18"/>
    <w:rsid w:val="004B2798"/>
    <w:rsid w:val="004B3BAA"/>
    <w:rsid w:val="004C05F9"/>
    <w:rsid w:val="004C0722"/>
    <w:rsid w:val="004C57B9"/>
    <w:rsid w:val="004C77F2"/>
    <w:rsid w:val="004D05B3"/>
    <w:rsid w:val="004D392D"/>
    <w:rsid w:val="004E479E"/>
    <w:rsid w:val="004F6316"/>
    <w:rsid w:val="004F686C"/>
    <w:rsid w:val="004F6AD8"/>
    <w:rsid w:val="004F78E6"/>
    <w:rsid w:val="0050420E"/>
    <w:rsid w:val="00506460"/>
    <w:rsid w:val="00507EA6"/>
    <w:rsid w:val="00512D99"/>
    <w:rsid w:val="0051726D"/>
    <w:rsid w:val="00522752"/>
    <w:rsid w:val="00531DBB"/>
    <w:rsid w:val="00531FE1"/>
    <w:rsid w:val="00540D4B"/>
    <w:rsid w:val="0054719A"/>
    <w:rsid w:val="005476B9"/>
    <w:rsid w:val="00561715"/>
    <w:rsid w:val="00573651"/>
    <w:rsid w:val="00573994"/>
    <w:rsid w:val="00575CC5"/>
    <w:rsid w:val="00581422"/>
    <w:rsid w:val="005840DD"/>
    <w:rsid w:val="00590484"/>
    <w:rsid w:val="00595618"/>
    <w:rsid w:val="00596598"/>
    <w:rsid w:val="00597A21"/>
    <w:rsid w:val="005A4CBC"/>
    <w:rsid w:val="005A527A"/>
    <w:rsid w:val="005A6E07"/>
    <w:rsid w:val="005B518A"/>
    <w:rsid w:val="005C2942"/>
    <w:rsid w:val="005C5399"/>
    <w:rsid w:val="005D47D1"/>
    <w:rsid w:val="005D49DE"/>
    <w:rsid w:val="005D4C4E"/>
    <w:rsid w:val="005E136C"/>
    <w:rsid w:val="005E6924"/>
    <w:rsid w:val="005F79FB"/>
    <w:rsid w:val="00600ECF"/>
    <w:rsid w:val="00604406"/>
    <w:rsid w:val="00605F4A"/>
    <w:rsid w:val="00607822"/>
    <w:rsid w:val="006103AA"/>
    <w:rsid w:val="00613BBF"/>
    <w:rsid w:val="006140DE"/>
    <w:rsid w:val="00616B09"/>
    <w:rsid w:val="00617698"/>
    <w:rsid w:val="00622B80"/>
    <w:rsid w:val="006327C3"/>
    <w:rsid w:val="0063458F"/>
    <w:rsid w:val="00635600"/>
    <w:rsid w:val="0064139A"/>
    <w:rsid w:val="00644216"/>
    <w:rsid w:val="006463A1"/>
    <w:rsid w:val="00650A7D"/>
    <w:rsid w:val="00651937"/>
    <w:rsid w:val="00663AEB"/>
    <w:rsid w:val="00670843"/>
    <w:rsid w:val="00671FE3"/>
    <w:rsid w:val="00673DC8"/>
    <w:rsid w:val="00674464"/>
    <w:rsid w:val="00690B1B"/>
    <w:rsid w:val="00692211"/>
    <w:rsid w:val="006931CF"/>
    <w:rsid w:val="006B0833"/>
    <w:rsid w:val="006B683F"/>
    <w:rsid w:val="006C0047"/>
    <w:rsid w:val="006C2E22"/>
    <w:rsid w:val="006D21EB"/>
    <w:rsid w:val="006E024F"/>
    <w:rsid w:val="006E0BFB"/>
    <w:rsid w:val="006E131F"/>
    <w:rsid w:val="006E1D7D"/>
    <w:rsid w:val="006E4E81"/>
    <w:rsid w:val="006E6A33"/>
    <w:rsid w:val="006F0DF5"/>
    <w:rsid w:val="007040EF"/>
    <w:rsid w:val="00706A21"/>
    <w:rsid w:val="00707F7D"/>
    <w:rsid w:val="00717EC5"/>
    <w:rsid w:val="0072096A"/>
    <w:rsid w:val="0073201E"/>
    <w:rsid w:val="007351A9"/>
    <w:rsid w:val="007413F1"/>
    <w:rsid w:val="007439B8"/>
    <w:rsid w:val="00754C20"/>
    <w:rsid w:val="00754DF8"/>
    <w:rsid w:val="007563FE"/>
    <w:rsid w:val="00756C5F"/>
    <w:rsid w:val="0076517E"/>
    <w:rsid w:val="0077226D"/>
    <w:rsid w:val="0078118D"/>
    <w:rsid w:val="00782DB8"/>
    <w:rsid w:val="00784C29"/>
    <w:rsid w:val="007927AA"/>
    <w:rsid w:val="00793737"/>
    <w:rsid w:val="00794385"/>
    <w:rsid w:val="007A0960"/>
    <w:rsid w:val="007A2048"/>
    <w:rsid w:val="007A57F2"/>
    <w:rsid w:val="007A7B08"/>
    <w:rsid w:val="007B1333"/>
    <w:rsid w:val="007B20CC"/>
    <w:rsid w:val="007B2378"/>
    <w:rsid w:val="007B67EF"/>
    <w:rsid w:val="007C280F"/>
    <w:rsid w:val="007D053E"/>
    <w:rsid w:val="007D5B0B"/>
    <w:rsid w:val="007D5C5F"/>
    <w:rsid w:val="007D7B72"/>
    <w:rsid w:val="007F3957"/>
    <w:rsid w:val="007F4980"/>
    <w:rsid w:val="007F4AEB"/>
    <w:rsid w:val="007F75B2"/>
    <w:rsid w:val="00800EF2"/>
    <w:rsid w:val="00803993"/>
    <w:rsid w:val="008043C4"/>
    <w:rsid w:val="00805853"/>
    <w:rsid w:val="00807BE2"/>
    <w:rsid w:val="00827B74"/>
    <w:rsid w:val="00831B1B"/>
    <w:rsid w:val="00831B50"/>
    <w:rsid w:val="00843152"/>
    <w:rsid w:val="00855FB3"/>
    <w:rsid w:val="00861D0E"/>
    <w:rsid w:val="00862B67"/>
    <w:rsid w:val="008662BB"/>
    <w:rsid w:val="00867569"/>
    <w:rsid w:val="0087123F"/>
    <w:rsid w:val="00872498"/>
    <w:rsid w:val="00880DA1"/>
    <w:rsid w:val="00897E8D"/>
    <w:rsid w:val="008A4E90"/>
    <w:rsid w:val="008A57D0"/>
    <w:rsid w:val="008A750A"/>
    <w:rsid w:val="008B3970"/>
    <w:rsid w:val="008B7B71"/>
    <w:rsid w:val="008C384C"/>
    <w:rsid w:val="008C586A"/>
    <w:rsid w:val="008C74D3"/>
    <w:rsid w:val="008D0F11"/>
    <w:rsid w:val="008E0FA4"/>
    <w:rsid w:val="008E5AB1"/>
    <w:rsid w:val="008F0591"/>
    <w:rsid w:val="008F73B4"/>
    <w:rsid w:val="00900455"/>
    <w:rsid w:val="009027EC"/>
    <w:rsid w:val="00926E30"/>
    <w:rsid w:val="00927EA2"/>
    <w:rsid w:val="0093063D"/>
    <w:rsid w:val="00942F27"/>
    <w:rsid w:val="0094550A"/>
    <w:rsid w:val="00950ABB"/>
    <w:rsid w:val="00963127"/>
    <w:rsid w:val="00963F8C"/>
    <w:rsid w:val="00965FD0"/>
    <w:rsid w:val="0096672E"/>
    <w:rsid w:val="009675FC"/>
    <w:rsid w:val="00970695"/>
    <w:rsid w:val="00974C6E"/>
    <w:rsid w:val="009774D3"/>
    <w:rsid w:val="00986DD7"/>
    <w:rsid w:val="00987023"/>
    <w:rsid w:val="00995C05"/>
    <w:rsid w:val="009A0FD9"/>
    <w:rsid w:val="009A2EC4"/>
    <w:rsid w:val="009B0EFD"/>
    <w:rsid w:val="009B2A48"/>
    <w:rsid w:val="009B331A"/>
    <w:rsid w:val="009B51C2"/>
    <w:rsid w:val="009B55B1"/>
    <w:rsid w:val="009B62A7"/>
    <w:rsid w:val="009C161D"/>
    <w:rsid w:val="009C36CF"/>
    <w:rsid w:val="009C73C8"/>
    <w:rsid w:val="009C7837"/>
    <w:rsid w:val="009E7A55"/>
    <w:rsid w:val="00A002E0"/>
    <w:rsid w:val="00A0762A"/>
    <w:rsid w:val="00A1095E"/>
    <w:rsid w:val="00A14781"/>
    <w:rsid w:val="00A20DAA"/>
    <w:rsid w:val="00A2281E"/>
    <w:rsid w:val="00A24DAF"/>
    <w:rsid w:val="00A3526F"/>
    <w:rsid w:val="00A4343D"/>
    <w:rsid w:val="00A502F1"/>
    <w:rsid w:val="00A51D82"/>
    <w:rsid w:val="00A5333A"/>
    <w:rsid w:val="00A545D2"/>
    <w:rsid w:val="00A664B8"/>
    <w:rsid w:val="00A70A83"/>
    <w:rsid w:val="00A7419F"/>
    <w:rsid w:val="00A81EB3"/>
    <w:rsid w:val="00A8223B"/>
    <w:rsid w:val="00A848D0"/>
    <w:rsid w:val="00A85EF5"/>
    <w:rsid w:val="00A918A0"/>
    <w:rsid w:val="00A91950"/>
    <w:rsid w:val="00A955BC"/>
    <w:rsid w:val="00A95C8D"/>
    <w:rsid w:val="00A965B6"/>
    <w:rsid w:val="00A966B2"/>
    <w:rsid w:val="00AA5248"/>
    <w:rsid w:val="00AB3410"/>
    <w:rsid w:val="00AB7520"/>
    <w:rsid w:val="00AD7A9B"/>
    <w:rsid w:val="00AE2D44"/>
    <w:rsid w:val="00AE3D64"/>
    <w:rsid w:val="00AE60BC"/>
    <w:rsid w:val="00AE6A05"/>
    <w:rsid w:val="00AE6E9B"/>
    <w:rsid w:val="00AF0EFA"/>
    <w:rsid w:val="00AF1094"/>
    <w:rsid w:val="00AF7724"/>
    <w:rsid w:val="00AF7ACA"/>
    <w:rsid w:val="00B007D9"/>
    <w:rsid w:val="00B00C1D"/>
    <w:rsid w:val="00B13181"/>
    <w:rsid w:val="00B443A9"/>
    <w:rsid w:val="00B55375"/>
    <w:rsid w:val="00B632CC"/>
    <w:rsid w:val="00B63668"/>
    <w:rsid w:val="00B73A54"/>
    <w:rsid w:val="00B7756A"/>
    <w:rsid w:val="00B82385"/>
    <w:rsid w:val="00B87D60"/>
    <w:rsid w:val="00B948D8"/>
    <w:rsid w:val="00BA12F1"/>
    <w:rsid w:val="00BA2C5B"/>
    <w:rsid w:val="00BA439F"/>
    <w:rsid w:val="00BA5179"/>
    <w:rsid w:val="00BA6370"/>
    <w:rsid w:val="00BB36B0"/>
    <w:rsid w:val="00BB478F"/>
    <w:rsid w:val="00BB6E90"/>
    <w:rsid w:val="00BC1F58"/>
    <w:rsid w:val="00BC57C0"/>
    <w:rsid w:val="00BC6294"/>
    <w:rsid w:val="00BD0E44"/>
    <w:rsid w:val="00BD56BB"/>
    <w:rsid w:val="00BE0329"/>
    <w:rsid w:val="00BE6318"/>
    <w:rsid w:val="00BE6F88"/>
    <w:rsid w:val="00BF0465"/>
    <w:rsid w:val="00BF36B1"/>
    <w:rsid w:val="00C00767"/>
    <w:rsid w:val="00C1025A"/>
    <w:rsid w:val="00C103B5"/>
    <w:rsid w:val="00C17C11"/>
    <w:rsid w:val="00C2373C"/>
    <w:rsid w:val="00C238F8"/>
    <w:rsid w:val="00C269D4"/>
    <w:rsid w:val="00C26AD7"/>
    <w:rsid w:val="00C35345"/>
    <w:rsid w:val="00C35900"/>
    <w:rsid w:val="00C37ADB"/>
    <w:rsid w:val="00C4029E"/>
    <w:rsid w:val="00C4160D"/>
    <w:rsid w:val="00C460A6"/>
    <w:rsid w:val="00C478CF"/>
    <w:rsid w:val="00C5184A"/>
    <w:rsid w:val="00C614D1"/>
    <w:rsid w:val="00C7075E"/>
    <w:rsid w:val="00C72152"/>
    <w:rsid w:val="00C72B02"/>
    <w:rsid w:val="00C732BE"/>
    <w:rsid w:val="00C823E4"/>
    <w:rsid w:val="00C8406E"/>
    <w:rsid w:val="00C8505F"/>
    <w:rsid w:val="00C97DC8"/>
    <w:rsid w:val="00CA31A9"/>
    <w:rsid w:val="00CB2709"/>
    <w:rsid w:val="00CB2C31"/>
    <w:rsid w:val="00CB6B47"/>
    <w:rsid w:val="00CB6F89"/>
    <w:rsid w:val="00CC0AE9"/>
    <w:rsid w:val="00CC3E86"/>
    <w:rsid w:val="00CC5813"/>
    <w:rsid w:val="00CD248F"/>
    <w:rsid w:val="00CD618A"/>
    <w:rsid w:val="00CE13A2"/>
    <w:rsid w:val="00CE228C"/>
    <w:rsid w:val="00CE71D9"/>
    <w:rsid w:val="00CF545B"/>
    <w:rsid w:val="00CF73DC"/>
    <w:rsid w:val="00D03C58"/>
    <w:rsid w:val="00D1162E"/>
    <w:rsid w:val="00D11FA6"/>
    <w:rsid w:val="00D139FB"/>
    <w:rsid w:val="00D143C2"/>
    <w:rsid w:val="00D209A7"/>
    <w:rsid w:val="00D25050"/>
    <w:rsid w:val="00D27D69"/>
    <w:rsid w:val="00D33658"/>
    <w:rsid w:val="00D33788"/>
    <w:rsid w:val="00D337E2"/>
    <w:rsid w:val="00D34C2D"/>
    <w:rsid w:val="00D3597A"/>
    <w:rsid w:val="00D402EA"/>
    <w:rsid w:val="00D448C2"/>
    <w:rsid w:val="00D44ADA"/>
    <w:rsid w:val="00D5763D"/>
    <w:rsid w:val="00D60B80"/>
    <w:rsid w:val="00D666C3"/>
    <w:rsid w:val="00D67AAE"/>
    <w:rsid w:val="00D80F7E"/>
    <w:rsid w:val="00D829C3"/>
    <w:rsid w:val="00D84208"/>
    <w:rsid w:val="00D877D7"/>
    <w:rsid w:val="00D87BF0"/>
    <w:rsid w:val="00D9189F"/>
    <w:rsid w:val="00D95711"/>
    <w:rsid w:val="00DA33DE"/>
    <w:rsid w:val="00DA603F"/>
    <w:rsid w:val="00DA6FE5"/>
    <w:rsid w:val="00DA72DC"/>
    <w:rsid w:val="00DB3186"/>
    <w:rsid w:val="00DD0CBF"/>
    <w:rsid w:val="00DD1C54"/>
    <w:rsid w:val="00DD3468"/>
    <w:rsid w:val="00DD4DB0"/>
    <w:rsid w:val="00DE3B61"/>
    <w:rsid w:val="00DF05F0"/>
    <w:rsid w:val="00DF3F77"/>
    <w:rsid w:val="00DF47FE"/>
    <w:rsid w:val="00E0156A"/>
    <w:rsid w:val="00E11B30"/>
    <w:rsid w:val="00E12261"/>
    <w:rsid w:val="00E177CA"/>
    <w:rsid w:val="00E24CDB"/>
    <w:rsid w:val="00E26704"/>
    <w:rsid w:val="00E30BA7"/>
    <w:rsid w:val="00E31980"/>
    <w:rsid w:val="00E37AA4"/>
    <w:rsid w:val="00E42408"/>
    <w:rsid w:val="00E42A98"/>
    <w:rsid w:val="00E518E2"/>
    <w:rsid w:val="00E638E3"/>
    <w:rsid w:val="00E6423C"/>
    <w:rsid w:val="00E64324"/>
    <w:rsid w:val="00E704F1"/>
    <w:rsid w:val="00E714B5"/>
    <w:rsid w:val="00E71AD7"/>
    <w:rsid w:val="00E71E22"/>
    <w:rsid w:val="00E74297"/>
    <w:rsid w:val="00E74E9F"/>
    <w:rsid w:val="00E90CCC"/>
    <w:rsid w:val="00E91F11"/>
    <w:rsid w:val="00E93830"/>
    <w:rsid w:val="00E93E0E"/>
    <w:rsid w:val="00E970C2"/>
    <w:rsid w:val="00EA68FE"/>
    <w:rsid w:val="00EB1ED3"/>
    <w:rsid w:val="00EB3351"/>
    <w:rsid w:val="00EB41BF"/>
    <w:rsid w:val="00EB470D"/>
    <w:rsid w:val="00EB4D40"/>
    <w:rsid w:val="00EC6488"/>
    <w:rsid w:val="00ED01C6"/>
    <w:rsid w:val="00ED50B4"/>
    <w:rsid w:val="00EE27F6"/>
    <w:rsid w:val="00EE2A74"/>
    <w:rsid w:val="00EE6B42"/>
    <w:rsid w:val="00F0381E"/>
    <w:rsid w:val="00F04906"/>
    <w:rsid w:val="00F062C8"/>
    <w:rsid w:val="00F0712F"/>
    <w:rsid w:val="00F121FB"/>
    <w:rsid w:val="00F16FD5"/>
    <w:rsid w:val="00F264EB"/>
    <w:rsid w:val="00F2784F"/>
    <w:rsid w:val="00F340BD"/>
    <w:rsid w:val="00F55C0D"/>
    <w:rsid w:val="00F57165"/>
    <w:rsid w:val="00F70C94"/>
    <w:rsid w:val="00F75F2A"/>
    <w:rsid w:val="00F76719"/>
    <w:rsid w:val="00F81CCD"/>
    <w:rsid w:val="00F8334A"/>
    <w:rsid w:val="00F86FB2"/>
    <w:rsid w:val="00F979C2"/>
    <w:rsid w:val="00FA17ED"/>
    <w:rsid w:val="00FB687C"/>
    <w:rsid w:val="00FC515D"/>
    <w:rsid w:val="00FE2CEE"/>
    <w:rsid w:val="00FE4BD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  <w:style w:type="character" w:styleId="Zdraznn">
    <w:name w:val="Emphasis"/>
    <w:qFormat/>
    <w:rsid w:val="002D6D37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curinova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dek.matejka@czso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short-term-business-statistics/publica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stavebnictvi_metodik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zso.cz/csu/czso/bvz_cr" TargetMode="External"/><Relationship Id="rId10" Type="http://schemas.openxmlformats.org/officeDocument/2006/relationships/hyperlink" Target="https://www.czso.cz/documents/11350/165171481/csta020623_komentar.pdf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sta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5470-4BE6-48F0-B825-647D4CBD8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8E148-8ADC-464A-BF20-273E2D95C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5A830-C7CD-4F32-A33E-32065B29A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D35E5-018D-47F2-98E6-6ED9F18C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789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3790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Tuček Petr</cp:lastModifiedBy>
  <cp:revision>165</cp:revision>
  <cp:lastPrinted>2022-05-04T13:09:00Z</cp:lastPrinted>
  <dcterms:created xsi:type="dcterms:W3CDTF">2022-08-04T04:26:00Z</dcterms:created>
  <dcterms:modified xsi:type="dcterms:W3CDTF">2023-02-03T14:48:00Z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