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50" w:rsidRPr="00CF452A" w:rsidRDefault="005C599C" w:rsidP="00DB6E50">
      <w:pPr>
        <w:pStyle w:val="Datum"/>
        <w:rPr>
          <w:szCs w:val="20"/>
        </w:rPr>
      </w:pPr>
      <w:r>
        <w:t>18</w:t>
      </w:r>
      <w:r w:rsidR="00DB6E50">
        <w:t xml:space="preserve">. </w:t>
      </w:r>
      <w:r>
        <w:t>3</w:t>
      </w:r>
      <w:r w:rsidR="00DB6E50" w:rsidRPr="00CF452A">
        <w:t>. 201</w:t>
      </w:r>
      <w:r w:rsidR="00DB6E50">
        <w:t>9</w:t>
      </w:r>
      <w:r w:rsidR="00DB6E50" w:rsidRPr="00CF452A">
        <w:rPr>
          <w:szCs w:val="20"/>
        </w:rPr>
        <w:t xml:space="preserve"> </w:t>
      </w:r>
    </w:p>
    <w:p w:rsidR="00DB6E50" w:rsidRPr="00B07B6B" w:rsidRDefault="00B07B6B" w:rsidP="00DB6E50">
      <w:pPr>
        <w:pStyle w:val="Nzev"/>
      </w:pPr>
      <w:r>
        <w:t>Meziroční růst cen v rostlinné výrobě zrychloval</w:t>
      </w:r>
    </w:p>
    <w:p w:rsidR="00DB6E50" w:rsidRPr="00431592" w:rsidRDefault="00DB6E50" w:rsidP="00DB6E50">
      <w:pPr>
        <w:pStyle w:val="Podtitulek"/>
        <w:rPr>
          <w:color w:val="C00000"/>
        </w:rPr>
      </w:pPr>
      <w:r w:rsidRPr="00431592">
        <w:t xml:space="preserve">Indexy cen výrobců – </w:t>
      </w:r>
      <w:r w:rsidR="005C599C">
        <w:t>únor</w:t>
      </w:r>
      <w:r>
        <w:t xml:space="preserve"> 201</w:t>
      </w:r>
      <w:r w:rsidR="006535C3">
        <w:t>9</w:t>
      </w:r>
      <w:r w:rsidRPr="00431592">
        <w:t xml:space="preserve"> </w:t>
      </w:r>
    </w:p>
    <w:p w:rsidR="00DB6E50" w:rsidRDefault="00DB6E50" w:rsidP="00DB6E50">
      <w:pPr>
        <w:pStyle w:val="Perex"/>
        <w:contextualSpacing/>
      </w:pPr>
      <w:r w:rsidRPr="00431592">
        <w:t xml:space="preserve">Meziměsíčně </w:t>
      </w:r>
      <w:r>
        <w:t xml:space="preserve">vzrostly ceny </w:t>
      </w:r>
      <w:r w:rsidRPr="00431592">
        <w:t xml:space="preserve">zemědělských </w:t>
      </w:r>
      <w:r w:rsidRPr="00025F0D">
        <w:t>výrobců</w:t>
      </w:r>
      <w:r>
        <w:t xml:space="preserve"> </w:t>
      </w:r>
      <w:r w:rsidRPr="007A6D23">
        <w:t>o </w:t>
      </w:r>
      <w:r w:rsidR="00BC5AD3" w:rsidRPr="007A6D23">
        <w:t>1,4</w:t>
      </w:r>
      <w:r w:rsidRPr="007A6D23">
        <w:t> %</w:t>
      </w:r>
      <w:r w:rsidR="004C1766">
        <w:rPr>
          <w:color w:val="FF0000"/>
        </w:rPr>
        <w:t xml:space="preserve"> </w:t>
      </w:r>
      <w:r w:rsidR="004C1766" w:rsidRPr="004C1766">
        <w:t>a</w:t>
      </w:r>
      <w:r>
        <w:t xml:space="preserve"> </w:t>
      </w:r>
      <w:r w:rsidR="004C1766" w:rsidRPr="00803CE6">
        <w:t>tržních služeb pro podniky o </w:t>
      </w:r>
      <w:r w:rsidR="004C1766">
        <w:t>1,3</w:t>
      </w:r>
      <w:r w:rsidR="004C1766" w:rsidRPr="00803CE6">
        <w:t> %</w:t>
      </w:r>
      <w:r w:rsidR="004C1766">
        <w:t>. C</w:t>
      </w:r>
      <w:r w:rsidR="00FA6A28">
        <w:t xml:space="preserve">eny </w:t>
      </w:r>
      <w:r w:rsidR="00FA6A28" w:rsidRPr="00025F0D">
        <w:t>průmyslových výrobců</w:t>
      </w:r>
      <w:r w:rsidR="00FA6A28">
        <w:t xml:space="preserve"> </w:t>
      </w:r>
      <w:r>
        <w:t xml:space="preserve">a </w:t>
      </w:r>
      <w:r w:rsidRPr="00803CE6">
        <w:t xml:space="preserve">ceny stavebních prací </w:t>
      </w:r>
      <w:r w:rsidR="004C1766">
        <w:t xml:space="preserve">se </w:t>
      </w:r>
      <w:r w:rsidR="00C9108F">
        <w:t xml:space="preserve">shodně </w:t>
      </w:r>
      <w:r w:rsidR="004C1766">
        <w:t xml:space="preserve">zvýšily </w:t>
      </w:r>
      <w:r w:rsidRPr="00803CE6">
        <w:t>o 0,</w:t>
      </w:r>
      <w:r w:rsidR="007A2A76">
        <w:t>3</w:t>
      </w:r>
      <w:r w:rsidRPr="00803CE6">
        <w:t> %</w:t>
      </w:r>
      <w:r>
        <w:t>.</w:t>
      </w:r>
      <w:r w:rsidRPr="00803CE6">
        <w:t xml:space="preserve"> </w:t>
      </w:r>
      <w:r>
        <w:t>M</w:t>
      </w:r>
      <w:r w:rsidRPr="00803CE6">
        <w:t xml:space="preserve">eziročně byly ceny zemědělských výrobců </w:t>
      </w:r>
      <w:r w:rsidRPr="00920F48">
        <w:t xml:space="preserve">vyšší </w:t>
      </w:r>
      <w:r w:rsidRPr="007A6D23">
        <w:t>o </w:t>
      </w:r>
      <w:r w:rsidR="007A6D23">
        <w:t>8,2 </w:t>
      </w:r>
      <w:r w:rsidRPr="007A6D23">
        <w:t>%, ceny</w:t>
      </w:r>
      <w:r w:rsidRPr="00803CE6">
        <w:t xml:space="preserve"> průmyslových výrobců o </w:t>
      </w:r>
      <w:r w:rsidR="004C1766">
        <w:t>3,6</w:t>
      </w:r>
      <w:r w:rsidRPr="00803CE6">
        <w:t> %,</w:t>
      </w:r>
      <w:r>
        <w:t xml:space="preserve"> </w:t>
      </w:r>
      <w:r w:rsidRPr="00803CE6">
        <w:t>ceny stavebních prací o </w:t>
      </w:r>
      <w:r>
        <w:t>4,</w:t>
      </w:r>
      <w:r w:rsidR="00E75A82">
        <w:t>0</w:t>
      </w:r>
      <w:r w:rsidRPr="00803CE6">
        <w:t> % a</w:t>
      </w:r>
      <w:r>
        <w:t xml:space="preserve"> ceny</w:t>
      </w:r>
      <w:r w:rsidRPr="00FF48D6">
        <w:t xml:space="preserve"> tržních služeb </w:t>
      </w:r>
      <w:r>
        <w:t xml:space="preserve">pro podniky </w:t>
      </w:r>
      <w:r w:rsidRPr="00431592">
        <w:t>o </w:t>
      </w:r>
      <w:r>
        <w:t>2,</w:t>
      </w:r>
      <w:r w:rsidR="006D6D02">
        <w:t>4</w:t>
      </w:r>
      <w:r w:rsidRPr="00431592">
        <w:t> %.</w:t>
      </w:r>
      <w:r>
        <w:t xml:space="preserve"> </w:t>
      </w:r>
    </w:p>
    <w:p w:rsidR="00DB6E50" w:rsidRPr="008B18B1" w:rsidRDefault="00DB6E50" w:rsidP="00DB6E50">
      <w:pPr>
        <w:pStyle w:val="Nadpis1"/>
      </w:pPr>
      <w:r w:rsidRPr="008B18B1">
        <w:t>Meziměsíční srovnání</w:t>
      </w:r>
    </w:p>
    <w:p w:rsidR="00DB6E50" w:rsidRDefault="00DB6E50" w:rsidP="00DB6E50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se zvýšily </w:t>
      </w:r>
      <w:r w:rsidRPr="008B18B1">
        <w:rPr>
          <w:rFonts w:cs="Arial"/>
          <w:szCs w:val="20"/>
        </w:rPr>
        <w:t>o </w:t>
      </w:r>
      <w:r w:rsidR="00C27B36">
        <w:rPr>
          <w:rFonts w:cs="Arial"/>
          <w:szCs w:val="20"/>
        </w:rPr>
        <w:t>1,4</w:t>
      </w:r>
      <w:r w:rsidRPr="008B18B1">
        <w:rPr>
          <w:rFonts w:cs="Arial"/>
          <w:szCs w:val="20"/>
        </w:rPr>
        <w:t> %</w:t>
      </w:r>
      <w:r w:rsidR="00870AB0">
        <w:rPr>
          <w:rFonts w:cs="Arial"/>
          <w:szCs w:val="20"/>
        </w:rPr>
        <w:t>, v tom v rostlinné výrobě o 3,3 %</w:t>
      </w:r>
      <w:r>
        <w:rPr>
          <w:rFonts w:cs="Arial"/>
          <w:szCs w:val="20"/>
        </w:rPr>
        <w:t>.</w:t>
      </w:r>
      <w:r w:rsidRPr="008B18B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3D6162">
        <w:rPr>
          <w:rFonts w:cs="Arial"/>
          <w:szCs w:val="20"/>
        </w:rPr>
        <w:t xml:space="preserve"> ceny</w:t>
      </w:r>
      <w:r>
        <w:rPr>
          <w:rFonts w:cs="Arial"/>
          <w:szCs w:val="20"/>
        </w:rPr>
        <w:t xml:space="preserve"> </w:t>
      </w:r>
      <w:r w:rsidR="00690910">
        <w:rPr>
          <w:rFonts w:cs="Arial"/>
          <w:szCs w:val="20"/>
        </w:rPr>
        <w:t xml:space="preserve">brambor o 8,0 %, </w:t>
      </w:r>
      <w:r w:rsidR="00DA48B6">
        <w:rPr>
          <w:rFonts w:cs="Arial"/>
          <w:szCs w:val="20"/>
        </w:rPr>
        <w:t>zeleniny o</w:t>
      </w:r>
      <w:r w:rsidR="00690910">
        <w:rPr>
          <w:rFonts w:cs="Arial"/>
          <w:szCs w:val="20"/>
        </w:rPr>
        <w:t> 5,0 %, drůbeže o 3,2 % a obilovin o 2,8 %.</w:t>
      </w:r>
      <w:r w:rsidR="00690910" w:rsidRPr="006909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="00690910">
        <w:rPr>
          <w:rFonts w:cs="Arial"/>
          <w:szCs w:val="20"/>
        </w:rPr>
        <w:t>jatečných prasat klesly o 0,3 %, mléka o 0,5 % a vajec o 5,4 %.</w:t>
      </w:r>
    </w:p>
    <w:p w:rsidR="00DB6E50" w:rsidRDefault="00DB6E50" w:rsidP="00DB6E50">
      <w:pPr>
        <w:rPr>
          <w:rFonts w:cs="Arial"/>
          <w:szCs w:val="20"/>
        </w:rPr>
      </w:pPr>
    </w:p>
    <w:p w:rsidR="00B67C5B" w:rsidRDefault="00171383" w:rsidP="00DB6E50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0,3 %. Vyšší byly zejména ceny</w:t>
      </w:r>
      <w:r w:rsidRPr="00AE266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 odvětví koksu a rafinovaných ropných produktů.</w:t>
      </w:r>
      <w:r w:rsidRPr="00AF601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se zvýšily o 0,5 %, z toho pekařských, cukrářských a jiných moučných výrobků o 1,8 % a zpracovaného a konzervovaného ovoce a zeleniny o 3,2 %. Ceny v odvětví nábytku a ostatních výrobků zpracovatelského průmyslu vzrostly o 0,7 %, z toho instalace průmyslových strojů a zařízení o 2,5 %. Snížily se ceny obecných kovů a kovodělných výrobků o 0,5 %, dopravních prostředků o 0,2 % a chemických látek a výrobků o 0,7 %.</w:t>
      </w:r>
    </w:p>
    <w:p w:rsidR="00171383" w:rsidRDefault="00171383" w:rsidP="00DB6E50">
      <w:pPr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stavebních prací </w:t>
      </w:r>
      <w:r w:rsidRPr="001137E8">
        <w:rPr>
          <w:rFonts w:cs="Arial"/>
          <w:bCs/>
          <w:szCs w:val="20"/>
        </w:rPr>
        <w:t>dle odhadů vzrostly o 0,</w:t>
      </w:r>
      <w:r w:rsidR="007756D3">
        <w:rPr>
          <w:rFonts w:cs="Arial"/>
          <w:bCs/>
          <w:szCs w:val="20"/>
        </w:rPr>
        <w:t>3</w:t>
      </w:r>
      <w:r w:rsidRPr="001137E8">
        <w:rPr>
          <w:rFonts w:cs="Arial"/>
          <w:bCs/>
          <w:szCs w:val="20"/>
        </w:rPr>
        <w:t xml:space="preserve"> %, </w:t>
      </w:r>
      <w:r w:rsidRPr="001137E8">
        <w:rPr>
          <w:rFonts w:cs="Arial"/>
          <w:szCs w:val="20"/>
        </w:rPr>
        <w:t>ceny materiálů a výrobků spotřebovávaných ve stavebnictví o 0,</w:t>
      </w:r>
      <w:r w:rsidR="001355E0">
        <w:rPr>
          <w:rFonts w:cs="Arial"/>
          <w:szCs w:val="20"/>
        </w:rPr>
        <w:t>1</w:t>
      </w:r>
      <w:r w:rsidRPr="001137E8">
        <w:rPr>
          <w:rFonts w:cs="Arial"/>
          <w:szCs w:val="20"/>
        </w:rPr>
        <w:t xml:space="preserve"> %.</w:t>
      </w:r>
    </w:p>
    <w:p w:rsidR="00DB6E50" w:rsidRPr="001137E8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 w:rsidRPr="001137E8">
        <w:rPr>
          <w:rFonts w:cs="Arial"/>
          <w:szCs w:val="20"/>
        </w:rPr>
        <w:t xml:space="preserve">se </w:t>
      </w:r>
      <w:r w:rsidR="007F24EF">
        <w:rPr>
          <w:rFonts w:cs="Arial"/>
          <w:szCs w:val="20"/>
        </w:rPr>
        <w:t>zvýšily</w:t>
      </w:r>
      <w:r w:rsidRPr="001137E8">
        <w:rPr>
          <w:rFonts w:cs="Arial"/>
          <w:szCs w:val="20"/>
        </w:rPr>
        <w:t xml:space="preserve"> o </w:t>
      </w:r>
      <w:r w:rsidR="007F24EF">
        <w:rPr>
          <w:rFonts w:cs="Arial"/>
          <w:szCs w:val="20"/>
        </w:rPr>
        <w:t>1,3</w:t>
      </w:r>
      <w:r w:rsidRPr="001137E8">
        <w:rPr>
          <w:rFonts w:cs="Arial"/>
          <w:szCs w:val="20"/>
        </w:rPr>
        <w:t xml:space="preserve"> %. </w:t>
      </w:r>
      <w:r w:rsidR="007F24EF">
        <w:rPr>
          <w:rFonts w:cs="Arial"/>
          <w:szCs w:val="20"/>
        </w:rPr>
        <w:t>Vzrostly</w:t>
      </w:r>
      <w:r w:rsidRPr="001137E8">
        <w:rPr>
          <w:rFonts w:cs="Arial"/>
          <w:szCs w:val="20"/>
        </w:rPr>
        <w:t xml:space="preserve"> ceny za reklamní služby a průzkum trhu o </w:t>
      </w:r>
      <w:r w:rsidR="007F24EF">
        <w:rPr>
          <w:rFonts w:cs="Arial"/>
          <w:szCs w:val="20"/>
        </w:rPr>
        <w:t>8,5</w:t>
      </w:r>
      <w:r w:rsidRPr="001137E8">
        <w:rPr>
          <w:rFonts w:cs="Arial"/>
          <w:szCs w:val="20"/>
        </w:rPr>
        <w:t> %</w:t>
      </w:r>
      <w:r w:rsidR="00F95483" w:rsidRPr="001137E8">
        <w:rPr>
          <w:rFonts w:cs="Arial"/>
          <w:szCs w:val="20"/>
        </w:rPr>
        <w:t>,</w:t>
      </w:r>
      <w:r w:rsidRPr="001137E8">
        <w:rPr>
          <w:rFonts w:cs="Arial"/>
          <w:szCs w:val="20"/>
        </w:rPr>
        <w:t xml:space="preserve"> </w:t>
      </w:r>
      <w:r w:rsidR="000D0EAD" w:rsidRPr="00037865">
        <w:rPr>
          <w:rFonts w:cs="Arial"/>
          <w:szCs w:val="20"/>
        </w:rPr>
        <w:t>za služby v oblasti zaměstnání o 2,</w:t>
      </w:r>
      <w:r w:rsidR="000D0EAD">
        <w:rPr>
          <w:rFonts w:cs="Arial"/>
          <w:szCs w:val="20"/>
        </w:rPr>
        <w:t>6</w:t>
      </w:r>
      <w:r w:rsidR="000D0EAD" w:rsidRPr="00037865">
        <w:rPr>
          <w:rFonts w:cs="Arial"/>
          <w:szCs w:val="20"/>
        </w:rPr>
        <w:t> %</w:t>
      </w:r>
      <w:r w:rsidR="000D0EAD">
        <w:rPr>
          <w:rFonts w:cs="Arial"/>
          <w:szCs w:val="20"/>
        </w:rPr>
        <w:t xml:space="preserve"> a</w:t>
      </w:r>
      <w:r w:rsidR="000D0EAD" w:rsidRPr="001137E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 xml:space="preserve">ceny za </w:t>
      </w:r>
      <w:r w:rsidR="00037865" w:rsidRPr="00037865">
        <w:rPr>
          <w:rFonts w:cs="Arial"/>
          <w:szCs w:val="20"/>
        </w:rPr>
        <w:t>poradenství v oblasti řízení</w:t>
      </w:r>
      <w:r w:rsidR="00173775" w:rsidRPr="00037865">
        <w:rPr>
          <w:rFonts w:cs="Arial"/>
          <w:szCs w:val="20"/>
        </w:rPr>
        <w:t xml:space="preserve"> </w:t>
      </w:r>
      <w:r w:rsidR="000D0EAD">
        <w:rPr>
          <w:rFonts w:cs="Arial"/>
          <w:szCs w:val="20"/>
        </w:rPr>
        <w:t>a za s</w:t>
      </w:r>
      <w:r w:rsidR="000D0EAD" w:rsidRPr="000D0EAD">
        <w:rPr>
          <w:rFonts w:cs="Arial"/>
          <w:szCs w:val="20"/>
        </w:rPr>
        <w:t>lužby v oblasti pronájmu a operativního leasingu</w:t>
      </w:r>
      <w:r w:rsidR="000D0EAD">
        <w:rPr>
          <w:rFonts w:cs="Arial"/>
          <w:szCs w:val="20"/>
        </w:rPr>
        <w:t xml:space="preserve"> </w:t>
      </w:r>
      <w:r w:rsidR="00173E65">
        <w:rPr>
          <w:rFonts w:cs="Arial"/>
          <w:szCs w:val="20"/>
        </w:rPr>
        <w:t xml:space="preserve">shodně </w:t>
      </w:r>
      <w:r w:rsidR="00173775" w:rsidRPr="00037865">
        <w:rPr>
          <w:rFonts w:cs="Arial"/>
          <w:szCs w:val="20"/>
        </w:rPr>
        <w:t xml:space="preserve">o </w:t>
      </w:r>
      <w:r w:rsidR="007F24EF">
        <w:rPr>
          <w:rFonts w:cs="Arial"/>
          <w:szCs w:val="20"/>
        </w:rPr>
        <w:t>2,5</w:t>
      </w:r>
      <w:r w:rsidR="00173775" w:rsidRPr="00037865">
        <w:rPr>
          <w:rFonts w:cs="Arial"/>
          <w:szCs w:val="20"/>
        </w:rPr>
        <w:t> %</w:t>
      </w:r>
      <w:r w:rsidR="000D0EAD">
        <w:rPr>
          <w:rFonts w:cs="Arial"/>
          <w:szCs w:val="20"/>
        </w:rPr>
        <w:t xml:space="preserve">. </w:t>
      </w:r>
      <w:r w:rsidR="00173775" w:rsidRPr="00037865">
        <w:rPr>
          <w:rFonts w:cs="Arial"/>
          <w:szCs w:val="20"/>
        </w:rPr>
        <w:t xml:space="preserve"> </w:t>
      </w:r>
      <w:r w:rsidR="000D0EAD" w:rsidRPr="001137E8">
        <w:rPr>
          <w:rFonts w:cs="Arial"/>
          <w:szCs w:val="20"/>
        </w:rPr>
        <w:t xml:space="preserve">Dále se zvýšily </w:t>
      </w:r>
      <w:r w:rsidR="00173E65">
        <w:rPr>
          <w:rFonts w:cs="Arial"/>
          <w:szCs w:val="20"/>
        </w:rPr>
        <w:t xml:space="preserve">ceny </w:t>
      </w:r>
      <w:r w:rsidR="000D0EAD">
        <w:rPr>
          <w:rFonts w:cs="Arial"/>
          <w:szCs w:val="20"/>
        </w:rPr>
        <w:t xml:space="preserve">za bezpečnostní a pátrací služby o 2,3 %, za </w:t>
      </w:r>
      <w:r w:rsidR="000D0EAD" w:rsidRPr="008B18B1">
        <w:rPr>
          <w:rFonts w:cs="Arial"/>
          <w:szCs w:val="20"/>
        </w:rPr>
        <w:t>pojištění, zajištění a penzijní financování</w:t>
      </w:r>
      <w:r w:rsidR="000D0EAD">
        <w:rPr>
          <w:rFonts w:cs="Arial"/>
          <w:szCs w:val="20"/>
        </w:rPr>
        <w:t xml:space="preserve"> o</w:t>
      </w:r>
      <w:r w:rsidR="00173E65">
        <w:rPr>
          <w:rFonts w:cs="Arial"/>
          <w:szCs w:val="20"/>
        </w:rPr>
        <w:t> </w:t>
      </w:r>
      <w:r w:rsidR="000D0EAD">
        <w:rPr>
          <w:rFonts w:cs="Arial"/>
          <w:szCs w:val="20"/>
        </w:rPr>
        <w:t xml:space="preserve">2,0 %, za </w:t>
      </w:r>
      <w:r w:rsidR="000D0EAD" w:rsidRPr="001137E8">
        <w:rPr>
          <w:rFonts w:cs="Arial"/>
          <w:szCs w:val="20"/>
        </w:rPr>
        <w:t xml:space="preserve">právní a účetnické služby o </w:t>
      </w:r>
      <w:r w:rsidR="000D0EAD">
        <w:rPr>
          <w:rFonts w:cs="Arial"/>
          <w:szCs w:val="20"/>
        </w:rPr>
        <w:t>1</w:t>
      </w:r>
      <w:r w:rsidR="000D0EAD" w:rsidRPr="001137E8">
        <w:rPr>
          <w:rFonts w:cs="Arial"/>
          <w:szCs w:val="20"/>
        </w:rPr>
        <w:t>,5 %</w:t>
      </w:r>
      <w:r w:rsidR="000D0EAD">
        <w:rPr>
          <w:rFonts w:cs="Arial"/>
          <w:szCs w:val="20"/>
        </w:rPr>
        <w:t xml:space="preserve"> a </w:t>
      </w:r>
      <w:r w:rsidR="000D0EAD" w:rsidRPr="001137E8">
        <w:rPr>
          <w:rFonts w:cs="Arial"/>
          <w:szCs w:val="20"/>
        </w:rPr>
        <w:t>za architektonické a inženýrské služby</w:t>
      </w:r>
      <w:r w:rsidR="000D0EAD" w:rsidRPr="001137E8">
        <w:rPr>
          <w:rFonts w:cs="Arial"/>
          <w:bCs/>
          <w:iCs/>
          <w:szCs w:val="20"/>
        </w:rPr>
        <w:t xml:space="preserve"> o </w:t>
      </w:r>
      <w:r w:rsidR="000D0EAD">
        <w:rPr>
          <w:rFonts w:cs="Arial"/>
          <w:bCs/>
          <w:iCs/>
          <w:szCs w:val="20"/>
        </w:rPr>
        <w:t>1,2</w:t>
      </w:r>
      <w:r w:rsidR="000D0EAD" w:rsidRPr="001137E8">
        <w:rPr>
          <w:rFonts w:cs="Arial"/>
          <w:bCs/>
          <w:iCs/>
          <w:szCs w:val="20"/>
        </w:rPr>
        <w:t> %</w:t>
      </w:r>
      <w:r w:rsidR="000D0EAD" w:rsidRPr="001137E8">
        <w:rPr>
          <w:rFonts w:cs="Arial"/>
          <w:szCs w:val="20"/>
        </w:rPr>
        <w:t>.</w:t>
      </w:r>
      <w:r w:rsidR="000D0EAD">
        <w:rPr>
          <w:rFonts w:cs="Arial"/>
          <w:szCs w:val="20"/>
        </w:rPr>
        <w:t xml:space="preserve"> C</w:t>
      </w:r>
      <w:r w:rsidR="00F82864" w:rsidRPr="001137E8">
        <w:rPr>
          <w:rFonts w:cs="Arial"/>
          <w:szCs w:val="20"/>
        </w:rPr>
        <w:t xml:space="preserve">eny za </w:t>
      </w:r>
      <w:r w:rsidR="007F24EF">
        <w:rPr>
          <w:rFonts w:cs="Arial"/>
          <w:szCs w:val="20"/>
        </w:rPr>
        <w:t>poštovní a kurýrní</w:t>
      </w:r>
      <w:r w:rsidR="00F82864" w:rsidRPr="001137E8">
        <w:rPr>
          <w:rFonts w:cs="Arial"/>
          <w:szCs w:val="20"/>
        </w:rPr>
        <w:t xml:space="preserve"> služby </w:t>
      </w:r>
      <w:r w:rsidR="00FC4F77">
        <w:rPr>
          <w:rFonts w:cs="Arial"/>
          <w:szCs w:val="20"/>
        </w:rPr>
        <w:t xml:space="preserve">a </w:t>
      </w:r>
      <w:r w:rsidR="00173E65">
        <w:rPr>
          <w:rFonts w:cs="Arial"/>
          <w:szCs w:val="20"/>
        </w:rPr>
        <w:t xml:space="preserve">ceny </w:t>
      </w:r>
      <w:r w:rsidR="00FC4F77" w:rsidRPr="001137E8">
        <w:rPr>
          <w:rFonts w:cs="Arial"/>
          <w:szCs w:val="20"/>
        </w:rPr>
        <w:t xml:space="preserve">za skladování a podpůrné služby v dopravě </w:t>
      </w:r>
      <w:r w:rsidR="000624A1">
        <w:rPr>
          <w:rFonts w:cs="Arial"/>
          <w:szCs w:val="20"/>
        </w:rPr>
        <w:t xml:space="preserve">také </w:t>
      </w:r>
      <w:r w:rsidR="00FC4F77">
        <w:rPr>
          <w:rFonts w:cs="Arial"/>
          <w:szCs w:val="20"/>
        </w:rPr>
        <w:t xml:space="preserve">shodně </w:t>
      </w:r>
      <w:r w:rsidR="000D0EAD">
        <w:rPr>
          <w:rFonts w:cs="Arial"/>
          <w:szCs w:val="20"/>
        </w:rPr>
        <w:t xml:space="preserve">vzrostly </w:t>
      </w:r>
      <w:r w:rsidR="00F82864" w:rsidRPr="001137E8">
        <w:rPr>
          <w:rFonts w:cs="Arial"/>
          <w:szCs w:val="20"/>
        </w:rPr>
        <w:t>o 1,</w:t>
      </w:r>
      <w:r w:rsidR="007F24EF">
        <w:rPr>
          <w:rFonts w:cs="Arial"/>
          <w:szCs w:val="20"/>
        </w:rPr>
        <w:t>0</w:t>
      </w:r>
      <w:r w:rsidR="00F82864" w:rsidRPr="001137E8">
        <w:rPr>
          <w:rFonts w:cs="Arial"/>
          <w:szCs w:val="20"/>
        </w:rPr>
        <w:t> %</w:t>
      </w:r>
      <w:r w:rsidR="00B10EA2">
        <w:rPr>
          <w:rFonts w:cs="Arial"/>
          <w:szCs w:val="20"/>
        </w:rPr>
        <w:t xml:space="preserve">.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0D0EAD">
        <w:rPr>
          <w:rFonts w:cs="Arial"/>
          <w:bCs/>
          <w:szCs w:val="20"/>
        </w:rPr>
        <w:t>se zvýšily</w:t>
      </w:r>
      <w:r w:rsidR="00173775" w:rsidRPr="001137E8">
        <w:rPr>
          <w:rFonts w:cs="Arial"/>
          <w:bCs/>
          <w:szCs w:val="20"/>
        </w:rPr>
        <w:t xml:space="preserve"> o</w:t>
      </w:r>
      <w:r w:rsidR="00173E65">
        <w:rPr>
          <w:rFonts w:cs="Arial"/>
          <w:bCs/>
          <w:szCs w:val="20"/>
        </w:rPr>
        <w:t> </w:t>
      </w:r>
      <w:r w:rsidR="00173775" w:rsidRPr="001137E8">
        <w:rPr>
          <w:rFonts w:cs="Arial"/>
          <w:bCs/>
          <w:szCs w:val="20"/>
        </w:rPr>
        <w:t>0,</w:t>
      </w:r>
      <w:r w:rsidR="007F24EF">
        <w:rPr>
          <w:rFonts w:cs="Arial"/>
          <w:bCs/>
          <w:szCs w:val="20"/>
        </w:rPr>
        <w:t>8</w:t>
      </w:r>
      <w:r w:rsidR="00173775" w:rsidRPr="001137E8">
        <w:rPr>
          <w:rFonts w:cs="Arial"/>
          <w:bCs/>
          <w:szCs w:val="20"/>
        </w:rPr>
        <w:t> %</w:t>
      </w:r>
      <w:r w:rsidRPr="001137E8">
        <w:rPr>
          <w:rFonts w:cs="Arial"/>
          <w:bCs/>
          <w:szCs w:val="20"/>
        </w:rPr>
        <w:t>.</w:t>
      </w:r>
      <w:r w:rsidR="000D0EAD" w:rsidRPr="001137E8">
        <w:rPr>
          <w:rFonts w:cs="Arial"/>
          <w:szCs w:val="20"/>
        </w:rPr>
        <w:t xml:space="preserve"> </w:t>
      </w:r>
    </w:p>
    <w:p w:rsidR="00DB6E50" w:rsidRPr="001137E8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DB6E50" w:rsidRPr="001137E8" w:rsidRDefault="00DB6E50" w:rsidP="00DB6E50">
      <w:pPr>
        <w:pStyle w:val="Nadpis1"/>
      </w:pPr>
      <w:r w:rsidRPr="001137E8">
        <w:rPr>
          <w:rFonts w:eastAsia="Calibri"/>
        </w:rPr>
        <w:t>Meziroční srovnání</w:t>
      </w: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>byly vyšší o </w:t>
      </w:r>
      <w:r w:rsidR="00721B82">
        <w:rPr>
          <w:rFonts w:cs="Arial"/>
          <w:bCs/>
          <w:szCs w:val="20"/>
        </w:rPr>
        <w:t>8,2</w:t>
      </w:r>
      <w:r w:rsidRPr="001137E8">
        <w:rPr>
          <w:rFonts w:cs="Arial"/>
          <w:bCs/>
          <w:szCs w:val="20"/>
        </w:rPr>
        <w:t> % (</w:t>
      </w:r>
      <w:r w:rsidRPr="001137E8">
        <w:rPr>
          <w:rFonts w:cs="Arial"/>
          <w:szCs w:val="20"/>
        </w:rPr>
        <w:t>v </w:t>
      </w:r>
      <w:r w:rsidR="00C4779E">
        <w:rPr>
          <w:rFonts w:cs="Arial"/>
          <w:szCs w:val="20"/>
        </w:rPr>
        <w:t>lednu</w:t>
      </w:r>
      <w:r w:rsidRPr="001137E8">
        <w:rPr>
          <w:rFonts w:cs="Arial"/>
          <w:szCs w:val="20"/>
        </w:rPr>
        <w:t xml:space="preserve"> o </w:t>
      </w:r>
      <w:r w:rsidR="00721B82">
        <w:rPr>
          <w:rFonts w:cs="Arial"/>
          <w:szCs w:val="20"/>
        </w:rPr>
        <w:t>4</w:t>
      </w:r>
      <w:r w:rsidR="008731FC" w:rsidRPr="001137E8">
        <w:rPr>
          <w:rFonts w:cs="Arial"/>
          <w:szCs w:val="20"/>
        </w:rPr>
        <w:t>,4</w:t>
      </w:r>
      <w:r w:rsidRPr="001137E8">
        <w:rPr>
          <w:rFonts w:cs="Arial"/>
          <w:bCs/>
          <w:szCs w:val="20"/>
        </w:rPr>
        <w:t> </w:t>
      </w:r>
      <w:r w:rsidRPr="001137E8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>rostlinné výrobě se ceny zvýšily o </w:t>
      </w:r>
      <w:r w:rsidR="00721B82">
        <w:rPr>
          <w:rFonts w:cs="Arial"/>
          <w:szCs w:val="20"/>
        </w:rPr>
        <w:t>17,4</w:t>
      </w:r>
      <w:r w:rsidRPr="001137E8">
        <w:rPr>
          <w:rFonts w:cs="Arial"/>
          <w:szCs w:val="20"/>
        </w:rPr>
        <w:t> %</w:t>
      </w:r>
      <w:r w:rsidR="00870AB0">
        <w:rPr>
          <w:rFonts w:cs="Arial"/>
          <w:szCs w:val="20"/>
        </w:rPr>
        <w:t xml:space="preserve"> </w:t>
      </w:r>
      <w:r w:rsidR="00870AB0" w:rsidRPr="001137E8">
        <w:rPr>
          <w:rFonts w:cs="Arial"/>
          <w:bCs/>
          <w:szCs w:val="20"/>
        </w:rPr>
        <w:t>(</w:t>
      </w:r>
      <w:r w:rsidR="00870AB0" w:rsidRPr="001137E8">
        <w:rPr>
          <w:rFonts w:cs="Arial"/>
          <w:szCs w:val="20"/>
        </w:rPr>
        <w:t>v </w:t>
      </w:r>
      <w:r w:rsidR="00870AB0">
        <w:rPr>
          <w:rFonts w:cs="Arial"/>
          <w:szCs w:val="20"/>
        </w:rPr>
        <w:t>lednu</w:t>
      </w:r>
      <w:r w:rsidR="00870AB0" w:rsidRPr="001137E8">
        <w:rPr>
          <w:rFonts w:cs="Arial"/>
          <w:szCs w:val="20"/>
        </w:rPr>
        <w:t xml:space="preserve"> o </w:t>
      </w:r>
      <w:r w:rsidR="00870AB0">
        <w:rPr>
          <w:rFonts w:cs="Arial"/>
          <w:szCs w:val="20"/>
        </w:rPr>
        <w:t>12,6</w:t>
      </w:r>
      <w:r w:rsidR="00870AB0" w:rsidRPr="001137E8">
        <w:rPr>
          <w:rFonts w:cs="Arial"/>
          <w:bCs/>
          <w:szCs w:val="20"/>
        </w:rPr>
        <w:t> </w:t>
      </w:r>
      <w:r w:rsidR="00870AB0" w:rsidRPr="001137E8">
        <w:rPr>
          <w:rFonts w:cs="Arial"/>
          <w:szCs w:val="20"/>
        </w:rPr>
        <w:t>%</w:t>
      </w:r>
      <w:r w:rsidR="00870AB0" w:rsidRPr="001137E8">
        <w:rPr>
          <w:rFonts w:cs="Arial"/>
          <w:bCs/>
          <w:szCs w:val="20"/>
        </w:rPr>
        <w:t>)</w:t>
      </w:r>
      <w:r w:rsidRPr="001137E8">
        <w:rPr>
          <w:rFonts w:cs="Arial"/>
          <w:szCs w:val="20"/>
        </w:rPr>
        <w:t xml:space="preserve">. Ceny zeleniny byly vyšší o </w:t>
      </w:r>
      <w:r w:rsidR="00721B82">
        <w:rPr>
          <w:rFonts w:cs="Arial"/>
          <w:szCs w:val="20"/>
        </w:rPr>
        <w:t>79,3</w:t>
      </w:r>
      <w:r w:rsidRPr="001137E8">
        <w:rPr>
          <w:rFonts w:cs="Arial"/>
          <w:szCs w:val="20"/>
        </w:rPr>
        <w:t> %, brambor o </w:t>
      </w:r>
      <w:r w:rsidR="00721B82">
        <w:rPr>
          <w:rFonts w:cs="Arial"/>
          <w:szCs w:val="20"/>
        </w:rPr>
        <w:t>55,2</w:t>
      </w:r>
      <w:r w:rsidRPr="001137E8">
        <w:rPr>
          <w:rFonts w:cs="Arial"/>
          <w:szCs w:val="20"/>
        </w:rPr>
        <w:t> %, obilovin o </w:t>
      </w:r>
      <w:r w:rsidR="00721B82">
        <w:rPr>
          <w:rFonts w:cs="Arial"/>
          <w:szCs w:val="20"/>
        </w:rPr>
        <w:t>19,4</w:t>
      </w:r>
      <w:r w:rsidRPr="001137E8">
        <w:rPr>
          <w:rFonts w:cs="Arial"/>
          <w:szCs w:val="20"/>
        </w:rPr>
        <w:t> % a</w:t>
      </w:r>
      <w:r w:rsidR="00E12B76">
        <w:rPr>
          <w:rFonts w:cs="Arial"/>
          <w:szCs w:val="20"/>
        </w:rPr>
        <w:t> </w:t>
      </w:r>
      <w:r w:rsidRPr="001137E8">
        <w:rPr>
          <w:rFonts w:cs="Arial"/>
          <w:szCs w:val="20"/>
        </w:rPr>
        <w:t>olejnin o </w:t>
      </w:r>
      <w:r w:rsidR="00721B82">
        <w:rPr>
          <w:rFonts w:cs="Arial"/>
          <w:szCs w:val="20"/>
        </w:rPr>
        <w:t>9,7</w:t>
      </w:r>
      <w:r w:rsidRPr="001137E8">
        <w:rPr>
          <w:rFonts w:cs="Arial"/>
          <w:szCs w:val="20"/>
        </w:rPr>
        <w:t> %, ceny ovoce klesly o </w:t>
      </w:r>
      <w:r w:rsidR="00721B82">
        <w:rPr>
          <w:rFonts w:cs="Arial"/>
          <w:szCs w:val="20"/>
        </w:rPr>
        <w:t>24,4</w:t>
      </w:r>
      <w:r w:rsidRPr="001137E8">
        <w:rPr>
          <w:rFonts w:cs="Arial"/>
          <w:szCs w:val="20"/>
        </w:rPr>
        <w:t> %. V živočišné výrobě byly ceny nižší o </w:t>
      </w:r>
      <w:r w:rsidR="00E12B76">
        <w:rPr>
          <w:rFonts w:cs="Arial"/>
          <w:szCs w:val="20"/>
        </w:rPr>
        <w:t>0,6</w:t>
      </w:r>
      <w:r w:rsidRPr="001137E8">
        <w:rPr>
          <w:rFonts w:cs="Arial"/>
          <w:szCs w:val="20"/>
        </w:rPr>
        <w:t> %, klesly ceny vajec o </w:t>
      </w:r>
      <w:r w:rsidR="00E12B76">
        <w:rPr>
          <w:rFonts w:cs="Arial"/>
          <w:szCs w:val="20"/>
        </w:rPr>
        <w:t>12,5</w:t>
      </w:r>
      <w:r w:rsidRPr="001137E8">
        <w:rPr>
          <w:rFonts w:cs="Arial"/>
          <w:szCs w:val="20"/>
        </w:rPr>
        <w:t xml:space="preserve"> %, </w:t>
      </w:r>
      <w:r w:rsidR="00E12B76" w:rsidRPr="001137E8">
        <w:rPr>
          <w:rFonts w:cs="Arial"/>
          <w:szCs w:val="20"/>
        </w:rPr>
        <w:t xml:space="preserve">skotu o </w:t>
      </w:r>
      <w:r w:rsidR="00E12B76">
        <w:rPr>
          <w:rFonts w:cs="Arial"/>
          <w:szCs w:val="20"/>
        </w:rPr>
        <w:t>2,7</w:t>
      </w:r>
      <w:r w:rsidR="00E12B76" w:rsidRPr="001137E8">
        <w:rPr>
          <w:rFonts w:cs="Arial"/>
          <w:szCs w:val="20"/>
        </w:rPr>
        <w:t xml:space="preserve"> % </w:t>
      </w:r>
      <w:r w:rsidR="00E12B76">
        <w:rPr>
          <w:rFonts w:cs="Arial"/>
          <w:szCs w:val="20"/>
        </w:rPr>
        <w:t xml:space="preserve">a </w:t>
      </w:r>
      <w:r w:rsidRPr="001137E8">
        <w:rPr>
          <w:rFonts w:cs="Arial"/>
          <w:szCs w:val="20"/>
        </w:rPr>
        <w:t>jatečných prasat o </w:t>
      </w:r>
      <w:r w:rsidR="00E12B76">
        <w:rPr>
          <w:rFonts w:cs="Arial"/>
          <w:szCs w:val="20"/>
        </w:rPr>
        <w:t>1,6</w:t>
      </w:r>
      <w:r w:rsidRPr="001137E8">
        <w:rPr>
          <w:rFonts w:cs="Arial"/>
          <w:szCs w:val="20"/>
        </w:rPr>
        <w:t> %</w:t>
      </w:r>
      <w:r w:rsidR="00E12B76">
        <w:rPr>
          <w:rFonts w:cs="Arial"/>
          <w:szCs w:val="20"/>
        </w:rPr>
        <w:t>. Ceny</w:t>
      </w:r>
      <w:r w:rsidRPr="001137E8">
        <w:rPr>
          <w:rFonts w:cs="Arial"/>
          <w:szCs w:val="20"/>
        </w:rPr>
        <w:t xml:space="preserve"> mléka </w:t>
      </w:r>
      <w:r w:rsidR="00E12B76">
        <w:rPr>
          <w:rFonts w:cs="Arial"/>
          <w:szCs w:val="20"/>
        </w:rPr>
        <w:t xml:space="preserve">byly vyšší </w:t>
      </w:r>
      <w:r w:rsidRPr="001137E8">
        <w:rPr>
          <w:rFonts w:cs="Arial"/>
          <w:szCs w:val="20"/>
        </w:rPr>
        <w:t xml:space="preserve">o </w:t>
      </w:r>
      <w:r w:rsidR="00E12B76">
        <w:rPr>
          <w:rFonts w:cs="Arial"/>
          <w:szCs w:val="20"/>
        </w:rPr>
        <w:t>0,6</w:t>
      </w:r>
      <w:r w:rsidRPr="001137E8">
        <w:rPr>
          <w:rFonts w:cs="Arial"/>
          <w:szCs w:val="20"/>
        </w:rPr>
        <w:t> %</w:t>
      </w:r>
      <w:r w:rsidR="00E12B76">
        <w:rPr>
          <w:rFonts w:cs="Arial"/>
          <w:szCs w:val="20"/>
        </w:rPr>
        <w:t xml:space="preserve"> a drůbeže o 3,7 %</w:t>
      </w:r>
      <w:r w:rsidRPr="001137E8">
        <w:rPr>
          <w:rFonts w:cs="Arial"/>
          <w:szCs w:val="20"/>
        </w:rPr>
        <w:t xml:space="preserve">. </w:t>
      </w:r>
    </w:p>
    <w:p w:rsidR="00550854" w:rsidRDefault="00550854" w:rsidP="00DB6E50">
      <w:pPr>
        <w:rPr>
          <w:rFonts w:cs="Arial"/>
          <w:szCs w:val="20"/>
        </w:rPr>
      </w:pPr>
    </w:p>
    <w:p w:rsidR="00DB6E50" w:rsidRDefault="006C2691" w:rsidP="00DB6E50">
      <w:pPr>
        <w:rPr>
          <w:rFonts w:cs="Arial"/>
          <w:szCs w:val="20"/>
        </w:rPr>
      </w:pPr>
      <w:r>
        <w:t>C</w:t>
      </w:r>
      <w:r w:rsidRPr="00E7307D">
        <w:t xml:space="preserve">eny </w:t>
      </w:r>
      <w:r w:rsidRPr="00E7307D">
        <w:rPr>
          <w:b/>
          <w:bCs/>
        </w:rPr>
        <w:t>průmyslových výrobců</w:t>
      </w:r>
      <w:r>
        <w:rPr>
          <w:b/>
          <w:bCs/>
        </w:rPr>
        <w:t xml:space="preserve"> </w:t>
      </w:r>
      <w:r w:rsidRPr="00F64E18">
        <w:rPr>
          <w:bCs/>
        </w:rPr>
        <w:t>vzrostly</w:t>
      </w:r>
      <w:r>
        <w:t xml:space="preserve"> o 3,6 % (v lednu</w:t>
      </w:r>
      <w:r w:rsidRPr="00D464EF">
        <w:t xml:space="preserve"> </w:t>
      </w:r>
      <w:r>
        <w:t xml:space="preserve">o 2,9 %). Zvýšily se zejména </w:t>
      </w:r>
      <w:r>
        <w:rPr>
          <w:rFonts w:cs="Arial"/>
          <w:szCs w:val="20"/>
        </w:rPr>
        <w:t xml:space="preserve">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o 7,5 %, z toho ceny elektřiny, přenosu, </w:t>
      </w:r>
      <w:r>
        <w:rPr>
          <w:rFonts w:cs="Arial"/>
          <w:szCs w:val="20"/>
        </w:rPr>
        <w:lastRenderedPageBreak/>
        <w:t>rozvodu a obchodu s elektřinou o 9,9 %.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byly vyšší o 3,2 %, z toho</w:t>
      </w:r>
      <w:r w:rsidRPr="000206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o 5,1 %,</w:t>
      </w:r>
      <w:r w:rsidRPr="00AA5E3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pekařských, cukrářských a jiných moučných výrobků o 4,6 %, mléčných výrobků o 3,6 % a mlýnských a škrobárenských výrobků o 10,8 %.</w:t>
      </w:r>
      <w:bookmarkStart w:id="0" w:name="_GoBack"/>
      <w:bookmarkEnd w:id="0"/>
      <w:r>
        <w:rPr>
          <w:rFonts w:cs="Arial"/>
          <w:szCs w:val="20"/>
        </w:rPr>
        <w:t xml:space="preserve"> Ceny pryžových, plastových a ostatních nekovových minerálních výrobků vzrostly o 3,8 % a obecných kovů a kovodělných výrobků o 2,8 %. Více se zvýšily také ceny v odvětví koksu a rafinovaných ropných produktů. Nižší byly pouze ceny chemických látek a výrobků o 0,4 %. Při </w:t>
      </w:r>
      <w:r w:rsidRPr="006835FC">
        <w:rPr>
          <w:rFonts w:cs="Arial"/>
          <w:szCs w:val="20"/>
        </w:rPr>
        <w:t>hodnocení podle hlavních průmyslových skupin meziročně</w:t>
      </w:r>
      <w:r>
        <w:rPr>
          <w:rFonts w:cs="Arial"/>
          <w:szCs w:val="20"/>
        </w:rPr>
        <w:t xml:space="preserve"> nejvíce vzrostly ceny energií o 7,3 %.</w:t>
      </w:r>
    </w:p>
    <w:p w:rsidR="006C2691" w:rsidRPr="001137E8" w:rsidRDefault="006C2691" w:rsidP="00DB6E50">
      <w:pPr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>stavebních prací</w:t>
      </w:r>
      <w:r w:rsidRPr="001137E8">
        <w:rPr>
          <w:rFonts w:cs="Arial"/>
          <w:szCs w:val="20"/>
        </w:rPr>
        <w:t xml:space="preserve"> se</w:t>
      </w:r>
      <w:r w:rsidRPr="001137E8">
        <w:rPr>
          <w:rFonts w:cs="Arial"/>
          <w:bCs/>
          <w:szCs w:val="20"/>
        </w:rPr>
        <w:t xml:space="preserve"> dle odhadů</w:t>
      </w:r>
      <w:r w:rsidRPr="001137E8">
        <w:rPr>
          <w:rFonts w:cs="Arial"/>
          <w:szCs w:val="20"/>
        </w:rPr>
        <w:t xml:space="preserve"> zvýšily o 4,</w:t>
      </w:r>
      <w:r w:rsidR="00E75A82">
        <w:rPr>
          <w:rFonts w:cs="Arial"/>
          <w:szCs w:val="20"/>
        </w:rPr>
        <w:t>0</w:t>
      </w:r>
      <w:r w:rsidRPr="001137E8">
        <w:rPr>
          <w:rFonts w:cs="Arial"/>
          <w:szCs w:val="20"/>
        </w:rPr>
        <w:t xml:space="preserve"> % </w:t>
      </w:r>
      <w:r w:rsidRPr="001137E8">
        <w:rPr>
          <w:rFonts w:cs="Arial"/>
          <w:bCs/>
          <w:szCs w:val="20"/>
        </w:rPr>
        <w:t xml:space="preserve">(stejně jako </w:t>
      </w:r>
      <w:r w:rsidRPr="001137E8">
        <w:rPr>
          <w:rFonts w:cs="Arial"/>
          <w:szCs w:val="20"/>
        </w:rPr>
        <w:t>v</w:t>
      </w:r>
      <w:r w:rsidR="00996851" w:rsidRPr="001137E8">
        <w:rPr>
          <w:rFonts w:cs="Arial"/>
          <w:szCs w:val="20"/>
        </w:rPr>
        <w:t> </w:t>
      </w:r>
      <w:r w:rsidR="00C4779E">
        <w:rPr>
          <w:rFonts w:cs="Arial"/>
          <w:szCs w:val="20"/>
        </w:rPr>
        <w:t>lednu</w:t>
      </w:r>
      <w:r w:rsidRPr="001137E8">
        <w:rPr>
          <w:rFonts w:cs="Arial"/>
          <w:bCs/>
          <w:szCs w:val="20"/>
        </w:rPr>
        <w:t xml:space="preserve">). </w:t>
      </w:r>
      <w:r w:rsidRPr="001137E8">
        <w:rPr>
          <w:rFonts w:cs="Arial"/>
          <w:szCs w:val="20"/>
        </w:rPr>
        <w:t>Ceny materiál</w:t>
      </w:r>
      <w:r w:rsidR="001A47F3">
        <w:rPr>
          <w:rFonts w:cs="Arial"/>
          <w:szCs w:val="20"/>
        </w:rPr>
        <w:t xml:space="preserve">ů a výrobků spotřebovávaných ve </w:t>
      </w:r>
      <w:r w:rsidRPr="001137E8">
        <w:rPr>
          <w:rFonts w:cs="Arial"/>
          <w:szCs w:val="20"/>
        </w:rPr>
        <w:t>stavebnictví byly vyšší o </w:t>
      </w:r>
      <w:r w:rsidR="007F6197">
        <w:rPr>
          <w:rFonts w:cs="Arial"/>
          <w:szCs w:val="20"/>
        </w:rPr>
        <w:t>5,0</w:t>
      </w:r>
      <w:r w:rsidRPr="001137E8">
        <w:rPr>
          <w:rFonts w:cs="Arial"/>
          <w:szCs w:val="20"/>
        </w:rPr>
        <w:t> % (v </w:t>
      </w:r>
      <w:r w:rsidR="00C4779E">
        <w:rPr>
          <w:rFonts w:cs="Arial"/>
          <w:szCs w:val="20"/>
        </w:rPr>
        <w:t>lednu</w:t>
      </w:r>
      <w:r w:rsidR="007F6197">
        <w:rPr>
          <w:rFonts w:cs="Arial"/>
          <w:szCs w:val="20"/>
        </w:rPr>
        <w:t xml:space="preserve"> o 4,9 %</w:t>
      </w:r>
      <w:r w:rsidRPr="001137E8">
        <w:rPr>
          <w:rFonts w:cs="Arial"/>
          <w:szCs w:val="20"/>
        </w:rPr>
        <w:t>).</w:t>
      </w:r>
    </w:p>
    <w:p w:rsidR="00DB6E50" w:rsidRPr="001137E8" w:rsidRDefault="00DB6E50" w:rsidP="00DB6E50">
      <w:pPr>
        <w:rPr>
          <w:rFonts w:cs="Arial"/>
          <w:szCs w:val="20"/>
        </w:rPr>
      </w:pPr>
    </w:p>
    <w:p w:rsidR="00DB6E50" w:rsidRDefault="00DB6E50" w:rsidP="00DB6E50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>
        <w:rPr>
          <w:rFonts w:cs="Arial"/>
          <w:szCs w:val="20"/>
        </w:rPr>
        <w:t>2,</w:t>
      </w:r>
      <w:r w:rsidR="008D6E7F">
        <w:rPr>
          <w:rFonts w:cs="Arial"/>
          <w:szCs w:val="20"/>
        </w:rPr>
        <w:t>4</w:t>
      </w:r>
      <w:r w:rsidRPr="00811A41">
        <w:rPr>
          <w:rFonts w:cs="Arial"/>
          <w:szCs w:val="20"/>
        </w:rPr>
        <w:t> % (</w:t>
      </w:r>
      <w:r w:rsidRPr="00295B53">
        <w:rPr>
          <w:rFonts w:cs="Arial"/>
          <w:szCs w:val="20"/>
        </w:rPr>
        <w:t>v </w:t>
      </w:r>
      <w:r w:rsidR="00C4779E">
        <w:rPr>
          <w:rFonts w:cs="Arial"/>
          <w:szCs w:val="20"/>
        </w:rPr>
        <w:t>lednu</w:t>
      </w:r>
      <w:r w:rsidRPr="00295B53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</w:t>
      </w:r>
      <w:r w:rsidR="008D6E7F">
        <w:rPr>
          <w:rFonts w:cs="Arial"/>
          <w:szCs w:val="20"/>
        </w:rPr>
        <w:t>7</w:t>
      </w:r>
      <w:r w:rsidRPr="00295B53">
        <w:rPr>
          <w:rFonts w:cs="Arial"/>
          <w:bCs/>
          <w:szCs w:val="20"/>
        </w:rPr>
        <w:t> </w:t>
      </w:r>
      <w:r w:rsidRPr="00295B53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DA289A" w:rsidRPr="00383C10">
        <w:rPr>
          <w:rFonts w:cs="Arial"/>
          <w:szCs w:val="20"/>
        </w:rPr>
        <w:t xml:space="preserve">za poradenství v oblasti řízení o </w:t>
      </w:r>
      <w:r w:rsidR="00DA289A">
        <w:rPr>
          <w:rFonts w:cs="Arial"/>
          <w:szCs w:val="20"/>
        </w:rPr>
        <w:t>7,5</w:t>
      </w:r>
      <w:r w:rsidR="00DA289A" w:rsidRPr="00383C10">
        <w:rPr>
          <w:rFonts w:cs="Arial"/>
          <w:szCs w:val="20"/>
        </w:rPr>
        <w:t> %</w:t>
      </w:r>
      <w:r w:rsidR="00DA289A">
        <w:rPr>
          <w:rFonts w:cs="Arial"/>
          <w:szCs w:val="20"/>
        </w:rPr>
        <w:t xml:space="preserve">, za </w:t>
      </w:r>
      <w:r w:rsidR="00DA289A" w:rsidRPr="008B18B1">
        <w:rPr>
          <w:rFonts w:cs="Arial"/>
          <w:szCs w:val="20"/>
        </w:rPr>
        <w:t>pojištění, zajištění a penzijní financování</w:t>
      </w:r>
      <w:r w:rsidR="00DA289A">
        <w:rPr>
          <w:rFonts w:cs="Arial"/>
          <w:szCs w:val="20"/>
        </w:rPr>
        <w:t xml:space="preserve"> o 7,0 %, </w:t>
      </w:r>
      <w:r w:rsidR="00C65BAA">
        <w:rPr>
          <w:rFonts w:cs="Arial"/>
          <w:szCs w:val="20"/>
        </w:rPr>
        <w:t xml:space="preserve">za služby v oblasti zaměstnání o </w:t>
      </w:r>
      <w:r w:rsidR="008D6E7F">
        <w:rPr>
          <w:rFonts w:cs="Arial"/>
          <w:szCs w:val="20"/>
        </w:rPr>
        <w:t>6</w:t>
      </w:r>
      <w:r w:rsidR="00C65BAA">
        <w:rPr>
          <w:rFonts w:cs="Arial"/>
          <w:szCs w:val="20"/>
        </w:rPr>
        <w:t xml:space="preserve">,8 %, </w:t>
      </w:r>
      <w:r w:rsidR="00DA289A" w:rsidRPr="00383C10">
        <w:rPr>
          <w:rFonts w:cs="Arial"/>
          <w:szCs w:val="20"/>
        </w:rPr>
        <w:t>za reklamní služby a průzkum trhu o </w:t>
      </w:r>
      <w:r w:rsidR="00DA289A">
        <w:rPr>
          <w:rFonts w:cs="Arial"/>
          <w:szCs w:val="20"/>
        </w:rPr>
        <w:t>5,8</w:t>
      </w:r>
      <w:r w:rsidR="00DA289A" w:rsidRPr="00383C10">
        <w:rPr>
          <w:rFonts w:cs="Arial"/>
          <w:szCs w:val="20"/>
        </w:rPr>
        <w:t> %</w:t>
      </w:r>
      <w:r w:rsidR="00DA289A">
        <w:rPr>
          <w:rFonts w:cs="Arial"/>
          <w:szCs w:val="20"/>
        </w:rPr>
        <w:t xml:space="preserve"> a </w:t>
      </w:r>
      <w:r w:rsidR="00C65BAA">
        <w:rPr>
          <w:rFonts w:cs="Arial"/>
          <w:szCs w:val="20"/>
        </w:rPr>
        <w:t xml:space="preserve">za bezpečnostní a </w:t>
      </w:r>
      <w:r w:rsidR="00603561">
        <w:rPr>
          <w:rFonts w:cs="Arial"/>
          <w:szCs w:val="20"/>
        </w:rPr>
        <w:t xml:space="preserve">pátrací služby o </w:t>
      </w:r>
      <w:r w:rsidR="008D6E7F">
        <w:rPr>
          <w:rFonts w:cs="Arial"/>
          <w:szCs w:val="20"/>
        </w:rPr>
        <w:t>4,4</w:t>
      </w:r>
      <w:r w:rsidR="00603561">
        <w:rPr>
          <w:rFonts w:cs="Arial"/>
          <w:szCs w:val="20"/>
        </w:rPr>
        <w:t> %</w:t>
      </w:r>
      <w:r w:rsidR="00DA289A">
        <w:rPr>
          <w:rFonts w:cs="Arial"/>
          <w:szCs w:val="20"/>
        </w:rPr>
        <w:t xml:space="preserve">. </w:t>
      </w:r>
      <w:r w:rsidRPr="00383C10">
        <w:rPr>
          <w:rFonts w:cs="Arial"/>
          <w:szCs w:val="20"/>
        </w:rPr>
        <w:t>Vyšší byly</w:t>
      </w:r>
      <w:r>
        <w:rPr>
          <w:rFonts w:cs="Arial"/>
          <w:szCs w:val="20"/>
        </w:rPr>
        <w:t xml:space="preserve"> </w:t>
      </w:r>
      <w:r w:rsidR="006B48A3">
        <w:rPr>
          <w:rFonts w:cs="Arial"/>
          <w:szCs w:val="20"/>
        </w:rPr>
        <w:t>dále</w:t>
      </w:r>
      <w:r w:rsidR="0060356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za architektonické a inženýrské služby</w:t>
      </w:r>
      <w:r>
        <w:rPr>
          <w:rFonts w:cs="Arial"/>
          <w:bCs/>
          <w:iCs/>
          <w:szCs w:val="20"/>
        </w:rPr>
        <w:t xml:space="preserve"> o </w:t>
      </w:r>
      <w:r w:rsidR="008D6E7F">
        <w:rPr>
          <w:rFonts w:cs="Arial"/>
          <w:bCs/>
          <w:iCs/>
          <w:szCs w:val="20"/>
        </w:rPr>
        <w:t>2,7</w:t>
      </w:r>
      <w:r>
        <w:rPr>
          <w:rFonts w:cs="Arial"/>
          <w:bCs/>
          <w:iCs/>
          <w:szCs w:val="20"/>
        </w:rPr>
        <w:t> %</w:t>
      </w:r>
      <w:r w:rsidR="00DA289A">
        <w:rPr>
          <w:rFonts w:cs="Arial"/>
          <w:bCs/>
          <w:iCs/>
          <w:szCs w:val="20"/>
        </w:rPr>
        <w:t>,</w:t>
      </w:r>
      <w:r w:rsidR="00DA289A">
        <w:rPr>
          <w:rFonts w:cs="Arial"/>
          <w:szCs w:val="20"/>
        </w:rPr>
        <w:t xml:space="preserve"> za poštovní a kurýrní služby o 2,3 % a za služby v pozemní dopravě o 1,5 %</w:t>
      </w:r>
      <w:r>
        <w:rPr>
          <w:rFonts w:cs="Arial"/>
          <w:bCs/>
          <w:iCs/>
          <w:szCs w:val="20"/>
        </w:rPr>
        <w:t xml:space="preserve">. </w:t>
      </w:r>
      <w:r>
        <w:rPr>
          <w:rFonts w:cs="Arial"/>
          <w:szCs w:val="20"/>
        </w:rPr>
        <w:t xml:space="preserve">Nižší byly ceny za skladování a podpůrné služby v dopravě o </w:t>
      </w:r>
      <w:r w:rsidR="00791D2F">
        <w:rPr>
          <w:rFonts w:cs="Arial"/>
          <w:szCs w:val="20"/>
        </w:rPr>
        <w:t>1,</w:t>
      </w:r>
      <w:r w:rsidR="008D6E7F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byly vyšší o </w:t>
      </w:r>
      <w:r>
        <w:rPr>
          <w:rFonts w:cs="Arial"/>
          <w:szCs w:val="20"/>
        </w:rPr>
        <w:t>2,</w:t>
      </w:r>
      <w:r w:rsidR="00F13FBF">
        <w:rPr>
          <w:rFonts w:cs="Arial"/>
          <w:szCs w:val="20"/>
        </w:rPr>
        <w:t>1</w:t>
      </w:r>
      <w:r w:rsidRPr="00811A41">
        <w:rPr>
          <w:rFonts w:cs="Arial"/>
          <w:szCs w:val="20"/>
        </w:rPr>
        <w:t> % (v </w:t>
      </w:r>
      <w:r w:rsidR="00C4779E">
        <w:rPr>
          <w:rFonts w:cs="Arial"/>
          <w:szCs w:val="20"/>
        </w:rPr>
        <w:t>lednu</w:t>
      </w:r>
      <w:r w:rsidRPr="00811A41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</w:t>
      </w:r>
      <w:r w:rsidR="00F13FBF">
        <w:rPr>
          <w:rFonts w:cs="Arial"/>
          <w:szCs w:val="20"/>
        </w:rPr>
        <w:t>6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%).</w:t>
      </w:r>
    </w:p>
    <w:p w:rsidR="00DB6E50" w:rsidRDefault="00DB6E50" w:rsidP="00DB6E50">
      <w:pPr>
        <w:rPr>
          <w:rFonts w:cs="Arial"/>
          <w:szCs w:val="20"/>
        </w:rPr>
      </w:pPr>
    </w:p>
    <w:p w:rsidR="008F392B" w:rsidRPr="007B25FE" w:rsidRDefault="008F392B" w:rsidP="008F392B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leden 2019 (předběžná data)</w:t>
      </w:r>
      <w:r w:rsidRPr="00D64DF3">
        <w:rPr>
          <w:rFonts w:cs="Arial"/>
        </w:rPr>
        <w:t xml:space="preserve"> </w:t>
      </w:r>
    </w:p>
    <w:p w:rsidR="008F392B" w:rsidRDefault="008F392B" w:rsidP="008F392B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ceny průmyslových výrobců v lednu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vzrostly o 0,3 %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prosinci klesly o 0,9 %). Nejvíce se zvýšily cen</w:t>
      </w:r>
      <w:r w:rsidR="00897612">
        <w:rPr>
          <w:rFonts w:cs="Arial"/>
          <w:bCs/>
          <w:iCs/>
          <w:szCs w:val="20"/>
        </w:rPr>
        <w:t>y</w:t>
      </w:r>
      <w:r>
        <w:rPr>
          <w:rFonts w:cs="Arial"/>
          <w:bCs/>
          <w:iCs/>
          <w:szCs w:val="20"/>
        </w:rPr>
        <w:t xml:space="preserve"> v Nizozemsku o 2,0 %. V České republice ceny vzrostly o 1,0 %, v Německu, v Polsku a na</w:t>
      </w:r>
      <w:r w:rsidR="007E6F7A">
        <w:rPr>
          <w:rFonts w:cs="Arial"/>
          <w:bCs/>
          <w:iCs/>
          <w:szCs w:val="20"/>
        </w:rPr>
        <w:t> </w:t>
      </w:r>
      <w:r>
        <w:rPr>
          <w:rFonts w:cs="Arial"/>
          <w:bCs/>
          <w:iCs/>
          <w:szCs w:val="20"/>
        </w:rPr>
        <w:t xml:space="preserve">Slovensku shodně o 0,4 % a v Rakousku o 0,3 %. Nejvíce klesly ceny na Kypru o 1,1 %. </w:t>
      </w:r>
    </w:p>
    <w:p w:rsidR="008F392B" w:rsidRDefault="008F392B" w:rsidP="008F392B">
      <w:pPr>
        <w:rPr>
          <w:rFonts w:cs="Arial"/>
          <w:bCs/>
          <w:iCs/>
          <w:szCs w:val="20"/>
        </w:rPr>
      </w:pPr>
    </w:p>
    <w:p w:rsidR="008F392B" w:rsidRDefault="008F392B" w:rsidP="008F392B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lednu vyšší o 2,9 % (v prosinci o 3,0 %)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se zvýšily ceny v Estonsku o 7,4 %. Na Slovensku</w:t>
      </w:r>
      <w:r>
        <w:rPr>
          <w:rFonts w:cs="Arial"/>
          <w:bCs/>
          <w:szCs w:val="20"/>
        </w:rPr>
        <w:t xml:space="preserve"> byly ceny vyšší o 3,2 %,</w:t>
      </w:r>
      <w:r>
        <w:rPr>
          <w:rFonts w:cs="Arial"/>
          <w:szCs w:val="20"/>
        </w:rPr>
        <w:t xml:space="preserve"> v České republice o 2,9 %, </w:t>
      </w:r>
      <w:r>
        <w:rPr>
          <w:rFonts w:cs="Arial"/>
          <w:bCs/>
          <w:szCs w:val="20"/>
        </w:rPr>
        <w:t>v</w:t>
      </w:r>
      <w:r>
        <w:rPr>
          <w:rFonts w:cs="Arial"/>
          <w:szCs w:val="20"/>
        </w:rPr>
        <w:t xml:space="preserve"> Německu o 2,8 %, v Polsku </w:t>
      </w:r>
      <w:r>
        <w:rPr>
          <w:rFonts w:cs="Arial"/>
          <w:bCs/>
          <w:szCs w:val="20"/>
        </w:rPr>
        <w:t>o 2,4 % a v Rakousku o 2,2 %.</w:t>
      </w:r>
      <w:r>
        <w:rPr>
          <w:rFonts w:cs="Arial"/>
          <w:szCs w:val="20"/>
        </w:rPr>
        <w:t xml:space="preserve"> Ceny klesly pouze v Irsku o 0,1 %.</w:t>
      </w:r>
    </w:p>
    <w:p w:rsidR="00DB6E50" w:rsidRPr="004A43C5" w:rsidRDefault="00DB6E50" w:rsidP="00DB6E50">
      <w:pPr>
        <w:pStyle w:val="Poznmky"/>
        <w:spacing w:line="276" w:lineRule="auto"/>
      </w:pPr>
      <w:r w:rsidRPr="004A43C5">
        <w:t>Poznámky</w:t>
      </w:r>
      <w:r>
        <w:t>: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DB6E50" w:rsidRPr="00FF5547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B6E50" w:rsidRPr="00207BB0" w:rsidRDefault="00DB6E50" w:rsidP="00DB6E50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B6E50" w:rsidRPr="00EE7255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DB6E50" w:rsidRPr="00077E4F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 xml:space="preserve">Publikované údaje, mimo indexů cen stavebních prací, jsou definitivní. Odhady Indexu cen stavebních prací se provádějí do 9.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46.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>. následujícího čtvrtletí.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DB6E50" w:rsidRPr="00207BB0" w:rsidRDefault="00DB6E50" w:rsidP="00DB6E50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DB6E5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DB6E50" w:rsidRPr="009179B3" w:rsidRDefault="00DB6E50" w:rsidP="00DB6E50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5C599C">
        <w:rPr>
          <w:rFonts w:cs="Arial"/>
          <w:iCs w:val="0"/>
          <w:szCs w:val="18"/>
        </w:rPr>
        <w:t>16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5C599C"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 xml:space="preserve"> </w:t>
      </w:r>
    </w:p>
    <w:p w:rsidR="00DB6E50" w:rsidRDefault="00DB6E50" w:rsidP="00DB6E50">
      <w:pPr>
        <w:rPr>
          <w:rFonts w:cs="Arial"/>
          <w:sz w:val="18"/>
          <w:szCs w:val="18"/>
        </w:rPr>
      </w:pPr>
    </w:p>
    <w:p w:rsidR="00DB6E50" w:rsidRPr="009E795C" w:rsidRDefault="00DB6E50" w:rsidP="00DB6E50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DB6E50" w:rsidRPr="009E795C" w:rsidRDefault="00DB6E50" w:rsidP="00DB6E50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 w:rsidR="003A113A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DB6E50" w:rsidRPr="009E795C" w:rsidRDefault="00DB6E50" w:rsidP="00DB6E50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 w:rsidR="003A113A"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DB6E50" w:rsidRPr="009E795C" w:rsidRDefault="00DB6E50" w:rsidP="00DB6E50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 w:rsidR="003A113A"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DB6E50" w:rsidRPr="00A46624" w:rsidRDefault="00DB6E50" w:rsidP="00DB6E50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3A113A">
        <w:rPr>
          <w:rFonts w:cs="Arial"/>
          <w:iCs/>
          <w:szCs w:val="20"/>
        </w:rPr>
        <w:t>1</w:t>
      </w:r>
      <w:r w:rsidR="003A113A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DB6E50" w:rsidRPr="0059500D" w:rsidRDefault="00DB6E50" w:rsidP="00DB6E50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 w:rsidR="003A113A">
        <w:rPr>
          <w:rFonts w:cs="Arial"/>
          <w:iCs/>
          <w:szCs w:val="20"/>
        </w:rPr>
        <w:t xml:space="preserve"> 2 </w:t>
      </w:r>
      <w:r w:rsidR="003A113A"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DB6E50" w:rsidRPr="00A46624" w:rsidRDefault="003A113A" w:rsidP="003A113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</w:r>
      <w:r w:rsidR="00DB6E50">
        <w:rPr>
          <w:rFonts w:cs="Arial"/>
          <w:iCs/>
          <w:szCs w:val="20"/>
        </w:rPr>
        <w:t xml:space="preserve">Index cen </w:t>
      </w:r>
      <w:r w:rsidR="00DB6E50" w:rsidRPr="00A46624">
        <w:rPr>
          <w:rFonts w:cs="Arial"/>
          <w:iCs/>
          <w:szCs w:val="20"/>
        </w:rPr>
        <w:t xml:space="preserve">tržních služeb pro </w:t>
      </w:r>
      <w:r w:rsidR="00DB6E50">
        <w:rPr>
          <w:rFonts w:cs="Arial"/>
          <w:iCs/>
          <w:szCs w:val="20"/>
        </w:rPr>
        <w:t>podniky</w:t>
      </w:r>
      <w:r w:rsidR="00DB6E50" w:rsidRPr="00A46624">
        <w:rPr>
          <w:rFonts w:cs="Arial"/>
          <w:iCs/>
          <w:szCs w:val="20"/>
        </w:rPr>
        <w:t xml:space="preserve"> (meziroční změny, změny proti bazickému roku 20</w:t>
      </w:r>
      <w:r w:rsidR="00DB6E50">
        <w:rPr>
          <w:rFonts w:cs="Arial"/>
          <w:iCs/>
          <w:szCs w:val="20"/>
        </w:rPr>
        <w:t>1</w:t>
      </w:r>
      <w:r w:rsidR="00DB6E50" w:rsidRPr="00A46624">
        <w:rPr>
          <w:rFonts w:cs="Arial"/>
          <w:iCs/>
          <w:szCs w:val="20"/>
        </w:rPr>
        <w:t>5)</w:t>
      </w:r>
    </w:p>
    <w:p w:rsidR="00DB6E50" w:rsidRPr="00A46624" w:rsidRDefault="00DB6E50" w:rsidP="00DB6E50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3A113A">
        <w:rPr>
          <w:rFonts w:cs="Arial"/>
          <w:iCs/>
          <w:szCs w:val="20"/>
        </w:rPr>
        <w:t xml:space="preserve">4 </w:t>
      </w:r>
      <w:r w:rsidR="003A113A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DB6E50" w:rsidRDefault="00DB6E50" w:rsidP="00DB6E50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3A113A">
        <w:rPr>
          <w:rFonts w:cs="Arial"/>
          <w:iCs/>
          <w:szCs w:val="20"/>
        </w:rPr>
        <w:t xml:space="preserve">5 </w:t>
      </w:r>
      <w:r w:rsidR="003A113A"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B6E50" w:rsidRDefault="00DB6E50" w:rsidP="00DB6E50">
      <w:pPr>
        <w:rPr>
          <w:rFonts w:cs="Arial"/>
          <w:iCs/>
          <w:szCs w:val="20"/>
        </w:rPr>
      </w:pPr>
    </w:p>
    <w:p w:rsidR="00DB6E50" w:rsidRDefault="00DB6E50" w:rsidP="00DB6E50"/>
    <w:p w:rsidR="00DB6E50" w:rsidRDefault="00DB6E50" w:rsidP="00DB6E50"/>
    <w:p w:rsidR="00DB6E50" w:rsidRDefault="00DB6E50" w:rsidP="00DB6E50"/>
    <w:p w:rsidR="00DB6E50" w:rsidRDefault="00DB6E50" w:rsidP="00DB6E50"/>
    <w:sectPr w:rsidR="00DB6E50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A8" w:rsidRDefault="004619A8" w:rsidP="00BA6370">
      <w:r>
        <w:separator/>
      </w:r>
    </w:p>
  </w:endnote>
  <w:endnote w:type="continuationSeparator" w:id="0">
    <w:p w:rsidR="004619A8" w:rsidRDefault="004619A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53A8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A8" w:rsidRDefault="004619A8" w:rsidP="00BA6370">
      <w:r>
        <w:separator/>
      </w:r>
    </w:p>
  </w:footnote>
  <w:footnote w:type="continuationSeparator" w:id="0">
    <w:p w:rsidR="004619A8" w:rsidRDefault="004619A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53A8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58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55"/>
    <w:rsid w:val="00000B06"/>
    <w:rsid w:val="00037865"/>
    <w:rsid w:val="00043BF4"/>
    <w:rsid w:val="000624A1"/>
    <w:rsid w:val="000843A5"/>
    <w:rsid w:val="000910DA"/>
    <w:rsid w:val="00096D6C"/>
    <w:rsid w:val="000B6F63"/>
    <w:rsid w:val="000C27AD"/>
    <w:rsid w:val="000D093F"/>
    <w:rsid w:val="000D0EAD"/>
    <w:rsid w:val="000E43CC"/>
    <w:rsid w:val="00112B77"/>
    <w:rsid w:val="001137E8"/>
    <w:rsid w:val="001355E0"/>
    <w:rsid w:val="001404AB"/>
    <w:rsid w:val="001505BE"/>
    <w:rsid w:val="00160260"/>
    <w:rsid w:val="001671F0"/>
    <w:rsid w:val="00171383"/>
    <w:rsid w:val="0017231D"/>
    <w:rsid w:val="001732A6"/>
    <w:rsid w:val="00173775"/>
    <w:rsid w:val="00173E65"/>
    <w:rsid w:val="001810DC"/>
    <w:rsid w:val="001A29A2"/>
    <w:rsid w:val="001A47F3"/>
    <w:rsid w:val="001B607F"/>
    <w:rsid w:val="001D369A"/>
    <w:rsid w:val="001F00B7"/>
    <w:rsid w:val="001F08B3"/>
    <w:rsid w:val="001F2FE0"/>
    <w:rsid w:val="00200854"/>
    <w:rsid w:val="00203855"/>
    <w:rsid w:val="002070FB"/>
    <w:rsid w:val="00213729"/>
    <w:rsid w:val="00222BAB"/>
    <w:rsid w:val="00224013"/>
    <w:rsid w:val="002406FA"/>
    <w:rsid w:val="0026107B"/>
    <w:rsid w:val="002A0947"/>
    <w:rsid w:val="002B2E47"/>
    <w:rsid w:val="002F72DC"/>
    <w:rsid w:val="00312069"/>
    <w:rsid w:val="00326900"/>
    <w:rsid w:val="003301A3"/>
    <w:rsid w:val="00351975"/>
    <w:rsid w:val="0036777B"/>
    <w:rsid w:val="0038282A"/>
    <w:rsid w:val="00383C10"/>
    <w:rsid w:val="00385B1C"/>
    <w:rsid w:val="00397580"/>
    <w:rsid w:val="003A113A"/>
    <w:rsid w:val="003A45C8"/>
    <w:rsid w:val="003B6DB3"/>
    <w:rsid w:val="003C2DCF"/>
    <w:rsid w:val="003C7FE7"/>
    <w:rsid w:val="003D0499"/>
    <w:rsid w:val="003D3576"/>
    <w:rsid w:val="003E0107"/>
    <w:rsid w:val="003F093A"/>
    <w:rsid w:val="003F526A"/>
    <w:rsid w:val="00405244"/>
    <w:rsid w:val="004154C7"/>
    <w:rsid w:val="0043421F"/>
    <w:rsid w:val="004436EE"/>
    <w:rsid w:val="00444008"/>
    <w:rsid w:val="0045547F"/>
    <w:rsid w:val="004619A8"/>
    <w:rsid w:val="004646D9"/>
    <w:rsid w:val="00471DEF"/>
    <w:rsid w:val="004920AD"/>
    <w:rsid w:val="00494903"/>
    <w:rsid w:val="004B7E30"/>
    <w:rsid w:val="004C1766"/>
    <w:rsid w:val="004D05B3"/>
    <w:rsid w:val="004E479E"/>
    <w:rsid w:val="004F686C"/>
    <w:rsid w:val="004F78E6"/>
    <w:rsid w:val="0050420E"/>
    <w:rsid w:val="00512D99"/>
    <w:rsid w:val="00531DBB"/>
    <w:rsid w:val="005442A9"/>
    <w:rsid w:val="005449B3"/>
    <w:rsid w:val="00550854"/>
    <w:rsid w:val="00573994"/>
    <w:rsid w:val="005B1278"/>
    <w:rsid w:val="005B1BCD"/>
    <w:rsid w:val="005C1F1A"/>
    <w:rsid w:val="005C599C"/>
    <w:rsid w:val="005C7465"/>
    <w:rsid w:val="005F79FB"/>
    <w:rsid w:val="00603561"/>
    <w:rsid w:val="00604406"/>
    <w:rsid w:val="00605F4A"/>
    <w:rsid w:val="00607822"/>
    <w:rsid w:val="006103AA"/>
    <w:rsid w:val="00613BBF"/>
    <w:rsid w:val="00622B80"/>
    <w:rsid w:val="0064139A"/>
    <w:rsid w:val="006535C3"/>
    <w:rsid w:val="00653A84"/>
    <w:rsid w:val="00690910"/>
    <w:rsid w:val="006931CF"/>
    <w:rsid w:val="006A4340"/>
    <w:rsid w:val="006B26DC"/>
    <w:rsid w:val="006B48A3"/>
    <w:rsid w:val="006C2691"/>
    <w:rsid w:val="006C6604"/>
    <w:rsid w:val="006D6D02"/>
    <w:rsid w:val="006E024F"/>
    <w:rsid w:val="006E4E81"/>
    <w:rsid w:val="00707F7D"/>
    <w:rsid w:val="00717EC5"/>
    <w:rsid w:val="00721B82"/>
    <w:rsid w:val="00724017"/>
    <w:rsid w:val="00726DBF"/>
    <w:rsid w:val="00741BA4"/>
    <w:rsid w:val="0074303E"/>
    <w:rsid w:val="00754C20"/>
    <w:rsid w:val="00756624"/>
    <w:rsid w:val="00775431"/>
    <w:rsid w:val="007756D3"/>
    <w:rsid w:val="00791D2F"/>
    <w:rsid w:val="007A2048"/>
    <w:rsid w:val="007A2A76"/>
    <w:rsid w:val="007A57F2"/>
    <w:rsid w:val="007A6D23"/>
    <w:rsid w:val="007B1333"/>
    <w:rsid w:val="007E6F7A"/>
    <w:rsid w:val="007F24EF"/>
    <w:rsid w:val="007F4AEB"/>
    <w:rsid w:val="007F6197"/>
    <w:rsid w:val="007F75B2"/>
    <w:rsid w:val="0080210B"/>
    <w:rsid w:val="00803993"/>
    <w:rsid w:val="008043C4"/>
    <w:rsid w:val="00831B1B"/>
    <w:rsid w:val="00854BFF"/>
    <w:rsid w:val="00855FB3"/>
    <w:rsid w:val="008601F3"/>
    <w:rsid w:val="00861D0E"/>
    <w:rsid w:val="00862FC6"/>
    <w:rsid w:val="008662BB"/>
    <w:rsid w:val="00867569"/>
    <w:rsid w:val="00867F2D"/>
    <w:rsid w:val="00870AB0"/>
    <w:rsid w:val="008731FC"/>
    <w:rsid w:val="00897612"/>
    <w:rsid w:val="008A750A"/>
    <w:rsid w:val="008B3970"/>
    <w:rsid w:val="008C384C"/>
    <w:rsid w:val="008C5FC6"/>
    <w:rsid w:val="008D0F11"/>
    <w:rsid w:val="008D6E7F"/>
    <w:rsid w:val="008E1431"/>
    <w:rsid w:val="008F392B"/>
    <w:rsid w:val="008F73B4"/>
    <w:rsid w:val="008F79C9"/>
    <w:rsid w:val="00952FF0"/>
    <w:rsid w:val="00954332"/>
    <w:rsid w:val="0096072F"/>
    <w:rsid w:val="00965891"/>
    <w:rsid w:val="00972B16"/>
    <w:rsid w:val="009852F9"/>
    <w:rsid w:val="00986DD7"/>
    <w:rsid w:val="00996851"/>
    <w:rsid w:val="009A27A5"/>
    <w:rsid w:val="009B2FEF"/>
    <w:rsid w:val="009B55B1"/>
    <w:rsid w:val="00A0762A"/>
    <w:rsid w:val="00A21C04"/>
    <w:rsid w:val="00A4343D"/>
    <w:rsid w:val="00A44F7A"/>
    <w:rsid w:val="00A502F1"/>
    <w:rsid w:val="00A55404"/>
    <w:rsid w:val="00A70A83"/>
    <w:rsid w:val="00A81EB3"/>
    <w:rsid w:val="00A87CF6"/>
    <w:rsid w:val="00A90194"/>
    <w:rsid w:val="00AA2A50"/>
    <w:rsid w:val="00AB3410"/>
    <w:rsid w:val="00AB4F10"/>
    <w:rsid w:val="00AC62BA"/>
    <w:rsid w:val="00AD029F"/>
    <w:rsid w:val="00B00C1D"/>
    <w:rsid w:val="00B028F8"/>
    <w:rsid w:val="00B07B6B"/>
    <w:rsid w:val="00B10EA2"/>
    <w:rsid w:val="00B20874"/>
    <w:rsid w:val="00B2727D"/>
    <w:rsid w:val="00B32AF5"/>
    <w:rsid w:val="00B40B8E"/>
    <w:rsid w:val="00B55375"/>
    <w:rsid w:val="00B632CC"/>
    <w:rsid w:val="00B67C5B"/>
    <w:rsid w:val="00B96A08"/>
    <w:rsid w:val="00BA12F1"/>
    <w:rsid w:val="00BA439F"/>
    <w:rsid w:val="00BA6370"/>
    <w:rsid w:val="00BC5AD3"/>
    <w:rsid w:val="00C269D4"/>
    <w:rsid w:val="00C27B36"/>
    <w:rsid w:val="00C37ADB"/>
    <w:rsid w:val="00C4160D"/>
    <w:rsid w:val="00C4779E"/>
    <w:rsid w:val="00C65BAA"/>
    <w:rsid w:val="00C7611F"/>
    <w:rsid w:val="00C80F9E"/>
    <w:rsid w:val="00C8406E"/>
    <w:rsid w:val="00C9108F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34AF9"/>
    <w:rsid w:val="00D448C2"/>
    <w:rsid w:val="00D666C3"/>
    <w:rsid w:val="00D9189F"/>
    <w:rsid w:val="00DA2784"/>
    <w:rsid w:val="00DA289A"/>
    <w:rsid w:val="00DA48B6"/>
    <w:rsid w:val="00DB6E50"/>
    <w:rsid w:val="00DD461E"/>
    <w:rsid w:val="00DF47FE"/>
    <w:rsid w:val="00E00E3F"/>
    <w:rsid w:val="00E0156A"/>
    <w:rsid w:val="00E12B76"/>
    <w:rsid w:val="00E13244"/>
    <w:rsid w:val="00E1439E"/>
    <w:rsid w:val="00E26704"/>
    <w:rsid w:val="00E31980"/>
    <w:rsid w:val="00E539F9"/>
    <w:rsid w:val="00E60D63"/>
    <w:rsid w:val="00E6423C"/>
    <w:rsid w:val="00E75A82"/>
    <w:rsid w:val="00E93830"/>
    <w:rsid w:val="00E93E0E"/>
    <w:rsid w:val="00EA3AD7"/>
    <w:rsid w:val="00EB1ED3"/>
    <w:rsid w:val="00ED2F29"/>
    <w:rsid w:val="00ED6A54"/>
    <w:rsid w:val="00EE4BE2"/>
    <w:rsid w:val="00EF7AED"/>
    <w:rsid w:val="00F13FBF"/>
    <w:rsid w:val="00F75F2A"/>
    <w:rsid w:val="00F80FFC"/>
    <w:rsid w:val="00F82864"/>
    <w:rsid w:val="00F95483"/>
    <w:rsid w:val="00FA015E"/>
    <w:rsid w:val="00FA0BF2"/>
    <w:rsid w:val="00FA1CFD"/>
    <w:rsid w:val="00FA6A28"/>
    <w:rsid w:val="00FB513F"/>
    <w:rsid w:val="00FB687C"/>
    <w:rsid w:val="00FC4F7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DB6E50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B6E50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DB6E50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E50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DB6E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342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0081-90F0-4532-8461-6940704A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361</TotalTime>
  <Pages>3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Ludmila Kratochvílová</cp:lastModifiedBy>
  <cp:revision>36</cp:revision>
  <cp:lastPrinted>2019-03-13T09:05:00Z</cp:lastPrinted>
  <dcterms:created xsi:type="dcterms:W3CDTF">2019-03-11T11:45:00Z</dcterms:created>
  <dcterms:modified xsi:type="dcterms:W3CDTF">2019-03-15T08:40:00Z</dcterms:modified>
</cp:coreProperties>
</file>