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A7" w:rsidRDefault="008B7DC2" w:rsidP="008538A7">
      <w:pPr>
        <w:pStyle w:val="Nzev"/>
        <w:rPr>
          <w:rFonts w:eastAsia="Calibri" w:cs="Arial"/>
          <w:bCs w:val="0"/>
          <w:color w:val="auto"/>
          <w:sz w:val="18"/>
          <w:szCs w:val="22"/>
        </w:rPr>
      </w:pPr>
      <w:r>
        <w:rPr>
          <w:rFonts w:eastAsia="Calibri" w:cs="Arial"/>
          <w:bCs w:val="0"/>
          <w:color w:val="auto"/>
          <w:sz w:val="18"/>
          <w:szCs w:val="22"/>
        </w:rPr>
        <w:t>4</w:t>
      </w:r>
      <w:r w:rsidR="008538A7" w:rsidRPr="00CE0A8D">
        <w:rPr>
          <w:rFonts w:eastAsia="Calibri" w:cs="Arial"/>
          <w:bCs w:val="0"/>
          <w:color w:val="auto"/>
          <w:sz w:val="18"/>
          <w:szCs w:val="22"/>
        </w:rPr>
        <w:t>.</w:t>
      </w:r>
      <w:r w:rsidR="00553FF9">
        <w:rPr>
          <w:rFonts w:eastAsia="Calibri" w:cs="Arial"/>
          <w:bCs w:val="0"/>
          <w:color w:val="auto"/>
          <w:sz w:val="18"/>
          <w:szCs w:val="22"/>
        </w:rPr>
        <w:t xml:space="preserve"> </w:t>
      </w:r>
      <w:r>
        <w:rPr>
          <w:rFonts w:eastAsia="Calibri" w:cs="Arial"/>
          <w:bCs w:val="0"/>
          <w:color w:val="auto"/>
          <w:sz w:val="18"/>
          <w:szCs w:val="22"/>
        </w:rPr>
        <w:t>3</w:t>
      </w:r>
      <w:r w:rsidR="007E1A70">
        <w:rPr>
          <w:rFonts w:eastAsia="Calibri" w:cs="Arial"/>
          <w:bCs w:val="0"/>
          <w:color w:val="auto"/>
          <w:sz w:val="18"/>
          <w:szCs w:val="22"/>
        </w:rPr>
        <w:t>.</w:t>
      </w:r>
      <w:r w:rsidR="008538A7">
        <w:rPr>
          <w:rFonts w:eastAsia="Calibri" w:cs="Arial"/>
          <w:bCs w:val="0"/>
          <w:color w:val="auto"/>
          <w:sz w:val="18"/>
          <w:szCs w:val="22"/>
        </w:rPr>
        <w:t xml:space="preserve"> 201</w:t>
      </w:r>
      <w:r>
        <w:rPr>
          <w:rFonts w:eastAsia="Calibri" w:cs="Arial"/>
          <w:bCs w:val="0"/>
          <w:color w:val="auto"/>
          <w:sz w:val="18"/>
          <w:szCs w:val="22"/>
        </w:rPr>
        <w:t>6</w:t>
      </w:r>
    </w:p>
    <w:p w:rsidR="008538A7" w:rsidRPr="00AA150C" w:rsidRDefault="00495FDB" w:rsidP="008538A7">
      <w:pPr>
        <w:pStyle w:val="Nzev"/>
        <w:spacing w:after="360"/>
        <w:rPr>
          <w:strike/>
          <w:color w:val="C00000"/>
        </w:rPr>
      </w:pPr>
      <w:r>
        <w:t>HDP v roce 2015 vzrostl o 4,3 %</w:t>
      </w:r>
    </w:p>
    <w:p w:rsidR="008538A7" w:rsidRPr="00A81EB3" w:rsidRDefault="008538A7" w:rsidP="008538A7">
      <w:pPr>
        <w:pStyle w:val="Podtitulek"/>
      </w:pPr>
      <w:r>
        <w:t>Tvorba a užití HDP</w:t>
      </w:r>
      <w:r w:rsidRPr="00431C5C">
        <w:t xml:space="preserve"> </w:t>
      </w:r>
      <w:r w:rsidR="00495FDB">
        <w:t xml:space="preserve">– </w:t>
      </w:r>
      <w:r w:rsidR="008B7DC2">
        <w:t>4</w:t>
      </w:r>
      <w:r w:rsidRPr="00431C5C">
        <w:t xml:space="preserve">. čtvrtletí </w:t>
      </w:r>
      <w:r>
        <w:t>2015</w:t>
      </w:r>
    </w:p>
    <w:p w:rsidR="008B7DC2" w:rsidRDefault="002B3869" w:rsidP="008B7DC2">
      <w:pPr>
        <w:pStyle w:val="Perex"/>
      </w:pPr>
      <w:r>
        <w:t xml:space="preserve">Podle zpřesněného odhadu se hrubý domácí produkt </w:t>
      </w:r>
      <w:r w:rsidR="008B7DC2">
        <w:t>ve 4</w:t>
      </w:r>
      <w:r w:rsidR="008B7DC2" w:rsidRPr="00F340B2">
        <w:t>.</w:t>
      </w:r>
      <w:r w:rsidR="008B7DC2">
        <w:t> </w:t>
      </w:r>
      <w:r w:rsidR="008B7DC2" w:rsidRPr="00F340B2">
        <w:t xml:space="preserve">čtvrtletí </w:t>
      </w:r>
      <w:r w:rsidR="008B7DC2">
        <w:t xml:space="preserve">zvýšil </w:t>
      </w:r>
      <w:r>
        <w:t xml:space="preserve">meziročně </w:t>
      </w:r>
      <w:r w:rsidR="008B7DC2">
        <w:t>o 4,0 %</w:t>
      </w:r>
      <w:r w:rsidR="00B578A8">
        <w:t xml:space="preserve"> a </w:t>
      </w:r>
      <w:r w:rsidR="008B7DC2">
        <w:t>oproti předchozímu čtvrtletí se nezměnil.</w:t>
      </w:r>
      <w:r w:rsidR="00335D75">
        <w:t xml:space="preserve"> Hrubá přidaná hodnota vzrostla </w:t>
      </w:r>
      <w:r w:rsidR="00F71432">
        <w:t>meziročně o 3,8 % a </w:t>
      </w:r>
      <w:r w:rsidR="00335D75">
        <w:t xml:space="preserve">mezičtvrtletně o 0,5 %. </w:t>
      </w:r>
      <w:r w:rsidR="009B66AB">
        <w:t xml:space="preserve">Růst </w:t>
      </w:r>
      <w:r>
        <w:t xml:space="preserve">HDP za celý rok 2015 </w:t>
      </w:r>
      <w:r w:rsidR="009B66AB">
        <w:t>činil</w:t>
      </w:r>
      <w:r>
        <w:t xml:space="preserve"> </w:t>
      </w:r>
      <w:r w:rsidRPr="000C159C">
        <w:t>4,3 %</w:t>
      </w:r>
      <w:r w:rsidR="00077942">
        <w:t>.</w:t>
      </w:r>
    </w:p>
    <w:p w:rsidR="00572037" w:rsidRDefault="005D2560" w:rsidP="005D2560">
      <w:pPr>
        <w:spacing w:before="240"/>
        <w:rPr>
          <w:rFonts w:cs="Arial"/>
          <w:szCs w:val="18"/>
        </w:rPr>
      </w:pPr>
      <w:r>
        <w:rPr>
          <w:rFonts w:cs="Arial"/>
          <w:szCs w:val="18"/>
        </w:rPr>
        <w:t xml:space="preserve">Česká ekonomika </w:t>
      </w:r>
      <w:r w:rsidR="00FB02E8">
        <w:rPr>
          <w:rFonts w:cs="Arial"/>
          <w:szCs w:val="18"/>
        </w:rPr>
        <w:t>na konci roku 2015 nadále rostla</w:t>
      </w:r>
      <w:r>
        <w:rPr>
          <w:rFonts w:cs="Arial"/>
          <w:szCs w:val="18"/>
        </w:rPr>
        <w:t xml:space="preserve">, </w:t>
      </w:r>
      <w:r w:rsidR="00507F4B">
        <w:rPr>
          <w:rFonts w:cs="Arial"/>
          <w:szCs w:val="18"/>
        </w:rPr>
        <w:t>ale</w:t>
      </w:r>
      <w:r w:rsidRPr="00FF31A2">
        <w:rPr>
          <w:rFonts w:cs="Arial"/>
          <w:szCs w:val="18"/>
        </w:rPr>
        <w:t xml:space="preserve"> </w:t>
      </w:r>
      <w:r>
        <w:rPr>
          <w:rFonts w:cs="Arial"/>
          <w:szCs w:val="18"/>
        </w:rPr>
        <w:t xml:space="preserve">pomalejším tempem než </w:t>
      </w:r>
      <w:r w:rsidR="00FB02E8">
        <w:rPr>
          <w:rFonts w:cs="Arial"/>
          <w:szCs w:val="18"/>
        </w:rPr>
        <w:t>v </w:t>
      </w:r>
      <w:r w:rsidR="00480467">
        <w:rPr>
          <w:rFonts w:cs="Arial"/>
          <w:szCs w:val="18"/>
        </w:rPr>
        <w:t>předchozích</w:t>
      </w:r>
      <w:r w:rsidR="00FB02E8">
        <w:rPr>
          <w:rFonts w:cs="Arial"/>
          <w:szCs w:val="18"/>
        </w:rPr>
        <w:t xml:space="preserve"> </w:t>
      </w:r>
      <w:r>
        <w:rPr>
          <w:rFonts w:cs="Arial"/>
          <w:szCs w:val="18"/>
        </w:rPr>
        <w:t>čtvrtletích</w:t>
      </w:r>
      <w:r w:rsidR="00335D75">
        <w:rPr>
          <w:rFonts w:cs="Arial"/>
          <w:szCs w:val="18"/>
        </w:rPr>
        <w:t xml:space="preserve">. </w:t>
      </w:r>
      <w:r w:rsidRPr="005D2560">
        <w:rPr>
          <w:rFonts w:cs="Arial"/>
          <w:b/>
          <w:szCs w:val="18"/>
        </w:rPr>
        <w:t>Hrubý domácí produkt (HDP)</w:t>
      </w:r>
      <w:r>
        <w:rPr>
          <w:rFonts w:cs="Arial"/>
          <w:szCs w:val="18"/>
        </w:rPr>
        <w:t xml:space="preserve"> </w:t>
      </w:r>
      <w:r w:rsidRPr="005D2560">
        <w:rPr>
          <w:rFonts w:cs="Arial"/>
          <w:szCs w:val="18"/>
        </w:rPr>
        <w:t>očištěný o cenové vlivy</w:t>
      </w:r>
      <w:r w:rsidR="00335D75">
        <w:rPr>
          <w:rFonts w:cs="Arial"/>
          <w:szCs w:val="18"/>
        </w:rPr>
        <w:t xml:space="preserve"> a </w:t>
      </w:r>
      <w:r>
        <w:rPr>
          <w:rFonts w:cs="Arial"/>
          <w:szCs w:val="18"/>
        </w:rPr>
        <w:t>sezónnost</w:t>
      </w:r>
      <w:r>
        <w:rPr>
          <w:rStyle w:val="Znakapoznpodarou"/>
          <w:rFonts w:cs="Arial"/>
          <w:szCs w:val="18"/>
        </w:rPr>
        <w:footnoteReference w:id="1"/>
      </w:r>
      <w:r>
        <w:rPr>
          <w:rFonts w:cs="Arial"/>
          <w:szCs w:val="18"/>
        </w:rPr>
        <w:t xml:space="preserve"> </w:t>
      </w:r>
      <w:r w:rsidR="00335D75">
        <w:rPr>
          <w:rFonts w:cs="Arial"/>
          <w:szCs w:val="18"/>
        </w:rPr>
        <w:t>byl</w:t>
      </w:r>
      <w:r w:rsidR="00335D75" w:rsidRPr="00FB02E8">
        <w:rPr>
          <w:rFonts w:cs="Arial"/>
          <w:b/>
          <w:szCs w:val="18"/>
        </w:rPr>
        <w:t xml:space="preserve"> </w:t>
      </w:r>
      <w:r w:rsidR="002E0E18">
        <w:rPr>
          <w:rFonts w:cs="Arial"/>
          <w:b/>
          <w:szCs w:val="18"/>
        </w:rPr>
        <w:t>ve 4. </w:t>
      </w:r>
      <w:r w:rsidR="00FB02E8" w:rsidRPr="00FB02E8">
        <w:rPr>
          <w:rFonts w:cs="Arial"/>
          <w:b/>
          <w:szCs w:val="18"/>
        </w:rPr>
        <w:t>čtvrtletí</w:t>
      </w:r>
      <w:r w:rsidR="00335D75">
        <w:rPr>
          <w:rFonts w:cs="Arial"/>
          <w:szCs w:val="18"/>
        </w:rPr>
        <w:t xml:space="preserve"> </w:t>
      </w:r>
      <w:r w:rsidR="00335D75" w:rsidRPr="00FB02E8">
        <w:rPr>
          <w:rFonts w:cs="Arial"/>
          <w:b/>
          <w:szCs w:val="18"/>
        </w:rPr>
        <w:t xml:space="preserve">o 4,0 % vyšší </w:t>
      </w:r>
      <w:r w:rsidR="00FB02E8" w:rsidRPr="00FB02E8">
        <w:rPr>
          <w:rFonts w:cs="Arial"/>
          <w:b/>
          <w:szCs w:val="18"/>
        </w:rPr>
        <w:t>než před rokem</w:t>
      </w:r>
      <w:r w:rsidR="00FB02E8">
        <w:rPr>
          <w:rFonts w:cs="Arial"/>
          <w:szCs w:val="18"/>
        </w:rPr>
        <w:t>. V porov</w:t>
      </w:r>
      <w:r w:rsidR="00374FC6">
        <w:rPr>
          <w:rFonts w:cs="Arial"/>
          <w:szCs w:val="18"/>
        </w:rPr>
        <w:t>nání s předchozím čtvrtletím se </w:t>
      </w:r>
      <w:r w:rsidR="006F56CF">
        <w:rPr>
          <w:rFonts w:cs="Arial"/>
          <w:szCs w:val="18"/>
        </w:rPr>
        <w:t>HDP </w:t>
      </w:r>
      <w:r w:rsidR="00FB02E8">
        <w:rPr>
          <w:rFonts w:cs="Arial"/>
          <w:szCs w:val="18"/>
        </w:rPr>
        <w:t>nezměnil</w:t>
      </w:r>
      <w:r w:rsidR="005A14D1">
        <w:rPr>
          <w:rStyle w:val="Znakapoznpodarou"/>
          <w:rFonts w:cs="Arial"/>
          <w:szCs w:val="18"/>
        </w:rPr>
        <w:footnoteReference w:id="2"/>
      </w:r>
      <w:r w:rsidR="00FB02E8">
        <w:rPr>
          <w:rFonts w:cs="Arial"/>
          <w:szCs w:val="18"/>
        </w:rPr>
        <w:t xml:space="preserve">. </w:t>
      </w:r>
    </w:p>
    <w:p w:rsidR="005D2560" w:rsidRPr="005B4719" w:rsidRDefault="005D2560" w:rsidP="005D2560">
      <w:pPr>
        <w:spacing w:before="240"/>
        <w:rPr>
          <w:rFonts w:cs="Arial"/>
          <w:szCs w:val="18"/>
        </w:rPr>
      </w:pPr>
      <w:r w:rsidRPr="005B4719">
        <w:t xml:space="preserve">O pokračujícím růstu </w:t>
      </w:r>
      <w:r w:rsidR="005B54F0">
        <w:t xml:space="preserve">výkonnosti </w:t>
      </w:r>
      <w:r w:rsidR="00593466">
        <w:t>domácí ekonomiky</w:t>
      </w:r>
      <w:r w:rsidRPr="005B4719">
        <w:t xml:space="preserve"> vypovídá </w:t>
      </w:r>
      <w:r w:rsidR="004C0447">
        <w:t xml:space="preserve">i </w:t>
      </w:r>
      <w:r w:rsidRPr="005B4719">
        <w:t>pozitivní mezičtvrtletní vývoj hrubé přidané hodnoty.</w:t>
      </w:r>
      <w:r w:rsidR="00593466">
        <w:t xml:space="preserve"> </w:t>
      </w:r>
      <w:r w:rsidR="00593466" w:rsidRPr="00E41C76">
        <w:rPr>
          <w:b/>
        </w:rPr>
        <w:t xml:space="preserve">Oproti </w:t>
      </w:r>
      <w:r w:rsidR="008B6B0F" w:rsidRPr="00E41C76">
        <w:rPr>
          <w:b/>
        </w:rPr>
        <w:t>3. čtvrtletí</w:t>
      </w:r>
      <w:r w:rsidR="008B6B0F" w:rsidRPr="008B6B0F">
        <w:t xml:space="preserve"> </w:t>
      </w:r>
      <w:r w:rsidR="00593466">
        <w:t xml:space="preserve">byla </w:t>
      </w:r>
      <w:r w:rsidR="006B76B9" w:rsidRPr="006B76B9">
        <w:rPr>
          <w:b/>
        </w:rPr>
        <w:t>hrubá přidaná hodnota (HP</w:t>
      </w:r>
      <w:r w:rsidR="005B4719" w:rsidRPr="006B76B9">
        <w:rPr>
          <w:b/>
        </w:rPr>
        <w:t>H</w:t>
      </w:r>
      <w:r w:rsidR="005B4719" w:rsidRPr="005B4719">
        <w:rPr>
          <w:b/>
        </w:rPr>
        <w:t>)</w:t>
      </w:r>
      <w:r w:rsidR="005B4719" w:rsidRPr="005B4719">
        <w:t xml:space="preserve"> </w:t>
      </w:r>
      <w:r w:rsidR="00241331" w:rsidRPr="00593466">
        <w:rPr>
          <w:b/>
        </w:rPr>
        <w:t>vyšší o</w:t>
      </w:r>
      <w:r w:rsidR="00593466" w:rsidRPr="00593466">
        <w:rPr>
          <w:b/>
        </w:rPr>
        <w:t> 0,5</w:t>
      </w:r>
      <w:r w:rsidR="00241331" w:rsidRPr="00593466">
        <w:rPr>
          <w:b/>
        </w:rPr>
        <w:t> %</w:t>
      </w:r>
      <w:r w:rsidR="008B6B0F">
        <w:t xml:space="preserve">, </w:t>
      </w:r>
      <w:r w:rsidR="006B76B9" w:rsidRPr="008B6B0F">
        <w:t>mezi</w:t>
      </w:r>
      <w:r w:rsidR="00593466" w:rsidRPr="008B6B0F">
        <w:t xml:space="preserve">ročně </w:t>
      </w:r>
      <w:r w:rsidR="008B6B0F">
        <w:t xml:space="preserve">se zvýšila </w:t>
      </w:r>
      <w:r w:rsidR="00593466" w:rsidRPr="008B6B0F">
        <w:t>o 3,8</w:t>
      </w:r>
      <w:r w:rsidR="006B76B9" w:rsidRPr="008B6B0F">
        <w:t xml:space="preserve"> %.</w:t>
      </w:r>
      <w:r w:rsidR="006B76B9">
        <w:t xml:space="preserve"> </w:t>
      </w:r>
    </w:p>
    <w:p w:rsidR="008A6D74" w:rsidRPr="001D39B2" w:rsidRDefault="008A6D74" w:rsidP="001D39B2">
      <w:pPr>
        <w:spacing w:before="240"/>
      </w:pPr>
      <w:r w:rsidRPr="001D39B2">
        <w:rPr>
          <w:b/>
        </w:rPr>
        <w:t>Vývoj hrubého domácího produktu v %</w:t>
      </w:r>
      <w:r w:rsidRPr="001D39B2">
        <w:t xml:space="preserve"> </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1221"/>
        <w:gridCol w:w="1293"/>
        <w:gridCol w:w="1293"/>
        <w:gridCol w:w="1154"/>
      </w:tblGrid>
      <w:tr w:rsidR="001D39B2" w:rsidRPr="001D39B2" w:rsidTr="00830951">
        <w:tc>
          <w:tcPr>
            <w:tcW w:w="2410" w:type="dxa"/>
            <w:shd w:val="clear" w:color="auto" w:fill="DBE5F1" w:themeFill="accent1" w:themeFillTint="33"/>
            <w:vAlign w:val="center"/>
          </w:tcPr>
          <w:p w:rsidR="008A6D74" w:rsidRPr="001D39B2" w:rsidRDefault="008A6D74" w:rsidP="001D39B2">
            <w:pPr>
              <w:autoSpaceDE w:val="0"/>
              <w:autoSpaceDN w:val="0"/>
              <w:adjustRightInd w:val="0"/>
              <w:ind w:firstLine="34"/>
              <w:jc w:val="left"/>
              <w:rPr>
                <w:rFonts w:cs="Arial"/>
                <w:sz w:val="18"/>
                <w:szCs w:val="18"/>
              </w:rPr>
            </w:pPr>
          </w:p>
        </w:tc>
        <w:tc>
          <w:tcPr>
            <w:tcW w:w="1134" w:type="dxa"/>
            <w:shd w:val="clear" w:color="auto" w:fill="DBE5F1" w:themeFill="accent1" w:themeFillTint="33"/>
            <w:vAlign w:val="center"/>
          </w:tcPr>
          <w:p w:rsidR="008A6D74" w:rsidRPr="001D39B2" w:rsidRDefault="008A6D74" w:rsidP="00830951">
            <w:pPr>
              <w:autoSpaceDE w:val="0"/>
              <w:autoSpaceDN w:val="0"/>
              <w:adjustRightInd w:val="0"/>
              <w:spacing w:line="240" w:lineRule="auto"/>
              <w:jc w:val="center"/>
              <w:rPr>
                <w:rFonts w:cs="Arial"/>
                <w:sz w:val="18"/>
                <w:szCs w:val="18"/>
              </w:rPr>
            </w:pPr>
            <w:r w:rsidRPr="001D39B2">
              <w:rPr>
                <w:rFonts w:cs="Arial"/>
                <w:sz w:val="18"/>
                <w:szCs w:val="18"/>
              </w:rPr>
              <w:t>1. čtvrtletí</w:t>
            </w:r>
          </w:p>
        </w:tc>
        <w:tc>
          <w:tcPr>
            <w:tcW w:w="1221" w:type="dxa"/>
            <w:shd w:val="clear" w:color="auto" w:fill="DBE5F1" w:themeFill="accent1" w:themeFillTint="33"/>
            <w:vAlign w:val="center"/>
          </w:tcPr>
          <w:p w:rsidR="008A6D74" w:rsidRPr="001D39B2" w:rsidRDefault="008A6D74" w:rsidP="00830951">
            <w:pPr>
              <w:autoSpaceDE w:val="0"/>
              <w:autoSpaceDN w:val="0"/>
              <w:adjustRightInd w:val="0"/>
              <w:spacing w:line="240" w:lineRule="auto"/>
              <w:jc w:val="center"/>
              <w:rPr>
                <w:rFonts w:cs="Arial"/>
                <w:sz w:val="18"/>
                <w:szCs w:val="18"/>
              </w:rPr>
            </w:pPr>
            <w:r w:rsidRPr="001D39B2">
              <w:rPr>
                <w:rFonts w:cs="Arial"/>
                <w:sz w:val="18"/>
                <w:szCs w:val="18"/>
              </w:rPr>
              <w:t>2. čtvrtletí</w:t>
            </w:r>
          </w:p>
        </w:tc>
        <w:tc>
          <w:tcPr>
            <w:tcW w:w="1293" w:type="dxa"/>
            <w:shd w:val="clear" w:color="auto" w:fill="DBE5F1" w:themeFill="accent1" w:themeFillTint="33"/>
            <w:vAlign w:val="center"/>
          </w:tcPr>
          <w:p w:rsidR="008A6D74" w:rsidRPr="001D39B2" w:rsidRDefault="008A6D74" w:rsidP="00830951">
            <w:pPr>
              <w:autoSpaceDE w:val="0"/>
              <w:autoSpaceDN w:val="0"/>
              <w:adjustRightInd w:val="0"/>
              <w:spacing w:line="240" w:lineRule="auto"/>
              <w:jc w:val="center"/>
              <w:rPr>
                <w:rFonts w:cs="Arial"/>
                <w:sz w:val="18"/>
                <w:szCs w:val="18"/>
              </w:rPr>
            </w:pPr>
            <w:r w:rsidRPr="001D39B2">
              <w:rPr>
                <w:rFonts w:cs="Arial"/>
                <w:sz w:val="18"/>
                <w:szCs w:val="18"/>
              </w:rPr>
              <w:t>3. čtvrtletí</w:t>
            </w:r>
          </w:p>
        </w:tc>
        <w:tc>
          <w:tcPr>
            <w:tcW w:w="1293" w:type="dxa"/>
            <w:shd w:val="clear" w:color="auto" w:fill="DBE5F1" w:themeFill="accent1" w:themeFillTint="33"/>
            <w:vAlign w:val="center"/>
          </w:tcPr>
          <w:p w:rsidR="008A6D74" w:rsidRPr="004A1507" w:rsidRDefault="008A6D74" w:rsidP="00830951">
            <w:pPr>
              <w:autoSpaceDE w:val="0"/>
              <w:autoSpaceDN w:val="0"/>
              <w:adjustRightInd w:val="0"/>
              <w:spacing w:line="240" w:lineRule="auto"/>
              <w:jc w:val="center"/>
              <w:rPr>
                <w:rFonts w:cs="Arial"/>
                <w:b/>
                <w:sz w:val="18"/>
                <w:szCs w:val="18"/>
              </w:rPr>
            </w:pPr>
            <w:r w:rsidRPr="004A1507">
              <w:rPr>
                <w:rFonts w:cs="Arial"/>
                <w:b/>
                <w:sz w:val="18"/>
                <w:szCs w:val="18"/>
              </w:rPr>
              <w:t>4. čtvrtletí</w:t>
            </w:r>
          </w:p>
        </w:tc>
        <w:tc>
          <w:tcPr>
            <w:tcW w:w="1154" w:type="dxa"/>
            <w:shd w:val="clear" w:color="auto" w:fill="DBE5F1" w:themeFill="accent1" w:themeFillTint="33"/>
            <w:vAlign w:val="center"/>
          </w:tcPr>
          <w:p w:rsidR="008A6D74" w:rsidRPr="001D39B2" w:rsidRDefault="008A6D74" w:rsidP="00830951">
            <w:pPr>
              <w:autoSpaceDE w:val="0"/>
              <w:autoSpaceDN w:val="0"/>
              <w:adjustRightInd w:val="0"/>
              <w:spacing w:line="240" w:lineRule="auto"/>
              <w:jc w:val="center"/>
              <w:rPr>
                <w:rFonts w:cs="Arial"/>
                <w:b/>
                <w:sz w:val="18"/>
                <w:szCs w:val="18"/>
              </w:rPr>
            </w:pPr>
            <w:r w:rsidRPr="001D39B2">
              <w:rPr>
                <w:rFonts w:cs="Arial"/>
                <w:b/>
                <w:sz w:val="18"/>
                <w:szCs w:val="18"/>
              </w:rPr>
              <w:t>Rok 201</w:t>
            </w:r>
            <w:r w:rsidR="001D39B2">
              <w:rPr>
                <w:rFonts w:cs="Arial"/>
                <w:b/>
                <w:sz w:val="18"/>
                <w:szCs w:val="18"/>
              </w:rPr>
              <w:t>5</w:t>
            </w:r>
          </w:p>
        </w:tc>
      </w:tr>
      <w:tr w:rsidR="003D13D8" w:rsidRPr="001D39B2" w:rsidTr="00830951">
        <w:tc>
          <w:tcPr>
            <w:tcW w:w="2410" w:type="dxa"/>
            <w:shd w:val="clear" w:color="auto" w:fill="auto"/>
            <w:vAlign w:val="center"/>
          </w:tcPr>
          <w:p w:rsidR="003D13D8" w:rsidRPr="001D39B2" w:rsidRDefault="003D13D8" w:rsidP="00830951">
            <w:pPr>
              <w:autoSpaceDE w:val="0"/>
              <w:autoSpaceDN w:val="0"/>
              <w:adjustRightInd w:val="0"/>
              <w:spacing w:line="240" w:lineRule="auto"/>
              <w:ind w:firstLine="34"/>
              <w:jc w:val="left"/>
              <w:rPr>
                <w:rFonts w:cs="Arial"/>
                <w:sz w:val="18"/>
                <w:szCs w:val="18"/>
              </w:rPr>
            </w:pPr>
            <w:r w:rsidRPr="001D39B2">
              <w:rPr>
                <w:rFonts w:cs="Arial"/>
                <w:sz w:val="18"/>
                <w:szCs w:val="18"/>
              </w:rPr>
              <w:t>Ke stejnému čtvrtletí 201</w:t>
            </w:r>
            <w:r>
              <w:rPr>
                <w:rFonts w:cs="Arial"/>
                <w:sz w:val="18"/>
                <w:szCs w:val="18"/>
              </w:rPr>
              <w:t>4</w:t>
            </w:r>
          </w:p>
        </w:tc>
        <w:tc>
          <w:tcPr>
            <w:tcW w:w="1134" w:type="dxa"/>
            <w:vAlign w:val="center"/>
          </w:tcPr>
          <w:p w:rsidR="003D13D8" w:rsidRPr="001D39B2" w:rsidRDefault="003D13D8" w:rsidP="00830951">
            <w:pPr>
              <w:autoSpaceDE w:val="0"/>
              <w:autoSpaceDN w:val="0"/>
              <w:adjustRightInd w:val="0"/>
              <w:spacing w:line="240" w:lineRule="auto"/>
              <w:jc w:val="right"/>
              <w:rPr>
                <w:rFonts w:cs="Arial"/>
                <w:sz w:val="18"/>
                <w:szCs w:val="18"/>
              </w:rPr>
            </w:pPr>
            <w:r>
              <w:rPr>
                <w:rFonts w:cs="Arial"/>
                <w:sz w:val="18"/>
                <w:szCs w:val="18"/>
              </w:rPr>
              <w:t>4,0</w:t>
            </w:r>
          </w:p>
        </w:tc>
        <w:tc>
          <w:tcPr>
            <w:tcW w:w="1221" w:type="dxa"/>
            <w:vAlign w:val="center"/>
          </w:tcPr>
          <w:p w:rsidR="003D13D8" w:rsidRPr="001D39B2" w:rsidRDefault="003D13D8" w:rsidP="00830951">
            <w:pPr>
              <w:autoSpaceDE w:val="0"/>
              <w:autoSpaceDN w:val="0"/>
              <w:adjustRightInd w:val="0"/>
              <w:spacing w:line="240" w:lineRule="auto"/>
              <w:jc w:val="right"/>
              <w:rPr>
                <w:rFonts w:cs="Arial"/>
                <w:sz w:val="18"/>
                <w:szCs w:val="18"/>
              </w:rPr>
            </w:pPr>
            <w:r>
              <w:rPr>
                <w:rFonts w:cs="Arial"/>
                <w:sz w:val="18"/>
                <w:szCs w:val="18"/>
              </w:rPr>
              <w:t>4,5</w:t>
            </w:r>
          </w:p>
        </w:tc>
        <w:tc>
          <w:tcPr>
            <w:tcW w:w="1293" w:type="dxa"/>
            <w:vAlign w:val="center"/>
          </w:tcPr>
          <w:p w:rsidR="003D13D8" w:rsidRPr="001D39B2" w:rsidRDefault="003D13D8" w:rsidP="00830951">
            <w:pPr>
              <w:autoSpaceDE w:val="0"/>
              <w:autoSpaceDN w:val="0"/>
              <w:adjustRightInd w:val="0"/>
              <w:spacing w:line="240" w:lineRule="auto"/>
              <w:jc w:val="right"/>
              <w:rPr>
                <w:rFonts w:cs="Arial"/>
                <w:sz w:val="18"/>
                <w:szCs w:val="18"/>
              </w:rPr>
            </w:pPr>
            <w:r>
              <w:rPr>
                <w:rFonts w:cs="Arial"/>
                <w:sz w:val="18"/>
                <w:szCs w:val="18"/>
              </w:rPr>
              <w:t>4,7</w:t>
            </w:r>
          </w:p>
        </w:tc>
        <w:tc>
          <w:tcPr>
            <w:tcW w:w="1293" w:type="dxa"/>
            <w:vAlign w:val="center"/>
          </w:tcPr>
          <w:p w:rsidR="003D13D8" w:rsidRPr="004A1507" w:rsidRDefault="003D13D8" w:rsidP="00830951">
            <w:pPr>
              <w:autoSpaceDE w:val="0"/>
              <w:autoSpaceDN w:val="0"/>
              <w:adjustRightInd w:val="0"/>
              <w:spacing w:line="240" w:lineRule="auto"/>
              <w:jc w:val="right"/>
              <w:rPr>
                <w:rFonts w:cs="Arial"/>
                <w:b/>
                <w:sz w:val="18"/>
                <w:szCs w:val="18"/>
              </w:rPr>
            </w:pPr>
            <w:r w:rsidRPr="004A1507">
              <w:rPr>
                <w:rFonts w:cs="Arial"/>
                <w:b/>
                <w:sz w:val="18"/>
                <w:szCs w:val="18"/>
              </w:rPr>
              <w:t>4,0</w:t>
            </w:r>
          </w:p>
        </w:tc>
        <w:tc>
          <w:tcPr>
            <w:tcW w:w="1154" w:type="dxa"/>
            <w:vMerge w:val="restart"/>
            <w:shd w:val="clear" w:color="auto" w:fill="DBE5F1" w:themeFill="accent1" w:themeFillTint="33"/>
            <w:vAlign w:val="center"/>
          </w:tcPr>
          <w:p w:rsidR="003D13D8" w:rsidRPr="001D39B2" w:rsidRDefault="003D13D8" w:rsidP="00830951">
            <w:pPr>
              <w:autoSpaceDE w:val="0"/>
              <w:autoSpaceDN w:val="0"/>
              <w:adjustRightInd w:val="0"/>
              <w:spacing w:line="240" w:lineRule="auto"/>
              <w:jc w:val="right"/>
              <w:rPr>
                <w:rFonts w:cs="Arial"/>
                <w:b/>
                <w:sz w:val="18"/>
                <w:szCs w:val="18"/>
              </w:rPr>
            </w:pPr>
            <w:r>
              <w:rPr>
                <w:rFonts w:cs="Arial"/>
                <w:b/>
                <w:sz w:val="18"/>
                <w:szCs w:val="18"/>
              </w:rPr>
              <w:t>4,3</w:t>
            </w:r>
          </w:p>
        </w:tc>
      </w:tr>
      <w:tr w:rsidR="003D13D8" w:rsidRPr="001D39B2" w:rsidTr="00830951">
        <w:tc>
          <w:tcPr>
            <w:tcW w:w="2410" w:type="dxa"/>
            <w:shd w:val="clear" w:color="auto" w:fill="auto"/>
            <w:vAlign w:val="center"/>
          </w:tcPr>
          <w:p w:rsidR="003D13D8" w:rsidRPr="001D39B2" w:rsidRDefault="003D13D8" w:rsidP="00830951">
            <w:pPr>
              <w:autoSpaceDE w:val="0"/>
              <w:autoSpaceDN w:val="0"/>
              <w:adjustRightInd w:val="0"/>
              <w:spacing w:line="240" w:lineRule="auto"/>
              <w:ind w:firstLine="34"/>
              <w:jc w:val="left"/>
              <w:rPr>
                <w:rFonts w:cs="Arial"/>
                <w:sz w:val="18"/>
                <w:szCs w:val="18"/>
              </w:rPr>
            </w:pPr>
            <w:r w:rsidRPr="001D39B2">
              <w:rPr>
                <w:rFonts w:cs="Arial"/>
                <w:sz w:val="18"/>
                <w:szCs w:val="18"/>
              </w:rPr>
              <w:t>K předchozímu čtvrtletí</w:t>
            </w:r>
          </w:p>
        </w:tc>
        <w:tc>
          <w:tcPr>
            <w:tcW w:w="1134" w:type="dxa"/>
            <w:vAlign w:val="center"/>
          </w:tcPr>
          <w:p w:rsidR="003D13D8" w:rsidRPr="001D39B2" w:rsidRDefault="003D13D8" w:rsidP="00830951">
            <w:pPr>
              <w:autoSpaceDE w:val="0"/>
              <w:autoSpaceDN w:val="0"/>
              <w:adjustRightInd w:val="0"/>
              <w:spacing w:line="240" w:lineRule="auto"/>
              <w:jc w:val="right"/>
              <w:rPr>
                <w:rFonts w:cs="Arial"/>
                <w:sz w:val="18"/>
                <w:szCs w:val="18"/>
              </w:rPr>
            </w:pPr>
            <w:r>
              <w:rPr>
                <w:rFonts w:cs="Arial"/>
                <w:sz w:val="18"/>
                <w:szCs w:val="18"/>
              </w:rPr>
              <w:t>2,4</w:t>
            </w:r>
          </w:p>
        </w:tc>
        <w:tc>
          <w:tcPr>
            <w:tcW w:w="1221" w:type="dxa"/>
            <w:vAlign w:val="center"/>
          </w:tcPr>
          <w:p w:rsidR="003D13D8" w:rsidRPr="001D39B2" w:rsidRDefault="003D13D8" w:rsidP="00830951">
            <w:pPr>
              <w:autoSpaceDE w:val="0"/>
              <w:autoSpaceDN w:val="0"/>
              <w:adjustRightInd w:val="0"/>
              <w:spacing w:line="240" w:lineRule="auto"/>
              <w:jc w:val="right"/>
              <w:rPr>
                <w:rFonts w:cs="Arial"/>
                <w:sz w:val="18"/>
                <w:szCs w:val="18"/>
              </w:rPr>
            </w:pPr>
            <w:r>
              <w:rPr>
                <w:rFonts w:cs="Arial"/>
                <w:sz w:val="18"/>
                <w:szCs w:val="18"/>
              </w:rPr>
              <w:t>1,0</w:t>
            </w:r>
          </w:p>
        </w:tc>
        <w:tc>
          <w:tcPr>
            <w:tcW w:w="1293" w:type="dxa"/>
            <w:vAlign w:val="center"/>
          </w:tcPr>
          <w:p w:rsidR="003D13D8" w:rsidRPr="001D39B2" w:rsidRDefault="003D13D8" w:rsidP="00830951">
            <w:pPr>
              <w:autoSpaceDE w:val="0"/>
              <w:autoSpaceDN w:val="0"/>
              <w:adjustRightInd w:val="0"/>
              <w:spacing w:line="240" w:lineRule="auto"/>
              <w:jc w:val="right"/>
              <w:rPr>
                <w:rFonts w:cs="Arial"/>
                <w:sz w:val="18"/>
                <w:szCs w:val="18"/>
              </w:rPr>
            </w:pPr>
            <w:r>
              <w:rPr>
                <w:rFonts w:cs="Arial"/>
                <w:sz w:val="18"/>
                <w:szCs w:val="18"/>
              </w:rPr>
              <w:t>0,7</w:t>
            </w:r>
          </w:p>
        </w:tc>
        <w:tc>
          <w:tcPr>
            <w:tcW w:w="1293" w:type="dxa"/>
            <w:vAlign w:val="center"/>
          </w:tcPr>
          <w:p w:rsidR="003D13D8" w:rsidRPr="004A1507" w:rsidRDefault="003D13D8" w:rsidP="00761AE7">
            <w:pPr>
              <w:autoSpaceDE w:val="0"/>
              <w:autoSpaceDN w:val="0"/>
              <w:adjustRightInd w:val="0"/>
              <w:spacing w:line="240" w:lineRule="auto"/>
              <w:jc w:val="right"/>
              <w:rPr>
                <w:rFonts w:cs="Arial"/>
                <w:b/>
                <w:sz w:val="18"/>
                <w:szCs w:val="18"/>
              </w:rPr>
            </w:pPr>
            <w:r w:rsidRPr="004A1507">
              <w:rPr>
                <w:rFonts w:cs="Arial"/>
                <w:b/>
                <w:sz w:val="18"/>
                <w:szCs w:val="18"/>
              </w:rPr>
              <w:t>0,0</w:t>
            </w:r>
          </w:p>
        </w:tc>
        <w:tc>
          <w:tcPr>
            <w:tcW w:w="1154" w:type="dxa"/>
            <w:vMerge/>
            <w:shd w:val="clear" w:color="auto" w:fill="DBE5F1" w:themeFill="accent1" w:themeFillTint="33"/>
            <w:vAlign w:val="center"/>
          </w:tcPr>
          <w:p w:rsidR="003D13D8" w:rsidRPr="001D39B2" w:rsidRDefault="003D13D8" w:rsidP="00607B73">
            <w:pPr>
              <w:autoSpaceDE w:val="0"/>
              <w:autoSpaceDN w:val="0"/>
              <w:adjustRightInd w:val="0"/>
              <w:spacing w:line="240" w:lineRule="auto"/>
              <w:jc w:val="right"/>
              <w:rPr>
                <w:rFonts w:cs="Arial"/>
                <w:b/>
                <w:sz w:val="18"/>
                <w:szCs w:val="18"/>
              </w:rPr>
            </w:pPr>
          </w:p>
        </w:tc>
      </w:tr>
    </w:tbl>
    <w:p w:rsidR="008A6D74" w:rsidRPr="001D39B2" w:rsidRDefault="008A6D74" w:rsidP="001D39B2">
      <w:pPr>
        <w:spacing w:before="240"/>
      </w:pPr>
      <w:r w:rsidRPr="001D39B2">
        <w:rPr>
          <w:b/>
        </w:rPr>
        <w:t xml:space="preserve">Vývoj hrubé přidané hodnoty v % </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1221"/>
        <w:gridCol w:w="1293"/>
        <w:gridCol w:w="1293"/>
        <w:gridCol w:w="1154"/>
      </w:tblGrid>
      <w:tr w:rsidR="008A6D74" w:rsidRPr="00BC6821" w:rsidTr="00830951">
        <w:tc>
          <w:tcPr>
            <w:tcW w:w="2410" w:type="dxa"/>
            <w:shd w:val="clear" w:color="auto" w:fill="DBE5F1" w:themeFill="accent1" w:themeFillTint="33"/>
            <w:vAlign w:val="center"/>
          </w:tcPr>
          <w:p w:rsidR="008A6D74" w:rsidRPr="00BC6821" w:rsidRDefault="008A6D74" w:rsidP="001D39B2">
            <w:pPr>
              <w:autoSpaceDE w:val="0"/>
              <w:autoSpaceDN w:val="0"/>
              <w:adjustRightInd w:val="0"/>
              <w:ind w:firstLine="34"/>
              <w:jc w:val="left"/>
              <w:rPr>
                <w:rFonts w:cs="Arial"/>
                <w:sz w:val="18"/>
                <w:szCs w:val="18"/>
              </w:rPr>
            </w:pPr>
          </w:p>
        </w:tc>
        <w:tc>
          <w:tcPr>
            <w:tcW w:w="1134" w:type="dxa"/>
            <w:shd w:val="clear" w:color="auto" w:fill="DBE5F1" w:themeFill="accent1" w:themeFillTint="33"/>
            <w:vAlign w:val="center"/>
          </w:tcPr>
          <w:p w:rsidR="008A6D74" w:rsidRPr="00BC6821" w:rsidRDefault="008A6D74" w:rsidP="00830951">
            <w:pPr>
              <w:autoSpaceDE w:val="0"/>
              <w:autoSpaceDN w:val="0"/>
              <w:adjustRightInd w:val="0"/>
              <w:spacing w:line="240" w:lineRule="auto"/>
              <w:jc w:val="center"/>
              <w:rPr>
                <w:rFonts w:cs="Arial"/>
                <w:sz w:val="18"/>
                <w:szCs w:val="18"/>
              </w:rPr>
            </w:pPr>
            <w:r w:rsidRPr="00BC6821">
              <w:rPr>
                <w:rFonts w:cs="Arial"/>
                <w:sz w:val="18"/>
                <w:szCs w:val="18"/>
              </w:rPr>
              <w:t>1.</w:t>
            </w:r>
            <w:r>
              <w:rPr>
                <w:rFonts w:cs="Arial"/>
                <w:sz w:val="18"/>
                <w:szCs w:val="18"/>
              </w:rPr>
              <w:t xml:space="preserve"> </w:t>
            </w:r>
            <w:r w:rsidRPr="00BC6821">
              <w:rPr>
                <w:rFonts w:cs="Arial"/>
                <w:sz w:val="18"/>
                <w:szCs w:val="18"/>
              </w:rPr>
              <w:t>čtvrtletí</w:t>
            </w:r>
          </w:p>
        </w:tc>
        <w:tc>
          <w:tcPr>
            <w:tcW w:w="1221" w:type="dxa"/>
            <w:shd w:val="clear" w:color="auto" w:fill="DBE5F1" w:themeFill="accent1" w:themeFillTint="33"/>
            <w:vAlign w:val="center"/>
          </w:tcPr>
          <w:p w:rsidR="008A6D74" w:rsidRPr="00BC6821" w:rsidRDefault="008A6D74" w:rsidP="00830951">
            <w:pPr>
              <w:autoSpaceDE w:val="0"/>
              <w:autoSpaceDN w:val="0"/>
              <w:adjustRightInd w:val="0"/>
              <w:spacing w:line="240" w:lineRule="auto"/>
              <w:jc w:val="center"/>
              <w:rPr>
                <w:rFonts w:cs="Arial"/>
                <w:sz w:val="18"/>
                <w:szCs w:val="18"/>
              </w:rPr>
            </w:pPr>
            <w:r w:rsidRPr="00BC6821">
              <w:rPr>
                <w:rFonts w:cs="Arial"/>
                <w:sz w:val="18"/>
                <w:szCs w:val="18"/>
              </w:rPr>
              <w:t>2.</w:t>
            </w:r>
            <w:r>
              <w:rPr>
                <w:rFonts w:cs="Arial"/>
                <w:sz w:val="18"/>
                <w:szCs w:val="18"/>
              </w:rPr>
              <w:t xml:space="preserve"> </w:t>
            </w:r>
            <w:r w:rsidRPr="00BC6821">
              <w:rPr>
                <w:rFonts w:cs="Arial"/>
                <w:sz w:val="18"/>
                <w:szCs w:val="18"/>
              </w:rPr>
              <w:t>čtvrtletí</w:t>
            </w:r>
          </w:p>
        </w:tc>
        <w:tc>
          <w:tcPr>
            <w:tcW w:w="1293" w:type="dxa"/>
            <w:shd w:val="clear" w:color="auto" w:fill="DBE5F1" w:themeFill="accent1" w:themeFillTint="33"/>
            <w:vAlign w:val="center"/>
          </w:tcPr>
          <w:p w:rsidR="008A6D74" w:rsidRPr="00BC6821" w:rsidRDefault="008A6D74" w:rsidP="00830951">
            <w:pPr>
              <w:autoSpaceDE w:val="0"/>
              <w:autoSpaceDN w:val="0"/>
              <w:adjustRightInd w:val="0"/>
              <w:spacing w:line="240" w:lineRule="auto"/>
              <w:jc w:val="center"/>
              <w:rPr>
                <w:rFonts w:cs="Arial"/>
                <w:sz w:val="18"/>
                <w:szCs w:val="18"/>
              </w:rPr>
            </w:pPr>
            <w:r w:rsidRPr="00BC6821">
              <w:rPr>
                <w:rFonts w:cs="Arial"/>
                <w:sz w:val="18"/>
                <w:szCs w:val="18"/>
              </w:rPr>
              <w:t>3.</w:t>
            </w:r>
            <w:r>
              <w:rPr>
                <w:rFonts w:cs="Arial"/>
                <w:sz w:val="18"/>
                <w:szCs w:val="18"/>
              </w:rPr>
              <w:t xml:space="preserve"> </w:t>
            </w:r>
            <w:r w:rsidRPr="00BC6821">
              <w:rPr>
                <w:rFonts w:cs="Arial"/>
                <w:sz w:val="18"/>
                <w:szCs w:val="18"/>
              </w:rPr>
              <w:t>čtvrtletí</w:t>
            </w:r>
          </w:p>
        </w:tc>
        <w:tc>
          <w:tcPr>
            <w:tcW w:w="1293" w:type="dxa"/>
            <w:shd w:val="clear" w:color="auto" w:fill="DBE5F1" w:themeFill="accent1" w:themeFillTint="33"/>
            <w:vAlign w:val="center"/>
          </w:tcPr>
          <w:p w:rsidR="008A6D74" w:rsidRPr="004A1507" w:rsidRDefault="008A6D74" w:rsidP="00830951">
            <w:pPr>
              <w:autoSpaceDE w:val="0"/>
              <w:autoSpaceDN w:val="0"/>
              <w:adjustRightInd w:val="0"/>
              <w:spacing w:line="240" w:lineRule="auto"/>
              <w:jc w:val="center"/>
              <w:rPr>
                <w:rFonts w:cs="Arial"/>
                <w:b/>
                <w:sz w:val="18"/>
                <w:szCs w:val="18"/>
              </w:rPr>
            </w:pPr>
            <w:r w:rsidRPr="004A1507">
              <w:rPr>
                <w:rFonts w:cs="Arial"/>
                <w:b/>
                <w:sz w:val="18"/>
                <w:szCs w:val="18"/>
              </w:rPr>
              <w:t>4. čtvrtletí</w:t>
            </w:r>
          </w:p>
        </w:tc>
        <w:tc>
          <w:tcPr>
            <w:tcW w:w="1154" w:type="dxa"/>
            <w:shd w:val="clear" w:color="auto" w:fill="DBE5F1" w:themeFill="accent1" w:themeFillTint="33"/>
            <w:vAlign w:val="center"/>
          </w:tcPr>
          <w:p w:rsidR="008A6D74" w:rsidRPr="001D39B2" w:rsidRDefault="008A6D74" w:rsidP="00830951">
            <w:pPr>
              <w:autoSpaceDE w:val="0"/>
              <w:autoSpaceDN w:val="0"/>
              <w:adjustRightInd w:val="0"/>
              <w:spacing w:line="240" w:lineRule="auto"/>
              <w:jc w:val="center"/>
              <w:rPr>
                <w:rFonts w:cs="Arial"/>
                <w:b/>
                <w:sz w:val="18"/>
                <w:szCs w:val="18"/>
              </w:rPr>
            </w:pPr>
            <w:r w:rsidRPr="001D39B2">
              <w:rPr>
                <w:rFonts w:cs="Arial"/>
                <w:b/>
                <w:sz w:val="18"/>
                <w:szCs w:val="18"/>
              </w:rPr>
              <w:t>Rok 201</w:t>
            </w:r>
            <w:r w:rsidR="001D39B2" w:rsidRPr="001D39B2">
              <w:rPr>
                <w:rFonts w:cs="Arial"/>
                <w:b/>
                <w:sz w:val="18"/>
                <w:szCs w:val="18"/>
              </w:rPr>
              <w:t>5</w:t>
            </w:r>
          </w:p>
        </w:tc>
      </w:tr>
      <w:tr w:rsidR="00E34FDF" w:rsidRPr="00BC6821" w:rsidTr="00830951">
        <w:tc>
          <w:tcPr>
            <w:tcW w:w="2410" w:type="dxa"/>
            <w:shd w:val="clear" w:color="auto" w:fill="auto"/>
            <w:vAlign w:val="center"/>
          </w:tcPr>
          <w:p w:rsidR="00E34FDF" w:rsidRPr="00BC6821" w:rsidRDefault="00E34FDF" w:rsidP="00830951">
            <w:pPr>
              <w:autoSpaceDE w:val="0"/>
              <w:autoSpaceDN w:val="0"/>
              <w:adjustRightInd w:val="0"/>
              <w:spacing w:line="240" w:lineRule="auto"/>
              <w:ind w:firstLine="34"/>
              <w:jc w:val="left"/>
              <w:rPr>
                <w:rFonts w:cs="Arial"/>
                <w:sz w:val="18"/>
                <w:szCs w:val="18"/>
              </w:rPr>
            </w:pPr>
            <w:r>
              <w:rPr>
                <w:rFonts w:cs="Arial"/>
                <w:sz w:val="18"/>
                <w:szCs w:val="18"/>
              </w:rPr>
              <w:t>Ke s</w:t>
            </w:r>
            <w:r w:rsidRPr="00BC6821">
              <w:rPr>
                <w:rFonts w:cs="Arial"/>
                <w:sz w:val="18"/>
                <w:szCs w:val="18"/>
              </w:rPr>
              <w:t>tejné</w:t>
            </w:r>
            <w:r>
              <w:rPr>
                <w:rFonts w:cs="Arial"/>
                <w:sz w:val="18"/>
                <w:szCs w:val="18"/>
              </w:rPr>
              <w:t>mu</w:t>
            </w:r>
            <w:r w:rsidRPr="00BC6821">
              <w:rPr>
                <w:rFonts w:cs="Arial"/>
                <w:sz w:val="18"/>
                <w:szCs w:val="18"/>
              </w:rPr>
              <w:t xml:space="preserve"> čtvrtletí 201</w:t>
            </w:r>
            <w:r>
              <w:rPr>
                <w:rFonts w:cs="Arial"/>
                <w:sz w:val="18"/>
                <w:szCs w:val="18"/>
              </w:rPr>
              <w:t>4</w:t>
            </w:r>
          </w:p>
        </w:tc>
        <w:tc>
          <w:tcPr>
            <w:tcW w:w="1134" w:type="dxa"/>
            <w:vAlign w:val="center"/>
          </w:tcPr>
          <w:p w:rsidR="00E34FDF" w:rsidRPr="00CC4AC3" w:rsidRDefault="00E34FDF" w:rsidP="00830951">
            <w:pPr>
              <w:autoSpaceDE w:val="0"/>
              <w:autoSpaceDN w:val="0"/>
              <w:adjustRightInd w:val="0"/>
              <w:spacing w:line="240" w:lineRule="auto"/>
              <w:jc w:val="right"/>
              <w:rPr>
                <w:rFonts w:cs="Arial"/>
                <w:sz w:val="18"/>
                <w:szCs w:val="18"/>
              </w:rPr>
            </w:pPr>
            <w:r>
              <w:rPr>
                <w:rFonts w:cs="Arial"/>
                <w:sz w:val="18"/>
                <w:szCs w:val="18"/>
              </w:rPr>
              <w:t>3,4</w:t>
            </w:r>
          </w:p>
        </w:tc>
        <w:tc>
          <w:tcPr>
            <w:tcW w:w="1221" w:type="dxa"/>
            <w:vAlign w:val="center"/>
          </w:tcPr>
          <w:p w:rsidR="00E34FDF" w:rsidRPr="00CC4AC3" w:rsidRDefault="00E34FDF" w:rsidP="00830951">
            <w:pPr>
              <w:autoSpaceDE w:val="0"/>
              <w:autoSpaceDN w:val="0"/>
              <w:adjustRightInd w:val="0"/>
              <w:spacing w:line="240" w:lineRule="auto"/>
              <w:jc w:val="right"/>
              <w:rPr>
                <w:rFonts w:cs="Arial"/>
                <w:sz w:val="18"/>
                <w:szCs w:val="18"/>
              </w:rPr>
            </w:pPr>
            <w:r>
              <w:rPr>
                <w:rFonts w:cs="Arial"/>
                <w:sz w:val="18"/>
                <w:szCs w:val="18"/>
              </w:rPr>
              <w:t>3,8</w:t>
            </w:r>
          </w:p>
        </w:tc>
        <w:tc>
          <w:tcPr>
            <w:tcW w:w="1293" w:type="dxa"/>
            <w:vAlign w:val="center"/>
          </w:tcPr>
          <w:p w:rsidR="00E34FDF" w:rsidRPr="00CC4AC3" w:rsidRDefault="00E34FDF" w:rsidP="00830951">
            <w:pPr>
              <w:autoSpaceDE w:val="0"/>
              <w:autoSpaceDN w:val="0"/>
              <w:adjustRightInd w:val="0"/>
              <w:spacing w:line="240" w:lineRule="auto"/>
              <w:jc w:val="right"/>
              <w:rPr>
                <w:rFonts w:cs="Arial"/>
                <w:sz w:val="18"/>
                <w:szCs w:val="18"/>
              </w:rPr>
            </w:pPr>
            <w:r>
              <w:rPr>
                <w:rFonts w:cs="Arial"/>
                <w:sz w:val="18"/>
                <w:szCs w:val="18"/>
              </w:rPr>
              <w:t>4,2</w:t>
            </w:r>
          </w:p>
        </w:tc>
        <w:tc>
          <w:tcPr>
            <w:tcW w:w="1293" w:type="dxa"/>
            <w:vAlign w:val="center"/>
          </w:tcPr>
          <w:p w:rsidR="00E34FDF" w:rsidRPr="004A1507" w:rsidRDefault="00E34FDF" w:rsidP="00830951">
            <w:pPr>
              <w:autoSpaceDE w:val="0"/>
              <w:autoSpaceDN w:val="0"/>
              <w:adjustRightInd w:val="0"/>
              <w:spacing w:line="240" w:lineRule="auto"/>
              <w:jc w:val="right"/>
              <w:rPr>
                <w:rFonts w:cs="Arial"/>
                <w:b/>
                <w:sz w:val="18"/>
                <w:szCs w:val="18"/>
              </w:rPr>
            </w:pPr>
            <w:r w:rsidRPr="004A1507">
              <w:rPr>
                <w:rFonts w:cs="Arial"/>
                <w:b/>
                <w:sz w:val="18"/>
                <w:szCs w:val="18"/>
              </w:rPr>
              <w:t>3,8</w:t>
            </w:r>
          </w:p>
        </w:tc>
        <w:tc>
          <w:tcPr>
            <w:tcW w:w="1154" w:type="dxa"/>
            <w:vMerge w:val="restart"/>
            <w:shd w:val="clear" w:color="auto" w:fill="DBE5F1" w:themeFill="accent1" w:themeFillTint="33"/>
            <w:vAlign w:val="center"/>
          </w:tcPr>
          <w:p w:rsidR="00E34FDF" w:rsidRPr="001D39B2" w:rsidRDefault="00E34FDF" w:rsidP="00607B73">
            <w:pPr>
              <w:autoSpaceDE w:val="0"/>
              <w:autoSpaceDN w:val="0"/>
              <w:adjustRightInd w:val="0"/>
              <w:jc w:val="right"/>
              <w:rPr>
                <w:rFonts w:cs="Arial"/>
                <w:b/>
                <w:sz w:val="18"/>
                <w:szCs w:val="18"/>
              </w:rPr>
            </w:pPr>
            <w:r>
              <w:rPr>
                <w:rFonts w:cs="Arial"/>
                <w:b/>
                <w:sz w:val="18"/>
                <w:szCs w:val="18"/>
              </w:rPr>
              <w:t>3,8</w:t>
            </w:r>
          </w:p>
        </w:tc>
      </w:tr>
      <w:tr w:rsidR="00E34FDF" w:rsidRPr="00BC6821" w:rsidTr="00830951">
        <w:tc>
          <w:tcPr>
            <w:tcW w:w="2410" w:type="dxa"/>
            <w:shd w:val="clear" w:color="auto" w:fill="auto"/>
            <w:vAlign w:val="center"/>
          </w:tcPr>
          <w:p w:rsidR="00E34FDF" w:rsidRPr="00BC6821" w:rsidRDefault="00E34FDF" w:rsidP="00830951">
            <w:pPr>
              <w:autoSpaceDE w:val="0"/>
              <w:autoSpaceDN w:val="0"/>
              <w:adjustRightInd w:val="0"/>
              <w:spacing w:line="240" w:lineRule="auto"/>
              <w:ind w:firstLine="34"/>
              <w:jc w:val="left"/>
              <w:rPr>
                <w:rFonts w:cs="Arial"/>
                <w:sz w:val="18"/>
                <w:szCs w:val="18"/>
              </w:rPr>
            </w:pPr>
            <w:r>
              <w:rPr>
                <w:rFonts w:cs="Arial"/>
                <w:sz w:val="18"/>
                <w:szCs w:val="18"/>
              </w:rPr>
              <w:t>K p</w:t>
            </w:r>
            <w:r w:rsidRPr="00BC6821">
              <w:rPr>
                <w:rFonts w:cs="Arial"/>
                <w:sz w:val="18"/>
                <w:szCs w:val="18"/>
              </w:rPr>
              <w:t>ředchozí</w:t>
            </w:r>
            <w:r>
              <w:rPr>
                <w:rFonts w:cs="Arial"/>
                <w:sz w:val="18"/>
                <w:szCs w:val="18"/>
              </w:rPr>
              <w:t>mu</w:t>
            </w:r>
            <w:r w:rsidRPr="00BC6821">
              <w:rPr>
                <w:rFonts w:cs="Arial"/>
                <w:sz w:val="18"/>
                <w:szCs w:val="18"/>
              </w:rPr>
              <w:t xml:space="preserve"> čtvrtletí</w:t>
            </w:r>
          </w:p>
        </w:tc>
        <w:tc>
          <w:tcPr>
            <w:tcW w:w="1134" w:type="dxa"/>
            <w:vAlign w:val="center"/>
          </w:tcPr>
          <w:p w:rsidR="00E34FDF" w:rsidRPr="00CC4AC3" w:rsidRDefault="00E34FDF" w:rsidP="00830951">
            <w:pPr>
              <w:autoSpaceDE w:val="0"/>
              <w:autoSpaceDN w:val="0"/>
              <w:adjustRightInd w:val="0"/>
              <w:spacing w:line="240" w:lineRule="auto"/>
              <w:jc w:val="right"/>
              <w:rPr>
                <w:rFonts w:cs="Arial"/>
                <w:sz w:val="18"/>
                <w:szCs w:val="18"/>
              </w:rPr>
            </w:pPr>
            <w:r>
              <w:rPr>
                <w:rFonts w:cs="Arial"/>
                <w:sz w:val="18"/>
                <w:szCs w:val="18"/>
              </w:rPr>
              <w:t>1,2</w:t>
            </w:r>
          </w:p>
        </w:tc>
        <w:tc>
          <w:tcPr>
            <w:tcW w:w="1221" w:type="dxa"/>
            <w:vAlign w:val="center"/>
          </w:tcPr>
          <w:p w:rsidR="00E34FDF" w:rsidRPr="00CC4AC3" w:rsidRDefault="00E34FDF" w:rsidP="00830951">
            <w:pPr>
              <w:autoSpaceDE w:val="0"/>
              <w:autoSpaceDN w:val="0"/>
              <w:adjustRightInd w:val="0"/>
              <w:spacing w:line="240" w:lineRule="auto"/>
              <w:jc w:val="right"/>
              <w:rPr>
                <w:rFonts w:cs="Arial"/>
                <w:sz w:val="18"/>
                <w:szCs w:val="18"/>
              </w:rPr>
            </w:pPr>
            <w:r>
              <w:rPr>
                <w:rFonts w:cs="Arial"/>
                <w:sz w:val="18"/>
                <w:szCs w:val="18"/>
              </w:rPr>
              <w:t>1,0</w:t>
            </w:r>
          </w:p>
        </w:tc>
        <w:tc>
          <w:tcPr>
            <w:tcW w:w="1293" w:type="dxa"/>
            <w:vAlign w:val="center"/>
          </w:tcPr>
          <w:p w:rsidR="00E34FDF" w:rsidRPr="00CC4AC3" w:rsidRDefault="00E34FDF" w:rsidP="00830951">
            <w:pPr>
              <w:autoSpaceDE w:val="0"/>
              <w:autoSpaceDN w:val="0"/>
              <w:adjustRightInd w:val="0"/>
              <w:spacing w:line="240" w:lineRule="auto"/>
              <w:jc w:val="right"/>
              <w:rPr>
                <w:rFonts w:cs="Arial"/>
                <w:sz w:val="18"/>
                <w:szCs w:val="18"/>
              </w:rPr>
            </w:pPr>
            <w:r>
              <w:rPr>
                <w:rFonts w:cs="Arial"/>
                <w:sz w:val="18"/>
                <w:szCs w:val="18"/>
              </w:rPr>
              <w:t>1,1</w:t>
            </w:r>
          </w:p>
        </w:tc>
        <w:tc>
          <w:tcPr>
            <w:tcW w:w="1293" w:type="dxa"/>
            <w:vAlign w:val="center"/>
          </w:tcPr>
          <w:p w:rsidR="00E34FDF" w:rsidRPr="004A1507" w:rsidRDefault="00E34FDF" w:rsidP="00830951">
            <w:pPr>
              <w:autoSpaceDE w:val="0"/>
              <w:autoSpaceDN w:val="0"/>
              <w:adjustRightInd w:val="0"/>
              <w:spacing w:line="240" w:lineRule="auto"/>
              <w:jc w:val="right"/>
              <w:rPr>
                <w:rFonts w:cs="Arial"/>
                <w:b/>
                <w:sz w:val="18"/>
                <w:szCs w:val="18"/>
              </w:rPr>
            </w:pPr>
            <w:r w:rsidRPr="004A1507">
              <w:rPr>
                <w:rFonts w:cs="Arial"/>
                <w:b/>
                <w:sz w:val="18"/>
                <w:szCs w:val="18"/>
              </w:rPr>
              <w:t>0,5</w:t>
            </w:r>
          </w:p>
        </w:tc>
        <w:tc>
          <w:tcPr>
            <w:tcW w:w="1154" w:type="dxa"/>
            <w:vMerge/>
            <w:shd w:val="clear" w:color="auto" w:fill="DBE5F1" w:themeFill="accent1" w:themeFillTint="33"/>
            <w:vAlign w:val="center"/>
          </w:tcPr>
          <w:p w:rsidR="00E34FDF" w:rsidRPr="001D39B2" w:rsidRDefault="00E34FDF" w:rsidP="00607B73">
            <w:pPr>
              <w:autoSpaceDE w:val="0"/>
              <w:autoSpaceDN w:val="0"/>
              <w:adjustRightInd w:val="0"/>
              <w:spacing w:line="240" w:lineRule="auto"/>
              <w:jc w:val="right"/>
              <w:rPr>
                <w:rFonts w:cs="Arial"/>
                <w:b/>
                <w:sz w:val="18"/>
                <w:szCs w:val="18"/>
              </w:rPr>
            </w:pPr>
          </w:p>
        </w:tc>
      </w:tr>
    </w:tbl>
    <w:p w:rsidR="008A6D74" w:rsidRPr="00914236" w:rsidRDefault="00C42EC1" w:rsidP="008A6D74">
      <w:pPr>
        <w:spacing w:before="240" w:after="240"/>
      </w:pPr>
      <w:r w:rsidRPr="00C42EC1">
        <w:rPr>
          <w:b/>
        </w:rPr>
        <w:t>Na straně nabídky</w:t>
      </w:r>
      <w:r>
        <w:t xml:space="preserve"> se na </w:t>
      </w:r>
      <w:r w:rsidRPr="001150BB">
        <w:t xml:space="preserve">růstu </w:t>
      </w:r>
      <w:r w:rsidR="00562F0C">
        <w:t>ekonomiky</w:t>
      </w:r>
      <w:r w:rsidR="00BA3070">
        <w:t xml:space="preserve"> </w:t>
      </w:r>
      <w:r w:rsidRPr="001150BB">
        <w:t xml:space="preserve">nejvýznamněji </w:t>
      </w:r>
      <w:r>
        <w:t>podílel z</w:t>
      </w:r>
      <w:r w:rsidR="001E6CA7" w:rsidRPr="001150BB">
        <w:t xml:space="preserve">pracovatelský průmysl </w:t>
      </w:r>
      <w:r w:rsidR="00BA3070">
        <w:t>(1,8 </w:t>
      </w:r>
      <w:r w:rsidR="00AF5E6F">
        <w:t>p. </w:t>
      </w:r>
      <w:r>
        <w:t xml:space="preserve">b.), a to </w:t>
      </w:r>
      <w:r w:rsidR="001E6CA7">
        <w:t>i</w:t>
      </w:r>
      <w:r w:rsidR="005A14D1" w:rsidRPr="001150BB">
        <w:t xml:space="preserve"> přes </w:t>
      </w:r>
      <w:r w:rsidR="00897018">
        <w:t xml:space="preserve">své </w:t>
      </w:r>
      <w:r w:rsidR="005A14D1" w:rsidRPr="001150BB">
        <w:t xml:space="preserve">mírné zpomalení </w:t>
      </w:r>
      <w:r w:rsidR="00E935A8">
        <w:t xml:space="preserve">tempa </w:t>
      </w:r>
      <w:r w:rsidR="005A14D1" w:rsidRPr="001150BB">
        <w:t xml:space="preserve">růstu </w:t>
      </w:r>
      <w:r w:rsidR="00897018">
        <w:t>na </w:t>
      </w:r>
      <w:r w:rsidR="00484EC1" w:rsidRPr="001150BB">
        <w:t>konci roku</w:t>
      </w:r>
      <w:r w:rsidR="00C910E9">
        <w:t>.</w:t>
      </w:r>
      <w:r>
        <w:t xml:space="preserve"> Dařilo se </w:t>
      </w:r>
      <w:r w:rsidR="001801DB">
        <w:t xml:space="preserve">zejména </w:t>
      </w:r>
      <w:r w:rsidR="00914236">
        <w:t>výrob</w:t>
      </w:r>
      <w:r>
        <w:t>ě</w:t>
      </w:r>
      <w:r w:rsidR="00914236">
        <w:t xml:space="preserve"> dopravních prostředků, kovů, plastových výrobků či </w:t>
      </w:r>
      <w:r w:rsidR="00C910E9">
        <w:t>výrob</w:t>
      </w:r>
      <w:r>
        <w:t>ě</w:t>
      </w:r>
      <w:r w:rsidR="00C910E9">
        <w:t xml:space="preserve"> </w:t>
      </w:r>
      <w:r w:rsidR="00914236">
        <w:t>potravin</w:t>
      </w:r>
      <w:r w:rsidR="001150BB" w:rsidRPr="001150BB">
        <w:t xml:space="preserve">. </w:t>
      </w:r>
      <w:r w:rsidR="005A2FFB" w:rsidRPr="00445ED3">
        <w:t>K</w:t>
      </w:r>
      <w:r w:rsidR="00445ED3">
        <w:t xml:space="preserve"> hospodářskému </w:t>
      </w:r>
      <w:r w:rsidR="005A2FFB" w:rsidRPr="00445ED3">
        <w:t xml:space="preserve">růstu </w:t>
      </w:r>
      <w:r>
        <w:t>d</w:t>
      </w:r>
      <w:r w:rsidR="00340782">
        <w:t>á</w:t>
      </w:r>
      <w:r>
        <w:t xml:space="preserve">le </w:t>
      </w:r>
      <w:r w:rsidR="00C54BC5">
        <w:t>významně přispěla</w:t>
      </w:r>
      <w:r w:rsidR="00F3284B">
        <w:t xml:space="preserve"> i </w:t>
      </w:r>
      <w:r>
        <w:t xml:space="preserve">většina </w:t>
      </w:r>
      <w:r w:rsidR="005A2FFB">
        <w:t>odvětví</w:t>
      </w:r>
      <w:r w:rsidR="00914236">
        <w:t xml:space="preserve"> služeb</w:t>
      </w:r>
      <w:r w:rsidR="00F3284B">
        <w:t>. N</w:t>
      </w:r>
      <w:r w:rsidR="005A2FFB">
        <w:t xml:space="preserve">apříklad </w:t>
      </w:r>
      <w:r w:rsidR="00FF08C3">
        <w:t xml:space="preserve">příspěvek </w:t>
      </w:r>
      <w:r w:rsidR="005A2FFB">
        <w:t>obchod</w:t>
      </w:r>
      <w:r w:rsidR="00FF08C3">
        <w:t>u</w:t>
      </w:r>
      <w:r w:rsidR="004A1507">
        <w:t>,</w:t>
      </w:r>
      <w:r w:rsidR="005A2FFB">
        <w:t xml:space="preserve"> doprav</w:t>
      </w:r>
      <w:r w:rsidR="00FF08C3">
        <w:t>y</w:t>
      </w:r>
      <w:r w:rsidR="007873CF">
        <w:t>, ubytování a </w:t>
      </w:r>
      <w:r w:rsidR="005A2FFB">
        <w:t xml:space="preserve">pohostinství </w:t>
      </w:r>
      <w:r w:rsidR="00FF08C3">
        <w:t xml:space="preserve">činil </w:t>
      </w:r>
      <w:r w:rsidR="005A2FFB">
        <w:t>0,5 p. b.</w:t>
      </w:r>
      <w:r w:rsidR="00C54BC5">
        <w:t>, informační</w:t>
      </w:r>
      <w:r w:rsidR="00FF08C3">
        <w:t>ch</w:t>
      </w:r>
      <w:r w:rsidR="00C54BC5">
        <w:t xml:space="preserve"> a komunikační</w:t>
      </w:r>
      <w:r w:rsidR="00FF08C3">
        <w:t>ch</w:t>
      </w:r>
      <w:r w:rsidR="00C54BC5">
        <w:t xml:space="preserve"> činnost</w:t>
      </w:r>
      <w:r w:rsidR="00FF08C3">
        <w:t>í</w:t>
      </w:r>
      <w:r w:rsidR="00C54BC5">
        <w:t xml:space="preserve"> 0,</w:t>
      </w:r>
      <w:r w:rsidR="002136BC">
        <w:t>4</w:t>
      </w:r>
      <w:r w:rsidR="00C54BC5">
        <w:t> </w:t>
      </w:r>
      <w:proofErr w:type="gramStart"/>
      <w:r w:rsidR="00C54BC5">
        <w:t xml:space="preserve">p. b. </w:t>
      </w:r>
      <w:r w:rsidR="00FF08C3">
        <w:t>a</w:t>
      </w:r>
      <w:r w:rsidR="00BA6321">
        <w:t> </w:t>
      </w:r>
      <w:r w:rsidR="005A2FFB">
        <w:t>veřejn</w:t>
      </w:r>
      <w:r w:rsidR="00FF08C3">
        <w:t>é</w:t>
      </w:r>
      <w:proofErr w:type="gramEnd"/>
      <w:r w:rsidR="005A2FFB">
        <w:t xml:space="preserve"> správ</w:t>
      </w:r>
      <w:r w:rsidR="00FF08C3">
        <w:t>y</w:t>
      </w:r>
      <w:r w:rsidR="005A2FFB">
        <w:t xml:space="preserve"> 0,5 p.</w:t>
      </w:r>
      <w:r w:rsidR="00FF08C3">
        <w:t> </w:t>
      </w:r>
      <w:r w:rsidR="005A2FFB">
        <w:t>b.</w:t>
      </w:r>
      <w:r w:rsidR="00C54BC5">
        <w:t xml:space="preserve"> </w:t>
      </w:r>
      <w:r w:rsidR="003B2962">
        <w:t>Příspěvek s</w:t>
      </w:r>
      <w:r w:rsidR="005A2FFB">
        <w:t xml:space="preserve">tavebnictví </w:t>
      </w:r>
      <w:r w:rsidR="003B2962">
        <w:t>byl</w:t>
      </w:r>
      <w:r w:rsidR="00C54BC5">
        <w:t xml:space="preserve"> </w:t>
      </w:r>
      <w:r w:rsidR="001801DB">
        <w:t xml:space="preserve">0,3 p. b. </w:t>
      </w:r>
    </w:p>
    <w:p w:rsidR="00E96F8A" w:rsidRDefault="008A6D74" w:rsidP="008A6D74">
      <w:pPr>
        <w:spacing w:before="240" w:after="240"/>
      </w:pPr>
      <w:r w:rsidRPr="004B7B60">
        <w:rPr>
          <w:b/>
        </w:rPr>
        <w:lastRenderedPageBreak/>
        <w:t>Na straně poptávky</w:t>
      </w:r>
      <w:r w:rsidRPr="004B7B60">
        <w:t xml:space="preserve"> byl růst ekonomiky ve 4. čtvrtletí </w:t>
      </w:r>
      <w:r w:rsidR="007768E9" w:rsidRPr="004B7B60">
        <w:t>t</w:t>
      </w:r>
      <w:r w:rsidRPr="004B7B60">
        <w:t xml:space="preserve">ažen </w:t>
      </w:r>
      <w:r w:rsidR="00FD1A43" w:rsidRPr="004B7B60">
        <w:t xml:space="preserve">rovnoměrně jak domácí, tak zahraniční poptávkou. </w:t>
      </w:r>
      <w:r w:rsidR="002403F7" w:rsidRPr="004B7B60">
        <w:t>K růstu HDP přispěl</w:t>
      </w:r>
      <w:r w:rsidR="00A5073D">
        <w:t>y</w:t>
      </w:r>
      <w:r w:rsidR="002403F7" w:rsidRPr="004B7B60">
        <w:t xml:space="preserve"> s</w:t>
      </w:r>
      <w:r w:rsidR="00FD1A43" w:rsidRPr="004B7B60">
        <w:t xml:space="preserve">potřeba domácností </w:t>
      </w:r>
      <w:r w:rsidR="007768E9" w:rsidRPr="004B7B60">
        <w:t>0,9 p. b.</w:t>
      </w:r>
      <w:r w:rsidR="00813498" w:rsidRPr="004B7B60">
        <w:rPr>
          <w:rStyle w:val="Znakapoznpodarou"/>
        </w:rPr>
        <w:footnoteReference w:id="3"/>
      </w:r>
      <w:r w:rsidR="007768E9" w:rsidRPr="004B7B60">
        <w:t xml:space="preserve"> a investiční aktivita shodně se zahraničním obchodem 1,6 p. b.</w:t>
      </w:r>
      <w:r w:rsidR="007768E9">
        <w:t xml:space="preserve"> </w:t>
      </w:r>
      <w:r w:rsidR="007768E9" w:rsidRPr="00737453">
        <w:rPr>
          <w:b/>
        </w:rPr>
        <w:t xml:space="preserve">Výdaje na konečnou spotřebu domácností </w:t>
      </w:r>
      <w:r w:rsidR="00157EBD">
        <w:t>si </w:t>
      </w:r>
      <w:r w:rsidR="00737453" w:rsidRPr="00737453">
        <w:t xml:space="preserve">udržely </w:t>
      </w:r>
      <w:r w:rsidR="00737453">
        <w:t xml:space="preserve">relativně vysoké </w:t>
      </w:r>
      <w:r w:rsidR="007768E9">
        <w:t>mezičtvrtletn</w:t>
      </w:r>
      <w:r w:rsidR="00737453">
        <w:t>í tempo růstu (</w:t>
      </w:r>
      <w:r w:rsidR="007768E9">
        <w:t>0,9 %</w:t>
      </w:r>
      <w:r w:rsidR="00737453">
        <w:t xml:space="preserve">) a meziročně se zvýšily o </w:t>
      </w:r>
      <w:r w:rsidR="005E3385">
        <w:t>2,9 %</w:t>
      </w:r>
      <w:r w:rsidR="00990FE7">
        <w:t>.</w:t>
      </w:r>
      <w:r w:rsidR="005E3385">
        <w:t xml:space="preserve"> Oproti velmi vysoké investiční aktivitě ve 3. </w:t>
      </w:r>
      <w:r w:rsidR="004F6E82">
        <w:t>č</w:t>
      </w:r>
      <w:r w:rsidR="005E3385">
        <w:t>tvrtletí</w:t>
      </w:r>
      <w:r w:rsidR="00197652">
        <w:t>, podpořené hlavně vládními investicemi,</w:t>
      </w:r>
      <w:r w:rsidR="005E3385">
        <w:t xml:space="preserve"> došlo na konci roku k mírnému poklesu </w:t>
      </w:r>
      <w:r w:rsidR="004F6E82" w:rsidRPr="00737453">
        <w:rPr>
          <w:b/>
        </w:rPr>
        <w:t>tvorby fixního kapitálu</w:t>
      </w:r>
      <w:r w:rsidR="00B95E06" w:rsidRPr="00737453">
        <w:t>,</w:t>
      </w:r>
      <w:r w:rsidR="00B95E06">
        <w:t xml:space="preserve"> a to o</w:t>
      </w:r>
      <w:r w:rsidR="005E3385">
        <w:t xml:space="preserve"> 0,9 %. </w:t>
      </w:r>
      <w:r w:rsidR="00197652">
        <w:t>V</w:t>
      </w:r>
      <w:r w:rsidR="004F6E82">
        <w:t>e</w:t>
      </w:r>
      <w:r w:rsidR="00197652">
        <w:t> </w:t>
      </w:r>
      <w:r w:rsidR="004F6E82">
        <w:t>srovnání</w:t>
      </w:r>
      <w:r w:rsidR="00197652">
        <w:t xml:space="preserve"> s</w:t>
      </w:r>
      <w:r w:rsidR="00157EBD">
        <w:t>e </w:t>
      </w:r>
      <w:r w:rsidR="00737453">
        <w:t xml:space="preserve">stejným obdobím </w:t>
      </w:r>
      <w:r w:rsidR="00197652">
        <w:t>předchozí</w:t>
      </w:r>
      <w:r w:rsidR="00737453">
        <w:t>ho</w:t>
      </w:r>
      <w:r w:rsidR="00197652">
        <w:t xml:space="preserve"> rok</w:t>
      </w:r>
      <w:r w:rsidR="00737453">
        <w:t>u však</w:t>
      </w:r>
      <w:r w:rsidR="00197652">
        <w:t xml:space="preserve"> </w:t>
      </w:r>
      <w:r w:rsidR="004F6E82">
        <w:t xml:space="preserve">zůstala tvorba fixního kapitálu </w:t>
      </w:r>
      <w:r w:rsidR="00737453">
        <w:t>stále</w:t>
      </w:r>
      <w:r w:rsidR="00197652">
        <w:t xml:space="preserve"> velmi vysoká (</w:t>
      </w:r>
      <w:r w:rsidR="00370FF4">
        <w:t>o </w:t>
      </w:r>
      <w:r w:rsidR="00197652">
        <w:t xml:space="preserve">7,9 %). </w:t>
      </w:r>
    </w:p>
    <w:p w:rsidR="008A6D74" w:rsidRDefault="00197652" w:rsidP="008A6D74">
      <w:pPr>
        <w:spacing w:before="240" w:after="240"/>
      </w:pPr>
      <w:r>
        <w:t xml:space="preserve">V závěru roku se dařilo </w:t>
      </w:r>
      <w:r w:rsidR="00990FE7">
        <w:t xml:space="preserve">také </w:t>
      </w:r>
      <w:r>
        <w:t>zahraničnímu obchodu</w:t>
      </w:r>
      <w:r w:rsidR="00990FE7">
        <w:t xml:space="preserve">. </w:t>
      </w:r>
      <w:r w:rsidR="00990FE7" w:rsidRPr="00D36813">
        <w:rPr>
          <w:b/>
        </w:rPr>
        <w:t>Saldo zboží a služeb</w:t>
      </w:r>
      <w:r w:rsidR="00990FE7">
        <w:t xml:space="preserve"> dosáhlo v běžných cenách hodnoty 79,</w:t>
      </w:r>
      <w:r w:rsidR="008208F0">
        <w:t>3</w:t>
      </w:r>
      <w:r w:rsidR="00990FE7">
        <w:t> mld. Kč a bylo tak</w:t>
      </w:r>
      <w:r w:rsidR="00C61234">
        <w:t>, zejména díky saldu služeb,</w:t>
      </w:r>
      <w:r w:rsidR="00990FE7">
        <w:t xml:space="preserve"> </w:t>
      </w:r>
      <w:r w:rsidR="00C61234">
        <w:t>o více než 11 </w:t>
      </w:r>
      <w:r w:rsidR="00990FE7">
        <w:t>mld. Kč</w:t>
      </w:r>
      <w:r w:rsidR="00B75431" w:rsidRPr="00B75431">
        <w:t xml:space="preserve"> </w:t>
      </w:r>
      <w:r w:rsidR="00B75431">
        <w:t>vyšší</w:t>
      </w:r>
      <w:r w:rsidR="00EA37C4">
        <w:rPr>
          <w:rStyle w:val="Znakapoznpodarou"/>
        </w:rPr>
        <w:footnoteReference w:id="4"/>
      </w:r>
      <w:r w:rsidR="00C61234" w:rsidRPr="00C61234">
        <w:t xml:space="preserve"> </w:t>
      </w:r>
      <w:r w:rsidR="00C61234">
        <w:t xml:space="preserve">než ve 4. čtvrtletí </w:t>
      </w:r>
      <w:r w:rsidR="008840CE">
        <w:t>předchozího roku</w:t>
      </w:r>
      <w:r w:rsidR="00C61234">
        <w:t>.</w:t>
      </w:r>
    </w:p>
    <w:p w:rsidR="002C50DE" w:rsidRPr="00197652" w:rsidRDefault="00E96F8A" w:rsidP="008A6D74">
      <w:pPr>
        <w:spacing w:before="240" w:after="240"/>
      </w:pPr>
      <w:r w:rsidRPr="00D36813">
        <w:rPr>
          <w:b/>
        </w:rPr>
        <w:t>Zaměstnanost</w:t>
      </w:r>
      <w:r>
        <w:t xml:space="preserve"> podle pojetí národních účtů v</w:t>
      </w:r>
      <w:r w:rsidR="00EA37C4" w:rsidRPr="00EA37C4">
        <w:t xml:space="preserve">e </w:t>
      </w:r>
      <w:r>
        <w:t>4</w:t>
      </w:r>
      <w:r w:rsidR="00EA37C4" w:rsidRPr="00EA37C4">
        <w:t>. čtvrtletí mezi</w:t>
      </w:r>
      <w:r>
        <w:t>čtvrtletně vzrostla o 0,2 %</w:t>
      </w:r>
      <w:r w:rsidR="009F6D1E">
        <w:t xml:space="preserve"> a </w:t>
      </w:r>
      <w:r>
        <w:t>mezi</w:t>
      </w:r>
      <w:r w:rsidR="00EA37C4" w:rsidRPr="00EA37C4">
        <w:t>ročn</w:t>
      </w:r>
      <w:r>
        <w:t>ě</w:t>
      </w:r>
      <w:r w:rsidR="00EA37C4" w:rsidRPr="00EA37C4">
        <w:t xml:space="preserve"> </w:t>
      </w:r>
      <w:r>
        <w:t xml:space="preserve">byla vyšší o </w:t>
      </w:r>
      <w:r w:rsidR="00EA37C4" w:rsidRPr="00EA37C4">
        <w:t>1,</w:t>
      </w:r>
      <w:r>
        <w:t>1 </w:t>
      </w:r>
      <w:r w:rsidR="00EA37C4" w:rsidRPr="00EA37C4">
        <w:t>%.</w:t>
      </w:r>
    </w:p>
    <w:p w:rsidR="008A6D74" w:rsidRPr="003A57A0" w:rsidRDefault="003F0DF1" w:rsidP="003A57A0">
      <w:pPr>
        <w:pStyle w:val="Podtitulek"/>
        <w:spacing w:after="120"/>
      </w:pPr>
      <w:r w:rsidRPr="003A57A0">
        <w:t>Tvorba a užití HDP v roce 2015</w:t>
      </w:r>
    </w:p>
    <w:p w:rsidR="00582A9E" w:rsidRDefault="00CE142F" w:rsidP="008A6D74">
      <w:pPr>
        <w:spacing w:before="240" w:after="240"/>
      </w:pPr>
      <w:r w:rsidRPr="00CE142F">
        <w:rPr>
          <w:b/>
        </w:rPr>
        <w:t>HDP</w:t>
      </w:r>
      <w:r w:rsidR="008A6D74" w:rsidRPr="00CE142F">
        <w:rPr>
          <w:b/>
        </w:rPr>
        <w:t xml:space="preserve"> za rok 2015</w:t>
      </w:r>
      <w:r w:rsidR="008A6D74" w:rsidRPr="00CE142F">
        <w:t xml:space="preserve"> byl </w:t>
      </w:r>
      <w:r w:rsidR="00F034C4" w:rsidRPr="00CE142F">
        <w:rPr>
          <w:b/>
        </w:rPr>
        <w:t>o 4,3</w:t>
      </w:r>
      <w:r w:rsidR="00F034C4">
        <w:rPr>
          <w:b/>
        </w:rPr>
        <w:t> </w:t>
      </w:r>
      <w:r w:rsidR="00F034C4" w:rsidRPr="00CE142F">
        <w:rPr>
          <w:b/>
        </w:rPr>
        <w:t>%</w:t>
      </w:r>
      <w:r w:rsidR="008A6D74" w:rsidRPr="00CE142F">
        <w:t xml:space="preserve"> </w:t>
      </w:r>
      <w:r w:rsidR="008A6D74" w:rsidRPr="00CE142F">
        <w:rPr>
          <w:b/>
        </w:rPr>
        <w:t>vyšší</w:t>
      </w:r>
      <w:r w:rsidR="00F034C4" w:rsidRPr="00F034C4">
        <w:t xml:space="preserve"> než v</w:t>
      </w:r>
      <w:r w:rsidR="00F034C4">
        <w:t> předchozím roce</w:t>
      </w:r>
      <w:r w:rsidR="00F034C4" w:rsidRPr="00F034C4">
        <w:t xml:space="preserve">. Jednalo se o </w:t>
      </w:r>
      <w:r w:rsidR="00A75C25">
        <w:t>nejvyšší růst za </w:t>
      </w:r>
      <w:r w:rsidR="008A6D74" w:rsidRPr="00864384">
        <w:t xml:space="preserve">posledních osm let. </w:t>
      </w:r>
      <w:r w:rsidR="004D31CD" w:rsidRPr="00864384">
        <w:t xml:space="preserve">Rostoucí spotřeba domácností (o 2,9 %) spolu s vyšší investiční aktivitou </w:t>
      </w:r>
      <w:r w:rsidR="003D164F" w:rsidRPr="00864384">
        <w:t xml:space="preserve">(9,6 %) </w:t>
      </w:r>
      <w:r w:rsidR="00C14C02">
        <w:t xml:space="preserve">pomohly </w:t>
      </w:r>
      <w:r w:rsidR="00AC05F5">
        <w:t>zrychli</w:t>
      </w:r>
      <w:r w:rsidR="00C14C02">
        <w:t>t</w:t>
      </w:r>
      <w:r w:rsidR="00AC05F5">
        <w:t xml:space="preserve"> </w:t>
      </w:r>
      <w:r w:rsidR="00C14C02">
        <w:t xml:space="preserve">růst </w:t>
      </w:r>
      <w:r w:rsidR="008A6D74" w:rsidRPr="00864384">
        <w:t>ekonomi</w:t>
      </w:r>
      <w:r w:rsidR="00C14C02">
        <w:t>ky</w:t>
      </w:r>
      <w:r w:rsidR="003D164F" w:rsidRPr="00864384">
        <w:t>, kter</w:t>
      </w:r>
      <w:r w:rsidR="00A75C25">
        <w:t>ý</w:t>
      </w:r>
      <w:r w:rsidR="003D164F" w:rsidRPr="00864384">
        <w:t xml:space="preserve"> za</w:t>
      </w:r>
      <w:r w:rsidR="00A75C25">
        <w:t>po</w:t>
      </w:r>
      <w:r w:rsidR="003D164F" w:rsidRPr="00864384">
        <w:t>čal</w:t>
      </w:r>
      <w:r w:rsidR="00A75C25">
        <w:t xml:space="preserve"> </w:t>
      </w:r>
      <w:r w:rsidR="003D164F" w:rsidRPr="00864384">
        <w:t>v</w:t>
      </w:r>
      <w:r w:rsidR="00F90A47">
        <w:t> </w:t>
      </w:r>
      <w:r w:rsidR="003D164F" w:rsidRPr="00864384">
        <w:t>roce</w:t>
      </w:r>
      <w:r w:rsidR="00F90A47">
        <w:t xml:space="preserve"> 2013</w:t>
      </w:r>
      <w:r w:rsidR="003D164F" w:rsidRPr="00864384">
        <w:t xml:space="preserve">. </w:t>
      </w:r>
    </w:p>
    <w:p w:rsidR="003D164F" w:rsidRPr="00864384" w:rsidRDefault="00420F19" w:rsidP="008A6D74">
      <w:pPr>
        <w:spacing w:before="240" w:after="240"/>
      </w:pPr>
      <w:r>
        <w:t>O</w:t>
      </w:r>
      <w:r w:rsidR="009E7925">
        <w:t>b</w:t>
      </w:r>
      <w:r>
        <w:t>ě</w:t>
      </w:r>
      <w:r w:rsidR="009E7925">
        <w:t xml:space="preserve"> t</w:t>
      </w:r>
      <w:r>
        <w:t>yto</w:t>
      </w:r>
      <w:r w:rsidR="009E7925">
        <w:t xml:space="preserve"> nejvýznamnější </w:t>
      </w:r>
      <w:r w:rsidR="009E7925" w:rsidRPr="00582A9E">
        <w:rPr>
          <w:b/>
        </w:rPr>
        <w:t>složk</w:t>
      </w:r>
      <w:r w:rsidRPr="00582A9E">
        <w:rPr>
          <w:b/>
        </w:rPr>
        <w:t>y</w:t>
      </w:r>
      <w:r w:rsidR="009E7925" w:rsidRPr="00582A9E">
        <w:rPr>
          <w:b/>
        </w:rPr>
        <w:t xml:space="preserve"> d</w:t>
      </w:r>
      <w:r w:rsidRPr="00582A9E">
        <w:rPr>
          <w:b/>
        </w:rPr>
        <w:t>omácí poptávky</w:t>
      </w:r>
      <w:r>
        <w:t xml:space="preserve"> rostly nejrychleji od </w:t>
      </w:r>
      <w:r w:rsidR="009E7925">
        <w:t>roku 2007</w:t>
      </w:r>
      <w:r>
        <w:t xml:space="preserve">. </w:t>
      </w:r>
      <w:r w:rsidR="000B1377" w:rsidRPr="000B1377">
        <w:t>Za h</w:t>
      </w:r>
      <w:r w:rsidRPr="000B1377">
        <w:t xml:space="preserve">ospodářským růstem </w:t>
      </w:r>
      <w:r w:rsidR="000B1377" w:rsidRPr="000B1377">
        <w:t xml:space="preserve">proto </w:t>
      </w:r>
      <w:r w:rsidRPr="000B1377">
        <w:t xml:space="preserve">v roce 2015 stála spíše domácí </w:t>
      </w:r>
      <w:r w:rsidR="00FD75AD" w:rsidRPr="000B1377">
        <w:t xml:space="preserve">poptávka </w:t>
      </w:r>
      <w:r w:rsidRPr="000B1377">
        <w:t>než zahraniční</w:t>
      </w:r>
      <w:r w:rsidR="00582A9E" w:rsidRPr="000B1377">
        <w:t xml:space="preserve"> </w:t>
      </w:r>
      <w:r w:rsidR="00FD75AD" w:rsidRPr="000B1377">
        <w:t>obchod</w:t>
      </w:r>
      <w:r w:rsidRPr="000B1377">
        <w:t xml:space="preserve">. </w:t>
      </w:r>
      <w:r w:rsidR="00582A9E" w:rsidRPr="000B1377">
        <w:t>Investice vč</w:t>
      </w:r>
      <w:r w:rsidR="00DE6FB5" w:rsidRPr="000B1377">
        <w:t>etně</w:t>
      </w:r>
      <w:r w:rsidR="00582A9E" w:rsidRPr="000B1377">
        <w:t> </w:t>
      </w:r>
      <w:r w:rsidR="009E7925" w:rsidRPr="000B1377">
        <w:t xml:space="preserve">zásob přispěly </w:t>
      </w:r>
      <w:r w:rsidR="005F1550" w:rsidRPr="000B1377">
        <w:t xml:space="preserve">k růstu HDP </w:t>
      </w:r>
      <w:r w:rsidR="009E7925" w:rsidRPr="000B1377">
        <w:t>1,9 p. b., spotřeba domá</w:t>
      </w:r>
      <w:r w:rsidR="005F1550" w:rsidRPr="000B1377">
        <w:t>cností 0,</w:t>
      </w:r>
      <w:r w:rsidR="00DE6FB5" w:rsidRPr="000B1377">
        <w:t>8</w:t>
      </w:r>
      <w:r w:rsidR="005F1550" w:rsidRPr="000B1377">
        <w:t> </w:t>
      </w:r>
      <w:proofErr w:type="gramStart"/>
      <w:r w:rsidR="005F1550" w:rsidRPr="000B1377">
        <w:t>p. b.</w:t>
      </w:r>
      <w:r w:rsidR="005F1550">
        <w:t xml:space="preserve"> a </w:t>
      </w:r>
      <w:r w:rsidR="009E7925">
        <w:t>spotřeba</w:t>
      </w:r>
      <w:proofErr w:type="gramEnd"/>
      <w:r w:rsidR="009E7925">
        <w:t xml:space="preserve"> vládních institucí 0,6 p. b. </w:t>
      </w:r>
      <w:r w:rsidR="005F1550" w:rsidRPr="007E5CB4">
        <w:rPr>
          <w:b/>
        </w:rPr>
        <w:t>Příspěvek z</w:t>
      </w:r>
      <w:r w:rsidR="009E7925" w:rsidRPr="007E5CB4">
        <w:rPr>
          <w:b/>
        </w:rPr>
        <w:t>ahraniční</w:t>
      </w:r>
      <w:r w:rsidR="005F1550" w:rsidRPr="007E5CB4">
        <w:rPr>
          <w:b/>
        </w:rPr>
        <w:t>ho</w:t>
      </w:r>
      <w:r w:rsidR="009E7925" w:rsidRPr="007E5CB4">
        <w:rPr>
          <w:b/>
        </w:rPr>
        <w:t xml:space="preserve"> obchod</w:t>
      </w:r>
      <w:r w:rsidR="005F1550" w:rsidRPr="007E5CB4">
        <w:rPr>
          <w:b/>
        </w:rPr>
        <w:t>u</w:t>
      </w:r>
      <w:r w:rsidR="009E7925">
        <w:t xml:space="preserve"> </w:t>
      </w:r>
      <w:r w:rsidR="005F1550">
        <w:t xml:space="preserve">činil </w:t>
      </w:r>
      <w:r w:rsidR="009E7925">
        <w:t>1,0 p. b</w:t>
      </w:r>
      <w:r w:rsidR="00157EBD">
        <w:t>., a to </w:t>
      </w:r>
      <w:r w:rsidR="00582A9E">
        <w:t>hlavně díky zlepšení ke </w:t>
      </w:r>
      <w:r w:rsidR="009E7925">
        <w:t>konci roku.</w:t>
      </w:r>
      <w:r w:rsidR="00FD75AD">
        <w:t xml:space="preserve"> </w:t>
      </w:r>
      <w:r w:rsidR="00FD75AD" w:rsidRPr="00493AD2">
        <w:t>Stejně jako v roce 2014 pokračoval trend rychlejšího růstu dovozu než vývozu.</w:t>
      </w:r>
      <w:r w:rsidR="00FD75AD">
        <w:t xml:space="preserve"> </w:t>
      </w:r>
    </w:p>
    <w:p w:rsidR="008166EE" w:rsidRPr="006508A8" w:rsidRDefault="009E7925" w:rsidP="008A6D74">
      <w:pPr>
        <w:spacing w:before="240" w:after="240"/>
      </w:pPr>
      <w:r w:rsidRPr="009E7925">
        <w:rPr>
          <w:b/>
        </w:rPr>
        <w:t>HPH se v roce 2015</w:t>
      </w:r>
      <w:r w:rsidRPr="009E7925">
        <w:t xml:space="preserve"> zvýšila v porovnání s předchozím rokem </w:t>
      </w:r>
      <w:r w:rsidRPr="009E7925">
        <w:rPr>
          <w:b/>
        </w:rPr>
        <w:t>o 3,8 %</w:t>
      </w:r>
      <w:r w:rsidRPr="009E7925">
        <w:t>.</w:t>
      </w:r>
      <w:r w:rsidR="000E416D">
        <w:t xml:space="preserve"> Růst se projevoval napříč všemi oblastmi národního hospodářství. </w:t>
      </w:r>
      <w:r w:rsidR="008166EE">
        <w:t>Podobně</w:t>
      </w:r>
      <w:r w:rsidR="000E416D">
        <w:t xml:space="preserve"> jako v roce 2014 </w:t>
      </w:r>
      <w:r w:rsidR="00E76B01">
        <w:t xml:space="preserve">představoval </w:t>
      </w:r>
      <w:r w:rsidR="000E416D">
        <w:t>příspěvek zpracovatelského průmyslu zhruba polovi</w:t>
      </w:r>
      <w:r w:rsidR="00E76B01">
        <w:t>nu růstu HPH (1,9 p. b.)</w:t>
      </w:r>
      <w:r w:rsidR="000E416D">
        <w:t xml:space="preserve">. </w:t>
      </w:r>
      <w:r w:rsidR="00DE6FB5">
        <w:t>Na rozdíl od</w:t>
      </w:r>
      <w:r w:rsidR="00E76B01">
        <w:t xml:space="preserve"> roku 2014 </w:t>
      </w:r>
      <w:r w:rsidR="006508A8">
        <w:t xml:space="preserve">ovšem </w:t>
      </w:r>
      <w:r w:rsidR="00DE6FB5">
        <w:t xml:space="preserve">přispěla </w:t>
      </w:r>
      <w:r w:rsidR="00E76B01" w:rsidRPr="006508A8">
        <w:t>k r</w:t>
      </w:r>
      <w:r w:rsidR="008166EE" w:rsidRPr="006508A8">
        <w:t>ůst</w:t>
      </w:r>
      <w:r w:rsidR="00E76B01" w:rsidRPr="006508A8">
        <w:t xml:space="preserve">u HPH rovnoměrněji </w:t>
      </w:r>
      <w:r w:rsidR="007F27A3" w:rsidRPr="006508A8">
        <w:t xml:space="preserve">také </w:t>
      </w:r>
      <w:r w:rsidR="00E76B01" w:rsidRPr="006508A8">
        <w:t>všech</w:t>
      </w:r>
      <w:r w:rsidR="007F27A3" w:rsidRPr="006508A8">
        <w:t>na</w:t>
      </w:r>
      <w:r w:rsidR="00E76B01" w:rsidRPr="006508A8">
        <w:t xml:space="preserve"> </w:t>
      </w:r>
      <w:r w:rsidR="008166EE" w:rsidRPr="006508A8">
        <w:t xml:space="preserve">ostatní </w:t>
      </w:r>
      <w:r w:rsidR="00E76B01" w:rsidRPr="006508A8">
        <w:t>odvětví</w:t>
      </w:r>
      <w:r w:rsidR="007F27A3" w:rsidRPr="006508A8">
        <w:t xml:space="preserve"> národního hospodářství. </w:t>
      </w:r>
    </w:p>
    <w:p w:rsidR="008A6D74" w:rsidRPr="007E5CB4" w:rsidRDefault="00F624A5" w:rsidP="008A6D74">
      <w:pPr>
        <w:spacing w:before="240" w:after="240"/>
      </w:pPr>
      <w:r w:rsidRPr="00F11C7A">
        <w:t xml:space="preserve">Vyšší </w:t>
      </w:r>
      <w:r w:rsidRPr="00F11C7A">
        <w:rPr>
          <w:b/>
        </w:rPr>
        <w:t xml:space="preserve">tempo </w:t>
      </w:r>
      <w:r w:rsidR="00F0691B" w:rsidRPr="00F11C7A">
        <w:rPr>
          <w:b/>
        </w:rPr>
        <w:t>růst</w:t>
      </w:r>
      <w:r w:rsidRPr="00F11C7A">
        <w:rPr>
          <w:b/>
        </w:rPr>
        <w:t>u</w:t>
      </w:r>
      <w:r w:rsidR="00F0691B" w:rsidRPr="00F11C7A">
        <w:rPr>
          <w:b/>
        </w:rPr>
        <w:t xml:space="preserve"> daní z produktů</w:t>
      </w:r>
      <w:r w:rsidR="00F0691B" w:rsidRPr="00F11C7A">
        <w:t xml:space="preserve"> byl</w:t>
      </w:r>
      <w:r w:rsidRPr="00F11C7A">
        <w:t>o</w:t>
      </w:r>
      <w:r w:rsidR="00F0691B" w:rsidRPr="00F11C7A">
        <w:t xml:space="preserve"> v roce 2015 významně ovlivněn</w:t>
      </w:r>
      <w:r w:rsidRPr="00F11C7A">
        <w:t>o</w:t>
      </w:r>
      <w:r w:rsidR="00F0691B" w:rsidRPr="00F11C7A">
        <w:t xml:space="preserve"> nižší srovnávací základnou v roce 2014. Ta byla</w:t>
      </w:r>
      <w:r w:rsidR="00BF538A" w:rsidRPr="00F11C7A">
        <w:t xml:space="preserve"> v první polovině roku</w:t>
      </w:r>
      <w:r w:rsidR="00F0691B" w:rsidRPr="00F11C7A">
        <w:t xml:space="preserve"> </w:t>
      </w:r>
      <w:r w:rsidR="00224044" w:rsidRPr="00F11C7A">
        <w:t xml:space="preserve">2014 </w:t>
      </w:r>
      <w:r w:rsidR="00F0691B" w:rsidRPr="00F11C7A">
        <w:t xml:space="preserve">postižena </w:t>
      </w:r>
      <w:r w:rsidRPr="00F11C7A">
        <w:t>nízkým</w:t>
      </w:r>
      <w:r w:rsidR="00BF538A" w:rsidRPr="00F11C7A">
        <w:t xml:space="preserve"> výběrem spotřebních daní z tabákových výrobků</w:t>
      </w:r>
      <w:r w:rsidR="00BF4862" w:rsidRPr="00F11C7A">
        <w:t>.</w:t>
      </w:r>
      <w:r w:rsidR="00BF538A" w:rsidRPr="00F11C7A">
        <w:t xml:space="preserve"> </w:t>
      </w:r>
      <w:r w:rsidR="00F11C7A" w:rsidRPr="00F11C7A">
        <w:t>V</w:t>
      </w:r>
      <w:r w:rsidR="00F77291" w:rsidRPr="00F11C7A">
        <w:t>liv</w:t>
      </w:r>
      <w:r w:rsidR="000C7AD0" w:rsidRPr="00F11C7A">
        <w:t xml:space="preserve"> tohoto jevu na</w:t>
      </w:r>
      <w:r w:rsidR="00F77291" w:rsidRPr="00F11C7A">
        <w:t xml:space="preserve"> tempo růstu HDP </w:t>
      </w:r>
      <w:r w:rsidRPr="00F11C7A">
        <w:t xml:space="preserve">za celý rok 2015 </w:t>
      </w:r>
      <w:r w:rsidR="00F11C7A" w:rsidRPr="00F11C7A">
        <w:t>je přibližně</w:t>
      </w:r>
      <w:r w:rsidR="00F77291" w:rsidRPr="00F11C7A">
        <w:t xml:space="preserve"> 0,4 p. b.</w:t>
      </w:r>
    </w:p>
    <w:p w:rsidR="008A6D74" w:rsidRPr="007E5CB4" w:rsidRDefault="008A6D74" w:rsidP="008A6D74">
      <w:pPr>
        <w:spacing w:before="240" w:after="240"/>
      </w:pPr>
      <w:r w:rsidRPr="007E5CB4">
        <w:rPr>
          <w:b/>
        </w:rPr>
        <w:lastRenderedPageBreak/>
        <w:t>Celková zaměstnanost</w:t>
      </w:r>
      <w:r w:rsidRPr="007E5CB4">
        <w:t xml:space="preserve"> v pojetí národních účtů</w:t>
      </w:r>
      <w:r w:rsidR="001C5A6B">
        <w:t xml:space="preserve"> </w:t>
      </w:r>
      <w:r w:rsidRPr="007E5CB4">
        <w:t>vzrostla v</w:t>
      </w:r>
      <w:r w:rsidR="001C5A6B">
        <w:t>e srovnání s předchozím rokem v </w:t>
      </w:r>
      <w:r w:rsidRPr="007E5CB4">
        <w:t xml:space="preserve">průměru o </w:t>
      </w:r>
      <w:r w:rsidR="006E30AA" w:rsidRPr="007E5CB4">
        <w:t>1,2</w:t>
      </w:r>
      <w:r w:rsidRPr="007E5CB4">
        <w:t xml:space="preserve"> % na 5</w:t>
      </w:r>
      <w:r w:rsidR="006E30AA" w:rsidRPr="007E5CB4">
        <w:t> </w:t>
      </w:r>
      <w:r w:rsidRPr="007E5CB4">
        <w:t>1</w:t>
      </w:r>
      <w:r w:rsidR="006E30AA" w:rsidRPr="007E5CB4">
        <w:t xml:space="preserve">70 </w:t>
      </w:r>
      <w:r w:rsidRPr="007E5CB4">
        <w:t>tisíc osob. Odpracováno bylo celkem o 1,</w:t>
      </w:r>
      <w:r w:rsidR="007E5CB4" w:rsidRPr="007E5CB4">
        <w:t>8</w:t>
      </w:r>
      <w:r w:rsidRPr="007E5CB4">
        <w:t xml:space="preserve"> % hodin</w:t>
      </w:r>
      <w:r w:rsidR="007E5CB4" w:rsidRPr="007E5CB4">
        <w:t xml:space="preserve"> </w:t>
      </w:r>
      <w:r w:rsidR="00717A40" w:rsidRPr="007E5CB4">
        <w:t xml:space="preserve">více </w:t>
      </w:r>
      <w:r w:rsidR="007E5CB4" w:rsidRPr="007E5CB4">
        <w:t>než v roce 2014</w:t>
      </w:r>
      <w:r w:rsidRPr="007E5CB4">
        <w:t>.</w:t>
      </w:r>
    </w:p>
    <w:p w:rsidR="008538A7" w:rsidRPr="00304ECA" w:rsidRDefault="008538A7" w:rsidP="007E408F">
      <w:pPr>
        <w:pStyle w:val="Poznmky"/>
        <w:tabs>
          <w:tab w:val="left" w:pos="284"/>
        </w:tabs>
        <w:spacing w:before="1800"/>
        <w:ind w:left="4253" w:hanging="4321"/>
        <w:rPr>
          <w:i/>
        </w:rPr>
      </w:pPr>
      <w:r>
        <w:rPr>
          <w:i/>
        </w:rPr>
        <w:t>Zodpovědný vedoucí pracovník</w:t>
      </w:r>
      <w:r w:rsidRPr="00304ECA">
        <w:rPr>
          <w:i/>
        </w:rPr>
        <w:t>:</w:t>
      </w:r>
      <w:r w:rsidRPr="00304ECA">
        <w:rPr>
          <w:i/>
        </w:rPr>
        <w:tab/>
      </w:r>
      <w:r>
        <w:rPr>
          <w:i/>
        </w:rPr>
        <w:t>Vladimír Kermiet</w:t>
      </w:r>
      <w:r w:rsidRPr="00304ECA">
        <w:rPr>
          <w:i/>
        </w:rPr>
        <w:t xml:space="preserve">, ředitel Odboru národních </w:t>
      </w:r>
      <w:r>
        <w:rPr>
          <w:i/>
        </w:rPr>
        <w:t>účtů, tel. </w:t>
      </w:r>
      <w:r w:rsidRPr="00304ECA">
        <w:rPr>
          <w:i/>
        </w:rPr>
        <w:t>274 05</w:t>
      </w:r>
      <w:r>
        <w:rPr>
          <w:i/>
        </w:rPr>
        <w:t>4 247</w:t>
      </w:r>
      <w:r w:rsidRPr="00304ECA">
        <w:rPr>
          <w:i/>
        </w:rPr>
        <w:t>,</w:t>
      </w:r>
      <w:r>
        <w:rPr>
          <w:i/>
        </w:rPr>
        <w:t xml:space="preserve"> e</w:t>
      </w:r>
      <w:r>
        <w:rPr>
          <w:i/>
        </w:rPr>
        <w:noBreakHyphen/>
        <w:t>mail: </w:t>
      </w:r>
      <w:hyperlink r:id="rId8" w:history="1">
        <w:r w:rsidRPr="002F0441">
          <w:rPr>
            <w:rStyle w:val="Hypertextovodkaz"/>
            <w:i/>
          </w:rPr>
          <w:t>vladimir.kermiet@czso.cz</w:t>
        </w:r>
      </w:hyperlink>
      <w:r>
        <w:rPr>
          <w:i/>
        </w:rPr>
        <w:t xml:space="preserve"> </w:t>
      </w:r>
    </w:p>
    <w:p w:rsidR="008538A7" w:rsidRDefault="008538A7" w:rsidP="008538A7">
      <w:pPr>
        <w:pStyle w:val="Poznamkytexty"/>
        <w:ind w:left="4253" w:hanging="4253"/>
        <w:jc w:val="left"/>
      </w:pPr>
      <w:r>
        <w:t>Kontaktní osoba:</w:t>
      </w:r>
      <w:r>
        <w:tab/>
        <w:t>Tereza Košťáková, tel. 274 052 750, e</w:t>
      </w:r>
      <w:r>
        <w:noBreakHyphen/>
        <w:t>mail: </w:t>
      </w:r>
      <w:hyperlink r:id="rId9" w:history="1">
        <w:r w:rsidRPr="002F0441">
          <w:rPr>
            <w:rStyle w:val="Hypertextovodkaz"/>
          </w:rPr>
          <w:t>tereza.kostakova@czso.cz</w:t>
        </w:r>
      </w:hyperlink>
      <w:r>
        <w:t xml:space="preserve"> </w:t>
      </w:r>
    </w:p>
    <w:p w:rsidR="008538A7" w:rsidRDefault="008538A7" w:rsidP="008538A7">
      <w:pPr>
        <w:pStyle w:val="Poznamkytexty"/>
        <w:ind w:left="4253" w:hanging="4253"/>
      </w:pPr>
      <w:r>
        <w:t>Aktuálnost použitých datových zdrojů</w:t>
      </w:r>
      <w:r w:rsidRPr="00B13ABB">
        <w:t>:</w:t>
      </w:r>
      <w:r w:rsidRPr="00B13ABB">
        <w:tab/>
      </w:r>
      <w:r w:rsidR="007E5CB4">
        <w:t>2</w:t>
      </w:r>
      <w:r w:rsidR="009344E6">
        <w:t>6</w:t>
      </w:r>
      <w:r>
        <w:t>.</w:t>
      </w:r>
      <w:r w:rsidR="00792F46">
        <w:t xml:space="preserve"> </w:t>
      </w:r>
      <w:r w:rsidR="007E5CB4">
        <w:t>února</w:t>
      </w:r>
      <w:r>
        <w:t xml:space="preserve"> 201</w:t>
      </w:r>
      <w:r w:rsidR="007E5CB4">
        <w:t>6</w:t>
      </w:r>
    </w:p>
    <w:p w:rsidR="00A87D94" w:rsidRPr="00A87D94" w:rsidRDefault="00A87D94" w:rsidP="008538A7">
      <w:pPr>
        <w:pStyle w:val="Poznamkytexty"/>
        <w:ind w:left="4253" w:hanging="4253"/>
      </w:pPr>
      <w:r>
        <w:t>Časové řady</w:t>
      </w:r>
      <w:r w:rsidR="008538A7" w:rsidRPr="00B13ABB">
        <w:t>:</w:t>
      </w:r>
      <w:r w:rsidR="008538A7" w:rsidRPr="00B13ABB">
        <w:tab/>
      </w:r>
      <w:hyperlink r:id="rId10" w:history="1">
        <w:r w:rsidR="00A047C8" w:rsidRPr="00A87D94">
          <w:rPr>
            <w:rStyle w:val="Hypertextovodkaz"/>
          </w:rPr>
          <w:t>https://www.czso.cz/csu/czso/hdp_cr</w:t>
        </w:r>
      </w:hyperlink>
      <w:r w:rsidR="00A047C8" w:rsidRPr="00A87D94">
        <w:t xml:space="preserve"> </w:t>
      </w:r>
    </w:p>
    <w:p w:rsidR="00A87D94" w:rsidRPr="00A87D94" w:rsidRDefault="00A87D94" w:rsidP="008538A7">
      <w:pPr>
        <w:pStyle w:val="Poznamkytexty"/>
        <w:ind w:left="4253" w:hanging="4253"/>
        <w:jc w:val="left"/>
      </w:pPr>
      <w:r w:rsidRPr="00A87D94">
        <w:t>Internetové stránky RI:</w:t>
      </w:r>
      <w:r w:rsidRPr="00A87D94">
        <w:tab/>
      </w:r>
      <w:hyperlink r:id="rId11" w:history="1">
        <w:r w:rsidRPr="00A87D94">
          <w:rPr>
            <w:rStyle w:val="Hypertextovodkaz"/>
            <w:iCs/>
          </w:rPr>
          <w:t>https://www.czso.cz/csu/czso/ctvrtletni-narodni-ucty-tvorba-a-uziti-hdp-a-predbezny-odhad-hdp</w:t>
        </w:r>
      </w:hyperlink>
    </w:p>
    <w:p w:rsidR="008538A7" w:rsidRDefault="008538A7" w:rsidP="008538A7">
      <w:pPr>
        <w:pStyle w:val="Poznamkytexty"/>
        <w:ind w:left="4253" w:hanging="4253"/>
        <w:jc w:val="left"/>
      </w:pPr>
      <w:r w:rsidRPr="00A87D94">
        <w:t>Termín zveřejnění další RI:</w:t>
      </w:r>
      <w:r w:rsidRPr="00A87D94">
        <w:tab/>
      </w:r>
      <w:r w:rsidR="00792F46" w:rsidRPr="00A87D94">
        <w:t>1</w:t>
      </w:r>
      <w:r w:rsidR="007E5CB4" w:rsidRPr="00A87D94">
        <w:t>7</w:t>
      </w:r>
      <w:r w:rsidR="00792F46" w:rsidRPr="00A87D94">
        <w:t>.</w:t>
      </w:r>
      <w:r w:rsidR="009B09C9" w:rsidRPr="00A87D94">
        <w:t xml:space="preserve"> </w:t>
      </w:r>
      <w:r w:rsidR="007E5CB4" w:rsidRPr="00A87D94">
        <w:t>května</w:t>
      </w:r>
      <w:r w:rsidRPr="00A87D94">
        <w:t xml:space="preserve"> 201</w:t>
      </w:r>
      <w:r w:rsidR="00792F46" w:rsidRPr="00A87D94">
        <w:t>6</w:t>
      </w:r>
      <w:r w:rsidRPr="00A87D94">
        <w:t xml:space="preserve"> </w:t>
      </w:r>
      <w:r w:rsidRPr="00A87D94">
        <w:br/>
      </w:r>
      <w:r w:rsidRPr="008E3A49">
        <w:t>(</w:t>
      </w:r>
      <w:r w:rsidR="008E3A49" w:rsidRPr="008E3A49">
        <w:t>Předběžný odhad HDP</w:t>
      </w:r>
      <w:r w:rsidRPr="008E3A49">
        <w:t xml:space="preserve"> za </w:t>
      </w:r>
      <w:r w:rsidR="007E5CB4">
        <w:t>1</w:t>
      </w:r>
      <w:r w:rsidRPr="008E3A49">
        <w:t>. čtvrtletí 201</w:t>
      </w:r>
      <w:r w:rsidR="007E5CB4">
        <w:t>6</w:t>
      </w:r>
      <w:r w:rsidRPr="008E3A49">
        <w:t>)</w:t>
      </w:r>
    </w:p>
    <w:p w:rsidR="00D209A7" w:rsidRPr="008538A7" w:rsidRDefault="00D209A7" w:rsidP="008538A7"/>
    <w:sectPr w:rsidR="00D209A7" w:rsidRPr="008538A7"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50C" w:rsidRDefault="00AA150C" w:rsidP="00BA6370">
      <w:r>
        <w:separator/>
      </w:r>
    </w:p>
  </w:endnote>
  <w:endnote w:type="continuationSeparator" w:id="0">
    <w:p w:rsidR="00AA150C" w:rsidRDefault="00AA150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0C" w:rsidRDefault="002054BA">
    <w:pPr>
      <w:pStyle w:val="Zpat"/>
    </w:pPr>
    <w:r>
      <w:rPr>
        <w:noProof/>
      </w:rPr>
      <w:pict>
        <v:shapetype id="_x0000_t202" coordsize="21600,21600" o:spt="202" path="m,l,21600r21600,l21600,xe">
          <v:stroke joinstyle="miter"/>
          <v:path gradientshapeok="t" o:connecttype="rect"/>
        </v:shapetype>
        <v:shape id="Textové pole 2" o:spid="_x0000_s2051" type="#_x0000_t202" style="position:absolute;left:0;text-align:left;margin-left:99.2pt;margin-top:774.4pt;width:426.5pt;height:33.75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" filled="f" stroked="f">
          <v:textbox style="mso-next-textbox:#Textové pole 2" inset="0,0,0,0">
            <w:txbxContent>
              <w:p w:rsidR="00AA150C" w:rsidRPr="001404AB" w:rsidRDefault="00AA150C" w:rsidP="0045547F">
                <w:pPr>
                  <w:spacing w:line="220" w:lineRule="atLeast"/>
                  <w:jc w:val="left"/>
                  <w:rPr>
                    <w:rFonts w:cs="Arial"/>
                    <w:b/>
                    <w:bCs/>
                    <w:sz w:val="15"/>
                    <w:szCs w:val="15"/>
                  </w:rPr>
                </w:pPr>
                <w:r w:rsidRPr="001404AB">
                  <w:rPr>
                    <w:rFonts w:cs="Arial"/>
                    <w:b/>
                    <w:bCs/>
                    <w:sz w:val="15"/>
                    <w:szCs w:val="15"/>
                  </w:rPr>
                  <w:t>Oddělení informačních služeb – ústředí</w:t>
                </w:r>
              </w:p>
              <w:p w:rsidR="00AA150C" w:rsidRPr="00A81EB3" w:rsidRDefault="00AA150C" w:rsidP="004E479E">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w:t>
                </w:r>
                <w:proofErr w:type="gramStart"/>
                <w:r w:rsidRPr="00E93830">
                  <w:rPr>
                    <w:rFonts w:cs="Arial"/>
                    <w:b/>
                    <w:bCs/>
                    <w:color w:val="BD1B21"/>
                    <w:sz w:val="15"/>
                    <w:szCs w:val="15"/>
                  </w:rPr>
                  <w:t>cz</w:t>
                </w:r>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274 052 304, e-mail</w:t>
                </w:r>
                <w:hyperlink r:id="rId1" w:history="1">
                  <w:r w:rsidRPr="001404AB">
                    <w:rPr>
                      <w:rStyle w:val="Hypertextovodkaz"/>
                      <w:rFonts w:cs="Arial"/>
                      <w:color w:val="auto"/>
                      <w:sz w:val="15"/>
                      <w:szCs w:val="15"/>
                      <w:u w:val="none"/>
                    </w:rPr>
                    <w:t xml:space="preserve">: </w:t>
                  </w:r>
                  <w:r w:rsidRPr="00F75F2A">
                    <w:rPr>
                      <w:rStyle w:val="Hypertextovodkaz"/>
                      <w:rFonts w:cs="Arial"/>
                      <w:color w:val="0071BC"/>
                      <w:sz w:val="15"/>
                      <w:szCs w:val="15"/>
                    </w:rPr>
                    <w:t>infoservis@czso.cz</w:t>
                  </w:r>
                </w:hyperlink>
                <w:r>
                  <w:rPr>
                    <w:rFonts w:cs="Arial"/>
                    <w:sz w:val="15"/>
                    <w:szCs w:val="15"/>
                  </w:rPr>
                  <w:tab/>
                </w:r>
                <w:r w:rsidR="006A3190" w:rsidRPr="004E479E">
                  <w:rPr>
                    <w:rFonts w:cs="Arial"/>
                    <w:szCs w:val="15"/>
                  </w:rPr>
                  <w:fldChar w:fldCharType="begin"/>
                </w:r>
                <w:r w:rsidRPr="004E479E">
                  <w:rPr>
                    <w:rFonts w:cs="Arial"/>
                    <w:szCs w:val="15"/>
                  </w:rPr>
                  <w:instrText xml:space="preserve"> PAGE   \* MERGEFORMAT </w:instrText>
                </w:r>
                <w:r w:rsidR="006A3190" w:rsidRPr="004E479E">
                  <w:rPr>
                    <w:rFonts w:cs="Arial"/>
                    <w:szCs w:val="15"/>
                  </w:rPr>
                  <w:fldChar w:fldCharType="separate"/>
                </w:r>
                <w:r w:rsidR="002054BA">
                  <w:rPr>
                    <w:rFonts w:cs="Arial"/>
                    <w:noProof/>
                    <w:szCs w:val="15"/>
                  </w:rPr>
                  <w:t>3</w:t>
                </w:r>
                <w:r w:rsidR="006A3190" w:rsidRPr="004E479E">
                  <w:rPr>
                    <w:rFonts w:cs="Arial"/>
                    <w:szCs w:val="15"/>
                  </w:rPr>
                  <w:fldChar w:fldCharType="end"/>
                </w:r>
              </w:p>
            </w:txbxContent>
          </v:textbox>
          <w10:wrap anchorx="page" anchory="page"/>
        </v:shape>
      </w:pict>
    </w:r>
    <w:r>
      <w:rPr>
        <w:noProof/>
      </w:rPr>
      <w:pict>
        <v:line id="Přímá spojnice 2" o:spid="_x0000_s2049" style="position:absolute;left:0;text-align:left;flip:y;z-index:251656704;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50C" w:rsidRDefault="00AA150C" w:rsidP="00BA6370">
      <w:r>
        <w:separator/>
      </w:r>
    </w:p>
  </w:footnote>
  <w:footnote w:type="continuationSeparator" w:id="0">
    <w:p w:rsidR="00AA150C" w:rsidRDefault="00AA150C" w:rsidP="00BA6370">
      <w:r>
        <w:continuationSeparator/>
      </w:r>
    </w:p>
  </w:footnote>
  <w:footnote w:id="1">
    <w:p w:rsidR="00AA150C" w:rsidRPr="00652020" w:rsidRDefault="00AA150C" w:rsidP="00C711C8">
      <w:pPr>
        <w:pStyle w:val="Textpoznpodarou"/>
        <w:spacing w:after="60"/>
        <w:jc w:val="both"/>
        <w:rPr>
          <w:rFonts w:ascii="Arial" w:hAnsi="Arial" w:cs="Arial"/>
          <w:i/>
        </w:rPr>
      </w:pPr>
      <w:r w:rsidRPr="00652020">
        <w:rPr>
          <w:rStyle w:val="Znakapoznpodarou"/>
          <w:rFonts w:ascii="Arial" w:hAnsi="Arial" w:cs="Arial"/>
          <w:i/>
        </w:rPr>
        <w:footnoteRef/>
      </w:r>
      <w:r w:rsidRPr="00652020">
        <w:rPr>
          <w:rFonts w:ascii="Arial" w:hAnsi="Arial" w:cs="Arial"/>
          <w:i/>
        </w:rPr>
        <w:t xml:space="preserve"> </w:t>
      </w:r>
      <w:r w:rsidRPr="00652020">
        <w:rPr>
          <w:rFonts w:ascii="Arial" w:hAnsi="Arial" w:cs="Arial"/>
          <w:i/>
          <w:sz w:val="18"/>
          <w:szCs w:val="18"/>
        </w:rPr>
        <w:t xml:space="preserve">Pokud není uvedeno jinak, jsou všechny uváděné údaje očištěny o změny cen, sezónní vlivy a nestejný počet pracovních dnů (4. čtvrtletí 2015 </w:t>
      </w:r>
      <w:bookmarkStart w:id="0" w:name="_GoBack"/>
      <w:bookmarkEnd w:id="0"/>
      <w:r w:rsidRPr="00652020">
        <w:rPr>
          <w:rFonts w:ascii="Arial" w:hAnsi="Arial" w:cs="Arial"/>
          <w:i/>
          <w:sz w:val="18"/>
          <w:szCs w:val="18"/>
        </w:rPr>
        <w:t>mělo o 1 pracovní den více než stejné období roku 2014).</w:t>
      </w:r>
    </w:p>
  </w:footnote>
  <w:footnote w:id="2">
    <w:p w:rsidR="00AA150C" w:rsidRPr="005A14D1" w:rsidRDefault="00AA150C" w:rsidP="00C711C8">
      <w:pPr>
        <w:pStyle w:val="Textpoznpodarou"/>
        <w:jc w:val="both"/>
        <w:rPr>
          <w:rFonts w:ascii="Arial" w:hAnsi="Arial" w:cs="Arial"/>
          <w:i/>
          <w:sz w:val="18"/>
          <w:szCs w:val="18"/>
        </w:rPr>
      </w:pPr>
      <w:r w:rsidRPr="00652020">
        <w:rPr>
          <w:rStyle w:val="Znakapoznpodarou"/>
          <w:rFonts w:ascii="Arial" w:hAnsi="Arial" w:cs="Arial"/>
          <w:i/>
        </w:rPr>
        <w:footnoteRef/>
      </w:r>
      <w:r w:rsidRPr="00652020">
        <w:rPr>
          <w:rFonts w:ascii="Arial" w:hAnsi="Arial" w:cs="Arial"/>
          <w:i/>
        </w:rPr>
        <w:t xml:space="preserve"> </w:t>
      </w:r>
      <w:r w:rsidRPr="00652020">
        <w:rPr>
          <w:rFonts w:ascii="Arial" w:hAnsi="Arial" w:cs="Arial"/>
          <w:i/>
          <w:sz w:val="18"/>
          <w:szCs w:val="18"/>
        </w:rPr>
        <w:t xml:space="preserve">Mezičtvrtletní tempo růstu HDP bylo ve 4. čtvrtletí negativně ovlivněno sezónním očištěním. Tato skutečnost nemá vliv na tempo růstu HDP za rok 2015, protože opačný vliv mělo sezónní očištění na růst HDP v 1. </w:t>
      </w:r>
      <w:r w:rsidR="00507F4B">
        <w:rPr>
          <w:rFonts w:ascii="Arial" w:hAnsi="Arial" w:cs="Arial"/>
          <w:i/>
          <w:sz w:val="18"/>
          <w:szCs w:val="18"/>
        </w:rPr>
        <w:t>č</w:t>
      </w:r>
      <w:r w:rsidRPr="00652020">
        <w:rPr>
          <w:rFonts w:ascii="Arial" w:hAnsi="Arial" w:cs="Arial"/>
          <w:i/>
          <w:sz w:val="18"/>
          <w:szCs w:val="18"/>
        </w:rPr>
        <w:t>tvrtletí</w:t>
      </w:r>
      <w:r w:rsidR="00507F4B">
        <w:rPr>
          <w:rFonts w:ascii="Arial" w:hAnsi="Arial" w:cs="Arial"/>
          <w:i/>
          <w:sz w:val="18"/>
          <w:szCs w:val="18"/>
        </w:rPr>
        <w:t xml:space="preserve"> 2015</w:t>
      </w:r>
      <w:r w:rsidRPr="00652020">
        <w:rPr>
          <w:rFonts w:ascii="Arial" w:hAnsi="Arial" w:cs="Arial"/>
          <w:i/>
          <w:sz w:val="18"/>
          <w:szCs w:val="18"/>
        </w:rPr>
        <w:t xml:space="preserve">. </w:t>
      </w:r>
      <w:r w:rsidR="00507F4B">
        <w:rPr>
          <w:rFonts w:ascii="Arial" w:hAnsi="Arial" w:cs="Arial"/>
          <w:i/>
          <w:sz w:val="18"/>
        </w:rPr>
        <w:t>Společně s</w:t>
      </w:r>
      <w:r w:rsidR="00507F4B">
        <w:rPr>
          <w:rFonts w:ascii="Arial" w:hAnsi="Arial" w:cs="Arial"/>
          <w:i/>
          <w:sz w:val="18"/>
        </w:rPr>
        <w:t xml:space="preserve"> předběžným </w:t>
      </w:r>
      <w:r w:rsidR="00507F4B">
        <w:rPr>
          <w:rFonts w:ascii="Arial" w:hAnsi="Arial" w:cs="Arial"/>
          <w:i/>
          <w:sz w:val="18"/>
        </w:rPr>
        <w:t>odhadem HDP za 1. čtvrtletí 2016 bud</w:t>
      </w:r>
      <w:r w:rsidR="00507F4B">
        <w:rPr>
          <w:rFonts w:ascii="Arial" w:hAnsi="Arial" w:cs="Arial"/>
          <w:i/>
          <w:sz w:val="18"/>
        </w:rPr>
        <w:t>ou</w:t>
      </w:r>
      <w:r w:rsidR="00507F4B">
        <w:rPr>
          <w:rFonts w:ascii="Arial" w:hAnsi="Arial" w:cs="Arial"/>
          <w:i/>
          <w:sz w:val="18"/>
        </w:rPr>
        <w:t xml:space="preserve"> aktualizován</w:t>
      </w:r>
      <w:r w:rsidR="00507F4B">
        <w:rPr>
          <w:rFonts w:ascii="Arial" w:hAnsi="Arial" w:cs="Arial"/>
          <w:i/>
          <w:sz w:val="18"/>
        </w:rPr>
        <w:t>y</w:t>
      </w:r>
      <w:r w:rsidR="00507F4B">
        <w:rPr>
          <w:rFonts w:ascii="Arial" w:hAnsi="Arial" w:cs="Arial"/>
          <w:i/>
          <w:sz w:val="18"/>
        </w:rPr>
        <w:t xml:space="preserve"> sezónn</w:t>
      </w:r>
      <w:r w:rsidR="00507F4B">
        <w:rPr>
          <w:rFonts w:ascii="Arial" w:hAnsi="Arial" w:cs="Arial"/>
          <w:i/>
          <w:sz w:val="18"/>
        </w:rPr>
        <w:t>ě</w:t>
      </w:r>
      <w:r w:rsidR="00507F4B">
        <w:rPr>
          <w:rFonts w:ascii="Arial" w:hAnsi="Arial" w:cs="Arial"/>
          <w:i/>
          <w:sz w:val="18"/>
        </w:rPr>
        <w:t xml:space="preserve"> očištěn</w:t>
      </w:r>
      <w:r w:rsidR="00507F4B">
        <w:rPr>
          <w:rFonts w:ascii="Arial" w:hAnsi="Arial" w:cs="Arial"/>
          <w:i/>
          <w:sz w:val="18"/>
        </w:rPr>
        <w:t>ě údaje</w:t>
      </w:r>
      <w:r w:rsidR="00507F4B">
        <w:rPr>
          <w:rFonts w:ascii="Arial" w:hAnsi="Arial" w:cs="Arial"/>
          <w:i/>
          <w:sz w:val="18"/>
        </w:rPr>
        <w:t>, čímž dojde k odstranění tohoto protichůdného dopadu na jednotlivá čtvrtletí.</w:t>
      </w:r>
    </w:p>
  </w:footnote>
  <w:footnote w:id="3">
    <w:p w:rsidR="00AA150C" w:rsidRPr="00813498" w:rsidRDefault="00AA150C" w:rsidP="00C711C8">
      <w:pPr>
        <w:pStyle w:val="Textpoznpodarou"/>
        <w:spacing w:after="60"/>
        <w:rPr>
          <w:rFonts w:ascii="Arial" w:hAnsi="Arial" w:cs="Arial"/>
          <w:i/>
          <w:sz w:val="18"/>
        </w:rPr>
      </w:pPr>
      <w:r w:rsidRPr="00813498">
        <w:rPr>
          <w:rStyle w:val="Znakapoznpodarou"/>
          <w:rFonts w:ascii="Arial" w:hAnsi="Arial" w:cs="Arial"/>
          <w:i/>
          <w:sz w:val="18"/>
        </w:rPr>
        <w:footnoteRef/>
      </w:r>
      <w:r w:rsidRPr="00813498">
        <w:rPr>
          <w:rFonts w:ascii="Arial" w:hAnsi="Arial" w:cs="Arial"/>
          <w:i/>
          <w:sz w:val="18"/>
        </w:rPr>
        <w:t xml:space="preserve"> Příspěvky k růstu HDP po vyloučení dovozu</w:t>
      </w:r>
      <w:r>
        <w:rPr>
          <w:rFonts w:ascii="Arial" w:hAnsi="Arial" w:cs="Arial"/>
          <w:i/>
          <w:sz w:val="18"/>
        </w:rPr>
        <w:t>.</w:t>
      </w:r>
    </w:p>
  </w:footnote>
  <w:footnote w:id="4">
    <w:p w:rsidR="00AA150C" w:rsidRPr="00EA37C4" w:rsidRDefault="00AA150C" w:rsidP="00A62C63">
      <w:pPr>
        <w:pStyle w:val="Textpoznpodarou"/>
        <w:spacing w:after="60"/>
        <w:rPr>
          <w:rFonts w:ascii="Arial" w:hAnsi="Arial" w:cs="Arial"/>
          <w:i/>
          <w:sz w:val="18"/>
          <w:szCs w:val="18"/>
        </w:rPr>
      </w:pPr>
      <w:r w:rsidRPr="00EA37C4">
        <w:rPr>
          <w:rFonts w:ascii="Arial" w:hAnsi="Arial" w:cs="Arial"/>
          <w:i/>
          <w:sz w:val="18"/>
          <w:szCs w:val="18"/>
          <w:vertAlign w:val="superscript"/>
        </w:rPr>
        <w:footnoteRef/>
      </w:r>
      <w:r w:rsidRPr="00EA37C4">
        <w:rPr>
          <w:rFonts w:ascii="Arial" w:hAnsi="Arial" w:cs="Arial"/>
          <w:i/>
          <w:sz w:val="18"/>
          <w:szCs w:val="18"/>
          <w:vertAlign w:val="superscript"/>
        </w:rPr>
        <w:t xml:space="preserve"> </w:t>
      </w:r>
      <w:r w:rsidRPr="00EA37C4">
        <w:rPr>
          <w:rFonts w:ascii="Arial" w:hAnsi="Arial" w:cs="Arial"/>
          <w:i/>
          <w:sz w:val="18"/>
          <w:szCs w:val="18"/>
        </w:rPr>
        <w:t>V </w:t>
      </w:r>
      <w:r w:rsidRPr="00A62C63">
        <w:rPr>
          <w:rFonts w:ascii="Arial" w:hAnsi="Arial" w:cs="Arial"/>
          <w:i/>
          <w:sz w:val="18"/>
        </w:rPr>
        <w:t>dovozu</w:t>
      </w:r>
      <w:r w:rsidRPr="00EA37C4">
        <w:rPr>
          <w:rFonts w:ascii="Arial" w:hAnsi="Arial" w:cs="Arial"/>
          <w:i/>
          <w:sz w:val="18"/>
          <w:szCs w:val="18"/>
        </w:rPr>
        <w:t xml:space="preserve"> </w:t>
      </w:r>
      <w:r>
        <w:rPr>
          <w:rFonts w:ascii="Arial" w:hAnsi="Arial" w:cs="Arial"/>
          <w:i/>
          <w:sz w:val="18"/>
          <w:szCs w:val="18"/>
        </w:rPr>
        <w:t>zboží je ve 4. čtvrtletí 2015 zahrnut pronájem stíhaček Jas-</w:t>
      </w:r>
      <w:proofErr w:type="spellStart"/>
      <w:r>
        <w:rPr>
          <w:rFonts w:ascii="Arial" w:hAnsi="Arial" w:cs="Arial"/>
          <w:i/>
          <w:sz w:val="18"/>
          <w:szCs w:val="18"/>
        </w:rPr>
        <w:t>Gripen</w:t>
      </w:r>
      <w:proofErr w:type="spellEnd"/>
      <w:r>
        <w:rPr>
          <w:rFonts w:ascii="Arial" w:hAnsi="Arial" w:cs="Arial"/>
          <w:i/>
          <w:sz w:val="18"/>
          <w:szCs w:val="18"/>
        </w:rPr>
        <w:t>, ve výši 9,9 mld. Kč, více naleznete v </w:t>
      </w:r>
      <w:hyperlink r:id="rId1" w:history="1">
        <w:r w:rsidRPr="00EA37C4">
          <w:rPr>
            <w:rStyle w:val="Hypertextovodkaz"/>
            <w:rFonts w:ascii="Arial" w:hAnsi="Arial" w:cs="Arial"/>
            <w:i/>
            <w:sz w:val="18"/>
            <w:szCs w:val="18"/>
          </w:rPr>
          <w:t>ti</w:t>
        </w:r>
        <w:r>
          <w:rPr>
            <w:rStyle w:val="Hypertextovodkaz"/>
            <w:rFonts w:ascii="Arial" w:hAnsi="Arial" w:cs="Arial"/>
            <w:i/>
            <w:sz w:val="18"/>
            <w:szCs w:val="18"/>
          </w:rPr>
          <w:t>skové zprávě ze </w:t>
        </w:r>
        <w:r w:rsidRPr="00EA37C4">
          <w:rPr>
            <w:rStyle w:val="Hypertextovodkaz"/>
            <w:rFonts w:ascii="Arial" w:hAnsi="Arial" w:cs="Arial"/>
            <w:i/>
            <w:sz w:val="18"/>
            <w:szCs w:val="18"/>
          </w:rPr>
          <w:t>7. prosince 2015</w:t>
        </w:r>
      </w:hyperlink>
      <w:r>
        <w:rPr>
          <w:rFonts w:ascii="Arial" w:hAnsi="Arial" w:cs="Arial"/>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0C" w:rsidRDefault="002054BA">
    <w:pPr>
      <w:pStyle w:val="Zhlav"/>
    </w:pPr>
    <w:r>
      <w:rPr>
        <w:noProof/>
        <w:lang w:eastAsia="cs-CZ"/>
      </w:rPr>
      <w:pict>
        <v:group id="_x0000_s2070" style="position:absolute;left:0;text-align:left;margin-left:28.35pt;margin-top:42.55pt;width:498.35pt;height:82.35pt;z-index:251658752;mso-position-horizontal-relative:page;mso-position-vertical-relative:page" coordorigin="571,846" coordsize="9967,1647">
          <v:rect id="_x0000_s2071" style="position:absolute;left:1219;top:896;width:676;height:154" fillcolor="#0071bc" stroked="f"/>
          <v:rect id="_x0000_s2072" style="position:absolute;left:571;top:1126;width:1324;height:154" fillcolor="#0071bc" stroked="f"/>
          <v:rect id="_x0000_s2073" style="position:absolute;left:1292;top:1356;width:603;height:153" fillcolor="#0071bc" stroked="f"/>
          <v:shape id="_x0000_s2074" style="position:absolute;left:1973;top:1306;width:600;height:207"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lock v:ext="edit" verticies="t"/>
          </v:shape>
          <v:shape id="_x0000_s2075" style="position:absolute;left:1966;top:1076;width:1319;height:208"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lock v:ext="edit" verticies="t"/>
          </v:shape>
          <v:shape id="_x0000_s2076" style="position:absolute;left:1966;top:846;width:679;height:208"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5,-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lock v:ext="edit" verticies="t"/>
          </v:shape>
          <v:rect id="_x0000_s2077" style="position:absolute;left:1963;top:1925;width:8575;height:568" fillcolor="#0071bc" stroked="f"/>
          <v:shape id="_x0000_s2078" style="position:absolute;left:2195;top:2068;width:2705;height:254" coordsize="5410,508" path="m193,343r15,-5l221,334r9,-6l240,320r8,-7l255,304r5,-10l265,284r4,-11l273,262r1,-13l275,237r-1,-11l273,214r-3,-11l267,192r-5,-10l257,172r-7,-9l243,155r-9,-9l225,140r-9,-7l204,130r-11,-4l181,123r-15,-1l151,121,,121,,496r97,l97,351r92,145l310,496,193,343xm97,289r,-93l115,196r13,1l140,198r8,4l157,206r7,7l169,222r4,10l176,243r-3,10l169,263r-5,9l157,279r-9,4l140,287r-12,1l115,289r-18,xm424,317r,179l521,496r,-179l660,121r-117,l475,223,405,121r-117,l424,317xm936,132r-25,-9l888,117r-20,-2l847,113r-21,2l807,117r-20,5l770,128r-17,9l736,147r-16,11l706,171r-12,13l683,201r-10,16l664,234r-6,18l653,272r-3,20l649,312r1,18l653,348r4,17l662,381r7,17l677,412r9,15l699,441r15,14l730,467r18,11l766,488r20,8l807,501r20,4l848,506r19,-1l885,502r21,-6l936,487r,-114l926,381r-10,9l906,396r-10,5l885,406r-10,3l862,411r-11,l842,411r-10,-1l824,407r-9,-2l807,401r-8,-3l791,393r-7,-7l776,379r-7,-8l764,363r-5,-9l755,344r-2,-10l751,323r-1,-13l751,300r2,-11l755,279r2,-10l762,260r5,-8l772,244r7,-7l786,231r8,-7l802,219r9,-3l820,212r10,-3l840,208r11,l863,208r12,3l886,213r11,5l907,223r10,8l926,239r10,9l936,132xm1108,267r,-146l1010,121r,375l1108,496r,-155l1248,341r,155l1346,496r,-375l1248,121r,146l1108,267xm1521,121r-97,l1424,496r214,l1638,412r-117,l1521,121xm1930,430r24,66l2058,496,1917,121r-107,l1667,496r103,l1795,430r135,xm1904,356r-81,l1864,237r40,119xm1955,44l1907,r-79,69l1861,103r94,-59xm2339,121r-98,l2241,496r98,l2339,121xm2417,496r97,l2514,267r178,229l2790,496r,-375l2692,121r,229l2514,121r-97,l2417,496xm3082,203r,-82l2868,121r,375l2965,496r,-147l3072,349r,-82l2965,267r,-64l3082,203xm3329,110r-19,1l3290,113r-17,4l3254,122r-16,6l3222,137r-15,10l3192,157r-15,15l3163,188r-12,18l3141,224r-8,20l3127,264r-4,21l3122,305r1,23l3126,348r5,20l3138,386r8,19l3156,421r12,16l3181,451r15,13l3211,476r17,9l3246,493r19,7l3285,505r22,3l3328,508r20,l3368,506r18,-4l3404,497r16,-6l3436,482r16,-10l3466,462r16,-15l3496,430r12,-18l3518,394r8,-20l3532,353r4,-22l3536,309r,-19l3533,272r-5,-19l3522,236r-7,-18l3506,202r-11,-15l3482,173r-15,-15l3451,146r-19,-11l3415,126r-20,-8l3374,113r-21,-2l3329,110xm3329,204r11,l3350,207r11,2l3370,213r10,4l3389,222r7,6l3404,236r7,7l3417,251r5,8l3426,268r4,10l3432,288r3,11l3435,309r,11l3432,330r-2,10l3426,350r-4,10l3417,369r-6,7l3404,384r-8,7l3389,396r-9,6l3370,406r-9,4l3350,412r-10,2l3329,415r-10,-1l3308,412r-10,-2l3288,406r-9,-4l3270,396r-8,-6l3254,384r-6,-8l3242,368r-5,-9l3232,350r-4,-10l3226,330r-2,-11l3224,308r,-10l3226,288r2,-10l3232,268r5,-9l3242,251r6,-9l3255,236r8,-8l3270,222r9,-5l3289,213r9,-4l3308,207r11,-3l3329,204xm3791,343r15,-5l3819,334r10,-6l3839,320r7,-7l3853,304r5,-10l3863,284r4,-11l3871,262r1,-13l3873,237r-1,-11l3871,214r-3,-11l3865,192r-5,-10l3855,172r-6,-9l3841,155r-9,-9l3824,140r-10,-7l3802,130r-11,-4l3779,123r-15,-1l3749,121r-151,l3598,496r97,l3695,351r92,145l3908,496,3791,343xm3695,289r,-93l3713,196r13,1l3738,198r8,4l3755,206r8,7l3768,222r3,10l3773,243r-2,10l3768,263r-5,9l3755,279r-9,4l3738,287r-12,1l3713,289r-18,xm3942,496r96,l4070,280r86,216l4195,496r91,-216l4313,496r97,l4353,121r-96,l4176,322,4100,121r-96,l3942,496xm4708,430r24,66l4835,496,4694,121r-105,l4445,496r102,l4574,430r134,xm4681,356r-80,l4641,237r40,119xm5135,132r-24,-9l5088,117r-20,-2l5047,113r-20,2l5007,117r-20,5l4970,128r-18,9l4936,147r-15,11l4906,171r-12,13l4883,201r-10,16l4864,234r-6,18l4853,272r-3,20l4849,312r1,18l4853,348r3,17l4861,381r8,17l4878,412r10,15l4899,441r15,14l4930,467r17,11l4967,488r19,8l5007,501r20,4l5048,506r19,-1l5084,502r22,-6l5135,487r,-114l5126,381r-10,9l5106,396r-10,5l5084,406r-10,3l5063,411r-12,l5042,411r-10,-1l5023,407r-8,-2l5007,401r-9,-3l4991,393r-8,-7l4976,379r-7,-8l4964,363r-5,-9l4955,344r-3,-10l4951,323r,-13l4951,300r1,-11l4955,279r4,-10l4962,260r5,-8l4972,244r7,-7l4986,231r7,-7l5002,219r9,-3l5020,212r10,-3l5041,208r10,l5063,208r11,3l5087,213r10,5l5107,223r10,8l5127,239r8,9l5135,132xm5410,203r,-82l5197,121r,375l5410,496r,-84l5294,412r,-63l5403,349r,-82l5294,267r,-64l5410,203xe" stroked="f">
            <v:path arrowok="t"/>
            <o:lock v:ext="edit" verticies="t"/>
          </v:shape>
          <v:shape id="_x0000_s2079" style="position:absolute;left:6643;top:1372;width:3880;height:178" coordsize="7760,357" path="m174,86l159,76,144,70r-9,-2l128,67r-8,-2l112,65r-12,l89,68,78,70,68,74,58,79r-9,5l41,90r-9,8l24,105r-6,9l13,124r-5,9l5,144,2,154,,165r,11l,187r2,12l5,209r3,10l13,228r5,9l24,246r8,7l39,261r9,6l58,273r9,4l77,281r11,4l99,286r11,l119,286r8,-1l135,283r8,-2l152,278r7,-3l166,271r8,-5l174,236r-8,6l159,248r-7,5l144,257r-9,3l127,262r-8,1l110,263r-8,l93,262r-9,-2l77,257r-8,-4l62,248r-6,-5l49,238r-6,-6l38,225r-4,-6l31,210r-4,-8l26,194r-2,-9l23,176r1,-9l26,159r1,-9l31,143r3,-9l38,126r5,-6l49,114r7,-6l62,103r7,-5l77,94r7,-3l93,89r7,-1l109,88r10,l127,89r8,2l143,94r9,4l159,103r7,6l174,115r,-29xm155,13l138,,110,24,82,,66,13r44,39l155,13xm327,221r,-4l326,201r-3,-14l321,181r-4,-5l314,170r-4,-4l306,161r-5,-4l296,154r-6,-3l284,149r-7,-2l271,146r-7,l257,146r-7,1l244,150r-6,1l233,155r-7,2l221,161r-3,5l214,171r-4,5l206,182r-2,7l200,201r-1,16l200,225r,6l203,238r1,7l206,251r4,6l214,262r4,5l223,271r5,4l233,278r6,3l245,283r6,2l257,286r8,l275,286r9,-1l292,281r8,-4l307,272r7,-6l320,257r6,-9l307,237r-5,8l297,251r-5,5l289,260r-5,2l277,263r-5,2l266,266r-9,-1l249,262r-7,-4l236,253r-5,-6l228,238r-3,-8l224,221r103,xm225,201r1,-7l230,187r4,-6l239,176r5,-4l250,170r7,-3l264,167r7,l279,170r5,2l290,176r5,5l299,187r2,7l304,201r-79,xm432,170r-4,-5l424,160r-3,-4l416,152r-5,-2l406,147r-5,-1l394,146r-7,1l380,149r-7,3l367,157r-5,5l358,169r-1,7l356,184r,6l357,195r3,5l363,205r5,4l376,214r9,3l394,222r10,5l412,232r1,3l414,237r2,4l416,245r,3l414,253r-2,3l409,260r-2,2l403,263r-5,2l394,266r-4,-1l386,265r-4,-2l380,261r-7,-6l367,243r-20,9l351,260r4,7l360,273r6,4l372,281r6,4l386,286r7,l403,286r9,-3l419,280r7,-7l432,267r4,-7l438,252r1,-9l438,235r-2,-9l431,220r-7,-6l416,209r-17,-8l388,196r-6,-4l380,190r-2,-3l378,185r,-3l380,176r2,-5l387,169r6,-2l399,169r5,1l408,175r4,5l432,170xm493,49r-23,l470,282r23,l493,227r6,-5l551,282r32,l514,206r57,-56l540,150r-47,49l493,49xm644,270r-44,87l626,357,725,150r-27,l656,245,609,150r-26,l644,270xm693,83l670,72r-34,47l650,126,693,83xm899,170r-4,-5l892,160r-4,-4l884,152r-5,-2l874,147r-6,-1l863,146r-9,1l847,149r-6,3l834,157r-3,5l827,169r-3,7l823,184r1,6l826,195r2,5l832,205r5,4l843,214r9,3l862,222r11,5l879,232r3,3l883,237r,4l884,245r-1,3l882,253r-2,3l878,260r-4,2l870,263r-3,2l862,266r-4,-1l853,265r-4,-2l847,261r-6,-6l836,243r-22,9l818,260r5,7l828,273r5,4l839,281r6,4l853,286r9,l870,286r9,-3l888,280r6,-7l899,267r5,-7l907,252r,-9l907,235r-4,-9l899,220r-7,-6l883,209r-16,-8l857,196r-8,-4l848,190r-1,-3l845,185r,-3l847,176r3,-5l855,169r7,-2l867,169r5,1l877,175r3,5l899,170xm963,170r23,l986,150r-23,l963,101r-24,l939,150r-14,l925,170r14,l939,282r24,l963,170xm1108,150r,19l1103,162r-5,-3l1092,155r-5,-4l1081,149r-6,-2l1069,146r-8,l1055,146r-6,1l1042,149r-6,2l1031,154r-6,3l1020,161r-4,5l1012,171r-3,5l1005,181r-3,6l999,201r-2,14l999,223r,7l1001,237r1,6l1005,250r4,6l1012,261r4,5l1021,271r4,4l1031,278r5,3l1042,283r7,2l1055,286r7,l1069,286r7,-1l1081,283r6,-2l1092,277r6,-4l1103,270r5,-7l1108,282r23,l1131,150r-23,xm1065,167r10,l1083,170r8,5l1097,180r5,7l1106,196r2,9l1110,216r-2,10l1106,236r-4,9l1097,251r-6,6l1083,262r-8,3l1065,266r-9,-1l1047,262r-7,-5l1034,251r-5,-8l1025,235r-3,-9l1021,215r1,-10l1025,196r4,-9l1034,181r6,-6l1047,171r9,-4l1065,167xm1197,170r24,l1221,150r-24,l1197,101r-23,l1174,150r-13,l1161,170r13,l1174,282r23,l1197,170xm1264,150r-22,l1242,282r22,l1264,150xm1253,83r-6,1l1242,88r-4,5l1237,99r1,4l1238,105r2,3l1242,110r2,3l1247,114r3,1l1253,115r4,l1260,114r3,-1l1265,110r4,-5l1270,99r-1,-6l1265,88r-5,-4l1253,83xm1379,170r-3,-5l1372,160r-3,-4l1364,152r-5,-2l1354,147r-5,-1l1343,146r-8,1l1328,149r-8,3l1315,157r-5,5l1306,169r-2,7l1304,184r,6l1305,195r3,5l1311,205r5,4l1323,214r8,3l1343,222r10,5l1359,232r2,3l1363,237r1,4l1364,245r,3l1363,253r-3,3l1358,260r-4,2l1350,263r-4,2l1341,266r-3,-1l1334,265r-4,-2l1326,261r-5,-6l1315,243r-20,9l1299,260r4,7l1308,273r6,4l1319,281r7,4l1334,286r7,l1351,286r9,-3l1368,280r6,-7l1380,267r4,-7l1386,252r1,-9l1386,235r-2,-9l1379,220r-7,-6l1364,209r-16,-8l1336,196r-6,-4l1328,190r-2,-3l1326,185r-1,-3l1326,176r4,-5l1335,169r6,-2l1348,169r5,1l1356,175r4,5l1379,170xm1442,170r24,l1466,150r-24,l1442,101r-22,l1420,150r-14,l1406,170r14,l1420,282r22,l1442,170xm1510,150r-23,l1487,282r23,l1510,150xm1500,83r-8,1l1487,88r-4,5l1482,99r1,4l1483,105r3,3l1487,110r3,3l1492,114r4,1l1500,115r6,-1l1511,110r4,-5l1516,99r-1,-6l1511,88r-5,-4l1500,83xm1654,159r-10,-5l1634,150r-10,-3l1613,146r-8,l1598,147r-6,3l1586,152r-7,3l1573,159r-5,3l1563,166r-5,5l1554,177r-3,5l1548,189r-2,6l1543,202r,8l1542,217r1,6l1543,231r3,6l1548,243r3,7l1554,256r4,5l1563,266r5,5l1573,275r6,3l1586,281r6,2l1598,285r7,1l1613,286r11,l1634,283r10,-5l1655,272r,-30l1644,253r-10,8l1629,262r-5,3l1618,265r-6,1l1603,265r-9,-3l1586,257r-7,-6l1573,245r-4,-9l1567,226r-1,-10l1567,206r2,-9l1573,189r6,-8l1586,175r8,-4l1603,169r10,-2l1618,167r6,2l1629,170r5,2l1644,179r10,10l1654,159xm1711,49r-23,l1688,282r23,l1711,227r5,-5l1770,282r30,l1733,206r57,-56l1759,150r-48,49l1711,49xm1862,270r-43,87l1845,357r98,-207l1917,150r-44,95l1827,150r-27,l1862,270xm1912,83l1888,72r-33,47l1868,126r44,-43xm2066,150r-22,l2044,230r,12l2047,253r3,9l2055,270r9,7l2074,282r10,3l2096,286r13,-1l2119,282r5,-2l2129,277r3,-4l2137,270r5,-8l2146,253r3,-11l2149,230r,-80l2126,150r,77l2126,235r-1,7l2124,247r-1,5l2118,257r-7,5l2105,265r-9,1l2088,265r-7,-3l2075,257r-5,-5l2069,247r-1,-5l2066,235r,-8l2066,150xm2137,83l2114,72r-35,47l2094,126r43,-43xm2190,150r,132l2212,282r,-70l2212,201r1,-9l2215,186r2,-6l2221,175r5,-4l2232,169r6,-2l2245,169r7,3l2262,152r-5,-3l2252,147r-5,-1l2242,146r-7,1l2227,150r-7,5l2212,164r,-14l2190,150xm2265,85l2250,72r-29,27l2192,72r-16,13l2221,126r44,-41xm2379,150r,19l2374,162r-5,-3l2363,155r-5,-4l2352,149r-6,-2l2339,146r-7,l2326,146r-7,1l2313,149r-6,2l2302,154r-6,3l2292,161r-5,5l2283,171r-4,5l2276,181r-3,6l2271,201r-1,14l2270,223r1,7l2272,237r1,6l2276,250r3,6l2283,261r4,5l2292,271r5,4l2302,278r5,3l2313,283r6,2l2326,286r7,l2341,286r6,-1l2353,283r5,-2l2364,277r5,-4l2374,270r5,-7l2379,282r23,l2402,150r-23,xm2337,167r9,l2354,170r8,5l2368,180r5,7l2377,196r2,9l2380,216r-1,10l2377,236r-4,9l2368,251r-6,6l2354,262r-8,3l2336,266r-9,-1l2318,262r-7,-5l2304,251r-5,-8l2296,235r-3,-9l2292,215r1,-10l2296,196r3,-9l2304,181r8,-6l2319,171r8,-4l2337,167xm2544,49r,120l2539,162r-5,-3l2527,155r-5,-4l2516,150r-6,-3l2504,146r-8,l2490,146r-6,1l2478,150r-7,1l2466,155r-6,2l2456,161r-5,5l2448,171r-4,5l2440,182r-2,5l2435,201r-1,15l2434,223r1,8l2436,237r2,6l2441,250r3,6l2448,261r3,5l2456,271r5,4l2466,278r5,3l2478,283r6,2l2491,286r7,l2505,286r6,-1l2517,283r7,-2l2529,277r5,-4l2539,270r5,-5l2544,282r22,l2566,49r-22,xm2501,167r8,2l2517,170r8,5l2531,180r6,6l2541,195r3,10l2545,216r-1,10l2541,236r-4,9l2532,252r-6,5l2519,262r-9,3l2500,266r-9,-1l2483,262r-8,-5l2469,251r-5,-8l2460,235r-2,-9l2456,215r2,-10l2460,196r4,-7l2469,181r7,-6l2484,171r7,-2l2501,167r,xm2734,336r25,l2759,69r-25,l2734,336xm2932,282r24,l2956,118r167,174l3123,69r-24,l3099,235,2932,59r,223xm3271,150r,19l3266,162r-5,-3l3256,155r-6,-4l3245,149r-6,-2l3231,146r-6,l3218,146r-7,1l3205,149r-6,2l3194,154r-5,3l3184,161r-5,5l3175,171r-3,5l3169,181r-2,6l3163,201r-1,14l3162,223r1,7l3164,237r3,6l3169,250r3,6l3175,261r4,5l3184,271r5,4l3194,278r6,3l3205,283r8,2l3219,286r6,l3233,286r6,-1l3245,283r6,-2l3256,277r5,-4l3266,270r5,-7l3271,282r23,l3294,150r-23,xm3229,167r9,l3246,170r8,5l3260,180r6,7l3270,196r2,9l3272,216r,10l3270,236r-4,9l3260,251r-6,6l3246,262r-8,3l3229,266r-10,-1l3211,262r-7,-5l3196,251r-5,-8l3188,235r-3,-9l3185,215r,-10l3188,196r3,-9l3198,181r6,-6l3211,171r9,-4l3229,167r,xm3438,357r,-94l3443,270r5,3l3453,278r6,3l3464,283r7,2l3477,286r7,l3490,286r8,-1l3504,283r5,-2l3515,278r5,-3l3525,271r4,-4l3537,256r6,-11l3547,231r1,-14l3548,209r-1,-7l3545,195r-2,-6l3540,182r-3,-6l3534,171r-5,-5l3525,161r-5,-4l3515,154r-6,-3l3503,149r-6,-2l3490,146r-7,l3477,146r-6,1l3464,149r-6,2l3453,155r-5,4l3443,162r-5,7l3438,150r-24,l3414,357r24,xm3481,167r8,l3498,171r7,4l3512,181r5,8l3522,197r1,10l3524,217r-1,10l3520,236r-3,9l3512,252r-7,5l3498,262r-9,3l3481,266r-9,-1l3463,262r-7,-5l3448,252r-5,-7l3439,236r-2,-9l3436,217r1,-11l3439,196r4,-7l3448,181r8,-6l3463,171r9,-4l3481,167xm3680,150r,19l3675,162r-5,-3l3665,155r-5,-4l3654,149r-7,-2l3641,146r-7,l3628,146r-8,1l3614,149r-5,2l3603,154r-5,3l3593,161r-4,5l3584,171r-3,5l3578,181r-3,6l3571,201r-1,14l3570,223r1,7l3573,237r2,6l3578,250r3,6l3584,261r5,5l3593,271r5,4l3603,278r6,3l3615,283r6,2l3628,286r7,l3641,286r6,-1l3654,283r6,-2l3665,277r5,-4l3676,270r4,-7l3680,282r24,l3704,150r-24,xm3637,167r10,l3656,170r8,5l3670,180r5,7l3679,196r2,9l3682,216r-1,10l3679,236r-4,9l3670,251r-8,6l3655,262r-8,3l3637,266r-8,-1l3620,262r-7,-5l3606,251r-5,-8l3598,235r-3,-9l3594,215r1,-10l3598,196r3,-9l3606,181r7,-6l3620,171r9,-4l3637,167r,xm3844,49r,120l3839,162r-5,-3l3829,155r-6,-4l3818,150r-6,-3l3806,146r-8,l3792,146r-6,1l3780,150r-7,1l3767,155r-5,2l3757,161r-4,5l3748,171r-2,5l3742,182r-2,5l3736,201r-1,15l3735,223r1,8l3737,237r3,6l3742,250r4,6l3750,261r3,5l3757,271r5,4l3768,278r5,3l3780,283r6,2l3792,286r7,l3806,286r6,-1l3819,283r5,-2l3831,277r5,-4l3841,270r3,-5l3844,282r24,l3868,49r-24,xm3802,167r9,2l3818,170r8,5l3833,180r5,6l3843,195r3,10l3846,216r,10l3843,236r-4,9l3834,252r-6,5l3819,262r-7,3l3802,266r-9,-1l3785,262r-8,-5l3771,251r-5,-8l3762,235r-2,-9l3758,215r2,-10l3762,196r4,-7l3771,181r6,-6l3785,171r8,-2l3802,167r,xm4027,221r,-4l4026,201r-4,-14l4020,181r-3,-5l4014,170r-4,-4l4005,161r-5,-4l3995,154r-5,-3l3984,149r-6,-2l3970,146r-6,l3956,146r-6,1l3943,150r-5,1l3932,155r-5,2l3922,161r-5,5l3913,171r-4,5l3907,182r-3,7l3900,201r-1,16l3899,225r1,6l3902,238r2,7l3907,251r2,6l3913,262r5,5l3922,271r5,4l3932,278r6,3l3944,283r6,2l3958,286r6,l3974,286r9,-1l3991,281r9,-4l4006,272r8,-6l4020,257r6,-9l4006,237r-5,8l3998,251r-5,5l3988,260r-5,2l3978,263r-7,2l3965,266r-9,-1l3949,262r-8,-4l3935,253r-5,-6l3927,238r-3,-8l3923,221r104,xm3924,201r3,-7l3929,187r4,-6l3938,176r6,-4l3950,170r6,-3l3964,167r7,l3978,170r6,2l3989,176r5,5l3998,187r3,7l4003,201r-79,xm4131,170r-4,-5l4123,160r-3,-4l4116,152r-5,-2l4106,147r-6,-1l4095,146r-9,1l4079,149r-7,3l4066,157r-4,5l4059,169r-3,7l4055,184r1,6l4057,195r3,5l4064,205r5,4l4075,214r9,3l4093,222r12,5l4111,232r2,3l4115,237r,4l4116,245r-1,3l4113,253r-1,3l4110,260r-4,2l4102,263r-4,2l4093,266r-4,-1l4085,265r-4,-2l4079,261r-7,-6l4067,243r-21,9l4050,260r5,7l4060,273r5,4l4071,281r6,4l4085,286r8,l4102,286r9,-3l4120,280r6,-7l4131,267r5,-7l4138,252r,-9l4138,235r-3,-9l4131,220r-8,-6l4115,209r-17,-8l4089,196r-8,-4l4080,190r-1,-3l4077,185r,-3l4079,176r3,-5l4087,169r6,-2l4098,169r5,1l4108,175r4,5l4131,170xm4272,150r,19l4267,162r-7,-3l4255,155r-5,-4l4244,149r-6,-2l4232,146r-8,l4218,146r-6,1l4206,149r-7,2l4193,154r-5,3l4183,161r-4,5l4176,171r-4,5l4168,181r-2,6l4162,201r-1,14l4162,223r,7l4165,237r1,6l4168,250r4,6l4176,261r3,5l4183,271r5,4l4194,278r5,3l4206,283r6,2l4218,286r8,l4232,286r7,-1l4244,283r6,-2l4255,277r7,-4l4267,270r5,-7l4272,282r22,l4294,150r-22,xm4228,167r10,l4247,170r7,5l4260,180r5,7l4269,196r3,9l4273,216r-1,10l4269,236r-4,9l4260,251r-6,6l4247,262r-9,3l4228,266r-9,-1l4211,262r-8,-5l4197,251r-5,-8l4188,235r-2,-9l4184,215r2,-10l4188,196r4,-9l4197,181r6,-6l4211,171r8,-4l4228,167xm4273,83l4249,72r-33,47l4231,126r42,-43xm4359,170r24,l4383,150r-24,l4359,101r-23,l4336,150r-13,l4323,170r13,l4336,282r23,l4359,170xm4523,221r,-4l4522,201r-4,-14l4516,181r-3,-5l4510,170r-4,-4l4501,161r-4,-4l4491,154r-5,-3l4480,149r-7,-2l4467,146r-7,l4452,146r-6,1l4440,150r-6,1l4427,155r-5,2l4417,161r-3,5l4409,171r-4,5l4402,182r-2,7l4396,201r-1,16l4395,225r1,6l4397,238r3,7l4402,251r4,6l4410,262r4,5l4417,271r5,4l4429,278r5,3l4440,283r7,2l4454,286r7,l4470,286r10,-1l4488,281r8,-4l4503,272r7,-6l4516,257r6,-9l4502,237r-4,8l4493,251r-5,5l4483,260r-5,2l4473,263r-6,2l4461,266r-9,-1l4445,262r-8,-4l4432,253r-5,-6l4422,238r-2,-8l4419,221r104,xm4421,201r1,-7l4426,187r4,-6l4435,176r5,-4l4446,170r6,-3l4460,167r7,l4473,170r7,2l4485,176r5,5l4493,187r4,7l4500,201r-79,xm4503,83l4480,72r-35,47l4460,126r43,-43xm4554,150r,132l4578,282r,-72l4578,201r1,-7l4581,187r1,-6l4587,175r5,-4l4599,167r8,l4612,167r5,2l4622,172r3,4l4628,181r1,6l4630,195r2,9l4632,282r22,l4654,209r,-10l4655,190r3,-6l4660,177r5,-5l4670,170r5,-3l4683,167r5,l4693,169r5,2l4700,175r4,5l4705,186r1,8l4706,201r,81l4729,282r,-83l4729,187r-1,-8l4725,171r-4,-7l4719,160r-4,-4l4711,154r-5,-3l4703,149r-7,-2l4692,146r-5,l4679,146r-5,1l4668,149r-5,2l4658,155r-4,4l4650,162r-3,5l4644,162r-4,-3l4637,155r-5,-4l4627,149r-5,-2l4617,146r-6,l4601,147r-9,3l4584,156r-6,8l4578,150r-24,xm4887,171r-7,5l4873,181r-6,5l4863,192r-3,7l4857,206r-1,9l4855,223r1,7l4856,236r2,6l4860,248r6,10l4873,268r10,8l4895,281r12,4l4921,286r13,-1l4946,281r11,-5l4967,268r7,-10l4979,248r3,-6l4983,236r1,-6l4984,222r,-7l4983,206r-2,-7l4977,192r-5,-6l4967,180r-6,-5l4953,171r6,-4l4964,162r5,-5l4973,151r4,-6l4978,139r3,-8l4981,124r-2,-13l4976,101r-5,-11l4963,83r-9,-8l4944,70r-11,-3l4921,65r-13,2l4897,70r-10,5l4878,83r-7,7l4865,101r-3,10l4861,124r,7l4862,139r3,6l4867,151r4,6l4876,162r5,5l4887,171xm4921,88r7,l4934,90r8,4l4947,98r5,6l4954,110r3,6l4958,124r-1,7l4954,139r-2,6l4947,151r-5,4l4934,159r-6,2l4921,161r-8,l4906,159r-6,-4l4895,150r-5,-5l4886,139r-1,-8l4883,124r2,-8l4886,110r4,-6l4895,98r5,-4l4906,90r7,-2l4921,88xm4920,181r8,1l4936,185r7,4l4949,194r5,6l4958,207r3,8l4962,222r-1,9l4958,238r-4,8l4949,252r-6,5l4936,261r-8,2l4920,263r-8,l4903,261r-6,-4l4891,252r-5,-6l4882,238r-2,-7l4878,222r2,-8l4882,206r4,-6l4891,194r6,-5l4903,185r9,-3l4920,181r,xm5090,90r,192l5114,282r,-213l5067,69r-13,21l5090,90xm5333,336r24,l5357,69r-24,l5333,336xm5587,90r,192l5612,282r,-213l5565,69r-13,21l5587,90xm5770,65r-7,2l5755,68r-7,2l5741,74r-7,5l5728,84r-6,6l5717,98r-5,7l5707,113r-4,10l5701,131r-3,10l5696,152r-2,12l5694,175r,11l5696,196r1,11l5699,217r3,9l5706,235r3,8l5714,252r7,8l5727,266r6,6l5741,277r7,4l5755,283r8,3l5770,286r9,l5787,283r7,-2l5802,277r6,-5l5815,267r5,-6l5827,253r4,-8l5835,236r4,-9l5841,217r3,-10l5846,197r,-11l5848,175r-2,-11l5846,152r-2,-11l5841,131r-2,-8l5835,113r-5,-8l5825,96r-5,-6l5814,84r-6,-6l5802,74r-8,-4l5787,68r-8,-1l5770,65r,xm5770,88r7,l5782,89r5,2l5792,94r5,4l5800,101r5,5l5809,113r6,12l5820,140r3,17l5824,176r-1,18l5820,210r-5,15l5809,238r-4,5l5800,248r-3,5l5792,257r-5,3l5782,262r-5,1l5770,263r-5,l5760,262r-6,-2l5749,257r-3,-4l5741,250r-4,-5l5733,238r-6,-12l5722,211r-3,-17l5718,175r1,-18l5722,140r5,-15l5733,113r4,-7l5741,101r5,-3l5749,94r5,-3l5759,89r6,-1l5770,88r,xm5949,65r-9,2l5932,68r-7,2l5919,74r-8,5l5905,84r-6,6l5894,98r-5,7l5885,113r-4,10l5878,131r-3,10l5874,152r-1,12l5871,175r2,11l5873,196r2,11l5876,217r4,9l5883,235r5,8l5891,252r7,8l5904,266r6,6l5917,277r8,4l5932,283r8,3l5949,286r7,l5964,283r7,-2l5978,277r8,-5l5992,267r6,-6l6003,253r5,-8l6012,236r4,-9l6020,217r2,-10l6023,197r2,-11l6025,175r,-11l6023,152r-2,-11l6018,131r-2,-8l6012,113r-5,-8l6002,96r-5,-6l5992,84r-7,-6l5978,74r-7,-4l5964,68r-8,-1l5949,65r,xm5947,88r7,l5959,89r5,2l5969,94r5,4l5978,101r4,5l5986,113r6,12l5997,140r3,17l6001,176r-1,18l5997,210r-5,15l5986,238r-4,5l5978,248r-4,5l5969,257r-5,3l5959,262r-5,1l5949,263r-7,l5937,262r-5,-2l5927,257r-5,-4l5917,250r-3,-5l5910,238r-6,-12l5899,211r-3,-17l5895,175r1,-18l5899,140r5,-15l5910,113r4,-7l5919,101r3,-3l5927,94r5,-3l5937,89r5,-1l5947,88xm6174,171r-7,5l6160,181r-6,5l6150,192r-3,7l6144,206r-1,9l6142,223r1,7l6143,236r2,6l6147,248r6,10l6160,268r10,8l6182,281r12,4l6208,286r13,-1l6233,281r11,-5l6254,268r7,-10l6266,248r3,-6l6270,236r1,-6l6271,222r,-7l6270,206r-2,-7l6264,192r-5,-6l6254,180r-6,-5l6240,171r6,-4l6251,162r5,-5l6260,151r4,-6l6265,139r3,-8l6268,124r-2,-13l6263,101r-5,-11l6250,83r-9,-8l6231,70r-11,-3l6208,65r-13,2l6184,70r-10,5l6165,83r-7,7l6152,101r-3,10l6148,124r,7l6149,139r3,6l6154,151r4,6l6163,162r5,5l6174,171xm6208,88r7,l6223,90r6,4l6234,98r5,6l6241,110r3,6l6245,124r-1,7l6241,139r-2,6l6234,151r-5,4l6223,159r-8,2l6208,161r-8,l6193,159r-6,-4l6182,150r-5,-5l6173,139r-1,-8l6170,124r2,-8l6173,110r4,-6l6182,98r5,-4l6193,90r7,-2l6208,88xm6206,181r9,1l6223,185r7,4l6236,194r5,6l6245,207r3,8l6249,222r-1,9l6245,238r-4,8l6236,252r-6,5l6223,261r-8,2l6206,263r-7,l6190,261r-6,-4l6178,252r-5,-6l6169,238r-2,-7l6165,222r2,-8l6169,206r4,-6l6178,194r6,-5l6190,185r9,-3l6206,181xm6357,261r44,-51l6413,195r10,-13l6432,171r5,-9l6442,154r2,-9l6446,138r1,-9l6446,123r,-7l6443,110r-2,-6l6436,93r-9,-9l6417,76r-11,-6l6400,68r-7,-1l6387,65r-7,l6371,65r-8,3l6355,70r-8,3l6341,78r-6,5l6329,88r-4,6l6320,101r-3,9l6315,119r-1,12l6337,131r2,-8l6340,116r2,-6l6345,105r2,-4l6351,98r4,-3l6360,93r5,-3l6370,89r5,-1l6380,88r8,l6397,90r8,4l6411,99r5,6l6420,113r2,7l6423,128r,6l6421,140r-3,7l6416,154r-13,17l6386,192r-77,90l6446,282r,-21l6357,261xm6681,189r21,l6717,187r14,-2l6736,182r6,-2l6747,176r5,-4l6756,169r4,-5l6762,159r3,-5l6767,147r1,-6l6770,135r,-6l6770,121r-2,-6l6767,109r-2,-5l6762,98r-4,-5l6755,88r-5,-4l6745,80r-5,-4l6735,74r-6,-2l6714,69r-18,l6657,69r,213l6681,282r,-93xm6681,167r,-77l6699,90r12,1l6720,93r9,3l6735,100r5,6l6743,113r3,7l6746,129r,9l6743,145r-3,6l6735,157r-6,4l6720,165r-9,1l6701,167r-20,xm6795,150r,132l6817,282r,-70l6818,201r,-9l6821,186r1,-6l6826,175r5,-4l6837,169r6,-2l6849,169r8,3l6868,152r-6,-3l6857,147r-4,-1l6847,146r-8,1l6832,150r-6,5l6817,164r,-14l6795,150xm6983,150r,19l6978,162r-5,-3l6968,155r-7,-4l6957,149r-7,-2l6943,146r-6,l6929,146r-6,1l6917,149r-7,2l6905,154r-5,3l6895,161r-5,5l6887,171r-4,5l6881,181r-3,6l6874,201r-1,14l6873,223r1,7l6876,237r2,6l6881,250r2,6l6887,261r3,5l6895,271r5,4l6905,278r7,3l6917,283r6,2l6930,286r7,l6944,286r6,-1l6957,283r4,-2l6968,277r5,-4l6978,270r5,-7l6983,282r22,l7005,150r-22,xm6940,167r9,l6958,170r7,5l6971,180r7,7l6981,196r3,9l6984,216r,10l6981,236r-3,9l6971,251r-6,6l6958,262r-9,3l6940,266r-10,-1l6922,262r-7,-5l6908,251r-5,-8l6899,235r-2,-9l6897,215r,-10l6899,196r4,-9l6909,181r6,-6l6923,171r9,-4l6940,167xm7046,49r,233l7069,282r,-66l7069,205r1,-9l7072,189r3,-5l7079,176r6,-5l7094,169r8,-2l7110,167r5,2l7120,171r3,4l7127,180r1,6l7130,194r,7l7130,282r23,l7153,200r-1,-11l7151,179r-3,-8l7145,165r-3,-4l7138,157r-3,-3l7130,151r-5,-2l7118,147r-5,-1l7107,146r-11,1l7086,151r-9,5l7069,165r,-116l7046,49xm7295,150r,19l7290,162r-5,-3l7279,155r-5,-4l7268,149r-6,-2l7256,146r-8,l7242,146r-6,1l7229,149r-6,2l7218,154r-6,3l7207,161r-4,5l7199,171r-3,5l7192,181r-3,6l7186,201r-1,14l7186,223r,7l7188,237r1,6l7192,250r4,6l7199,261r4,5l7207,271r5,4l7218,278r5,3l7229,283r7,2l7242,286r7,l7256,286r7,-1l7268,283r6,-2l7279,277r6,-4l7290,270r5,-7l7295,282r23,l7318,150r-23,xm7252,167r10,l7270,170r8,5l7284,180r5,7l7293,196r2,9l7297,216r-2,10l7293,236r-4,9l7284,251r-6,6l7270,262r-8,3l7252,266r-9,-1l7234,262r-7,-5l7221,251r-5,-8l7212,235r-3,-9l7208,215r1,-10l7212,196r4,-9l7221,181r6,-6l7234,171r9,-4l7252,167r,xm7501,90r,192l7525,282r,-213l7479,69r-13,21l7501,90xm7684,65r-7,2l7668,68r-6,2l7654,74r-7,5l7640,84r-4,6l7629,98r-5,7l7621,113r-4,10l7613,131r-2,10l7609,152r-1,12l7607,175r1,11l7609,196r2,11l7613,217r3,9l7619,235r4,8l7628,252r5,8l7639,266r6,6l7653,277r7,4l7668,283r9,3l7684,286r8,l7699,283r8,-2l7714,277r7,-5l7728,267r6,-6l7739,253r5,-8l7749,236r2,-9l7755,217r3,-10l7759,197r1,-11l7760,175r,-11l7759,152r-1,-11l7755,131r-4,-8l7748,113r-4,-8l7739,96r-6,-6l7728,84r-7,-6l7714,74r-6,-4l7700,68r-8,-1l7684,65xm7684,88r5,l7695,89r5,2l7705,94r4,4l7714,101r4,5l7721,113r7,12l7733,140r3,17l7736,176r,18l7733,210r-5,15l7721,238r-3,5l7714,248r-5,5l7705,257r-5,3l7695,262r-6,1l7684,263r-6,l7673,262r-5,-2l7663,257r-5,-4l7654,250r-5,-5l7645,238r-6,-12l7634,211r-2,-17l7631,175r1,-18l7636,140r3,-15l7645,113r4,-7l7654,101r4,-3l7663,94r5,-3l7673,89r5,-1l7684,88xe" fillcolor="#0071bc" stroked="f">
            <v:path arrowok="t"/>
            <o:lock v:ext="edit" verticies="t"/>
          </v:shape>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trackRevisions/>
  <w:doNotTrackMoves/>
  <w:defaultTabStop w:val="720"/>
  <w:hyphenationZone w:val="425"/>
  <w:characterSpacingControl w:val="doNotCompress"/>
  <w:hdrShapeDefaults>
    <o:shapedefaults v:ext="edit" spidmax="2081">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D5D"/>
    <w:rsid w:val="00000F72"/>
    <w:rsid w:val="0000380C"/>
    <w:rsid w:val="00003854"/>
    <w:rsid w:val="00021739"/>
    <w:rsid w:val="00032A08"/>
    <w:rsid w:val="00035FBC"/>
    <w:rsid w:val="00041A65"/>
    <w:rsid w:val="00042746"/>
    <w:rsid w:val="00043BF4"/>
    <w:rsid w:val="00051B69"/>
    <w:rsid w:val="000570D9"/>
    <w:rsid w:val="00076BF6"/>
    <w:rsid w:val="000776D9"/>
    <w:rsid w:val="00077942"/>
    <w:rsid w:val="00082070"/>
    <w:rsid w:val="000843A5"/>
    <w:rsid w:val="00086D19"/>
    <w:rsid w:val="000910DA"/>
    <w:rsid w:val="00096D6C"/>
    <w:rsid w:val="000A044B"/>
    <w:rsid w:val="000B1377"/>
    <w:rsid w:val="000B5149"/>
    <w:rsid w:val="000B5B06"/>
    <w:rsid w:val="000B6F63"/>
    <w:rsid w:val="000C2D34"/>
    <w:rsid w:val="000C7AD0"/>
    <w:rsid w:val="000D093F"/>
    <w:rsid w:val="000D0C0A"/>
    <w:rsid w:val="000D3834"/>
    <w:rsid w:val="000D5993"/>
    <w:rsid w:val="000D7B80"/>
    <w:rsid w:val="000E416D"/>
    <w:rsid w:val="000E43CC"/>
    <w:rsid w:val="000F5205"/>
    <w:rsid w:val="00101F6A"/>
    <w:rsid w:val="001144B1"/>
    <w:rsid w:val="001147B7"/>
    <w:rsid w:val="001150BB"/>
    <w:rsid w:val="001156D8"/>
    <w:rsid w:val="00125D5C"/>
    <w:rsid w:val="001404AB"/>
    <w:rsid w:val="00152D00"/>
    <w:rsid w:val="00155705"/>
    <w:rsid w:val="00157EBD"/>
    <w:rsid w:val="0017231D"/>
    <w:rsid w:val="001801DB"/>
    <w:rsid w:val="001810DC"/>
    <w:rsid w:val="0018725C"/>
    <w:rsid w:val="001900EE"/>
    <w:rsid w:val="0019151D"/>
    <w:rsid w:val="00192A6E"/>
    <w:rsid w:val="00196C86"/>
    <w:rsid w:val="00197652"/>
    <w:rsid w:val="001A4F7D"/>
    <w:rsid w:val="001B5892"/>
    <w:rsid w:val="001B607F"/>
    <w:rsid w:val="001C5A6B"/>
    <w:rsid w:val="001D04FD"/>
    <w:rsid w:val="001D369A"/>
    <w:rsid w:val="001D39B2"/>
    <w:rsid w:val="001E0AE1"/>
    <w:rsid w:val="001E6CA7"/>
    <w:rsid w:val="001F08B3"/>
    <w:rsid w:val="001F2FE0"/>
    <w:rsid w:val="001F6ACF"/>
    <w:rsid w:val="00200854"/>
    <w:rsid w:val="002054BA"/>
    <w:rsid w:val="002070FB"/>
    <w:rsid w:val="00207BF7"/>
    <w:rsid w:val="002136BC"/>
    <w:rsid w:val="00213729"/>
    <w:rsid w:val="00224044"/>
    <w:rsid w:val="00232221"/>
    <w:rsid w:val="0023410D"/>
    <w:rsid w:val="002403F7"/>
    <w:rsid w:val="002406FA"/>
    <w:rsid w:val="00241331"/>
    <w:rsid w:val="002428F1"/>
    <w:rsid w:val="00260174"/>
    <w:rsid w:val="0026107B"/>
    <w:rsid w:val="00271FB0"/>
    <w:rsid w:val="002733BF"/>
    <w:rsid w:val="00297D4D"/>
    <w:rsid w:val="002B1ECB"/>
    <w:rsid w:val="002B2E47"/>
    <w:rsid w:val="002B3869"/>
    <w:rsid w:val="002C50DE"/>
    <w:rsid w:val="002C5CD1"/>
    <w:rsid w:val="002D3227"/>
    <w:rsid w:val="002E0E18"/>
    <w:rsid w:val="002E3C33"/>
    <w:rsid w:val="002E51CF"/>
    <w:rsid w:val="003007E9"/>
    <w:rsid w:val="00323D2F"/>
    <w:rsid w:val="00327E49"/>
    <w:rsid w:val="003301A3"/>
    <w:rsid w:val="00330B9B"/>
    <w:rsid w:val="00335D75"/>
    <w:rsid w:val="00340782"/>
    <w:rsid w:val="0034310F"/>
    <w:rsid w:val="00353901"/>
    <w:rsid w:val="00355504"/>
    <w:rsid w:val="00360DF7"/>
    <w:rsid w:val="00360EAD"/>
    <w:rsid w:val="0036777B"/>
    <w:rsid w:val="00367D99"/>
    <w:rsid w:val="00370FF4"/>
    <w:rsid w:val="00374FC6"/>
    <w:rsid w:val="0038282A"/>
    <w:rsid w:val="00397580"/>
    <w:rsid w:val="003A299A"/>
    <w:rsid w:val="003A45C8"/>
    <w:rsid w:val="003A57A0"/>
    <w:rsid w:val="003B2962"/>
    <w:rsid w:val="003B6B32"/>
    <w:rsid w:val="003C2DCF"/>
    <w:rsid w:val="003C7FE7"/>
    <w:rsid w:val="003D0499"/>
    <w:rsid w:val="003D13D8"/>
    <w:rsid w:val="003D164F"/>
    <w:rsid w:val="003D3576"/>
    <w:rsid w:val="003D4022"/>
    <w:rsid w:val="003F0DF1"/>
    <w:rsid w:val="003F1D68"/>
    <w:rsid w:val="003F2F6A"/>
    <w:rsid w:val="003F526A"/>
    <w:rsid w:val="003F5F61"/>
    <w:rsid w:val="00405244"/>
    <w:rsid w:val="0041151D"/>
    <w:rsid w:val="00413AF1"/>
    <w:rsid w:val="004154C7"/>
    <w:rsid w:val="004161A0"/>
    <w:rsid w:val="004205D3"/>
    <w:rsid w:val="00420F19"/>
    <w:rsid w:val="004272F0"/>
    <w:rsid w:val="00441933"/>
    <w:rsid w:val="004436EE"/>
    <w:rsid w:val="00445ED3"/>
    <w:rsid w:val="0045023A"/>
    <w:rsid w:val="0045547F"/>
    <w:rsid w:val="004626A4"/>
    <w:rsid w:val="00471DEF"/>
    <w:rsid w:val="00472821"/>
    <w:rsid w:val="00480467"/>
    <w:rsid w:val="00483F35"/>
    <w:rsid w:val="00484EC1"/>
    <w:rsid w:val="004920AD"/>
    <w:rsid w:val="00493AD2"/>
    <w:rsid w:val="00495FDB"/>
    <w:rsid w:val="004A06D7"/>
    <w:rsid w:val="004A1507"/>
    <w:rsid w:val="004B1F2F"/>
    <w:rsid w:val="004B7B60"/>
    <w:rsid w:val="004C0447"/>
    <w:rsid w:val="004C645A"/>
    <w:rsid w:val="004D05B3"/>
    <w:rsid w:val="004D107B"/>
    <w:rsid w:val="004D1ABE"/>
    <w:rsid w:val="004D31CD"/>
    <w:rsid w:val="004E3A7E"/>
    <w:rsid w:val="004E479E"/>
    <w:rsid w:val="004E5128"/>
    <w:rsid w:val="004E7E74"/>
    <w:rsid w:val="004F686C"/>
    <w:rsid w:val="004F6E82"/>
    <w:rsid w:val="004F78E6"/>
    <w:rsid w:val="005011AF"/>
    <w:rsid w:val="0050420E"/>
    <w:rsid w:val="00507F4B"/>
    <w:rsid w:val="00512D99"/>
    <w:rsid w:val="00520963"/>
    <w:rsid w:val="00527391"/>
    <w:rsid w:val="00531D51"/>
    <w:rsid w:val="00531DBB"/>
    <w:rsid w:val="00537835"/>
    <w:rsid w:val="005402BD"/>
    <w:rsid w:val="00547645"/>
    <w:rsid w:val="00553FF9"/>
    <w:rsid w:val="0055470C"/>
    <w:rsid w:val="00555821"/>
    <w:rsid w:val="00562ACD"/>
    <w:rsid w:val="00562F0C"/>
    <w:rsid w:val="00563C14"/>
    <w:rsid w:val="00572037"/>
    <w:rsid w:val="00573720"/>
    <w:rsid w:val="00573994"/>
    <w:rsid w:val="005810DD"/>
    <w:rsid w:val="00582A9E"/>
    <w:rsid w:val="00586D3E"/>
    <w:rsid w:val="00593466"/>
    <w:rsid w:val="0059484F"/>
    <w:rsid w:val="005A14D1"/>
    <w:rsid w:val="005A2FFB"/>
    <w:rsid w:val="005B45FE"/>
    <w:rsid w:val="005B4719"/>
    <w:rsid w:val="005B54F0"/>
    <w:rsid w:val="005D2560"/>
    <w:rsid w:val="005D438E"/>
    <w:rsid w:val="005E2E7B"/>
    <w:rsid w:val="005E3385"/>
    <w:rsid w:val="005E45C7"/>
    <w:rsid w:val="005E798B"/>
    <w:rsid w:val="005F1550"/>
    <w:rsid w:val="005F2D5D"/>
    <w:rsid w:val="005F4A97"/>
    <w:rsid w:val="005F79FB"/>
    <w:rsid w:val="00604406"/>
    <w:rsid w:val="00605F4A"/>
    <w:rsid w:val="00607822"/>
    <w:rsid w:val="00607B73"/>
    <w:rsid w:val="006103AA"/>
    <w:rsid w:val="00610566"/>
    <w:rsid w:val="0061146D"/>
    <w:rsid w:val="00613BBF"/>
    <w:rsid w:val="00613BF0"/>
    <w:rsid w:val="00615311"/>
    <w:rsid w:val="00622B80"/>
    <w:rsid w:val="00627AE4"/>
    <w:rsid w:val="00627BDC"/>
    <w:rsid w:val="0063144E"/>
    <w:rsid w:val="0064139A"/>
    <w:rsid w:val="006418C3"/>
    <w:rsid w:val="00644049"/>
    <w:rsid w:val="006508A8"/>
    <w:rsid w:val="00652020"/>
    <w:rsid w:val="00671F73"/>
    <w:rsid w:val="006750EC"/>
    <w:rsid w:val="006755BE"/>
    <w:rsid w:val="006912A3"/>
    <w:rsid w:val="006918BF"/>
    <w:rsid w:val="006931CF"/>
    <w:rsid w:val="006A3190"/>
    <w:rsid w:val="006A7372"/>
    <w:rsid w:val="006A74ED"/>
    <w:rsid w:val="006B76B9"/>
    <w:rsid w:val="006E024F"/>
    <w:rsid w:val="006E0648"/>
    <w:rsid w:val="006E30AA"/>
    <w:rsid w:val="006E4E81"/>
    <w:rsid w:val="006F0C84"/>
    <w:rsid w:val="006F56CF"/>
    <w:rsid w:val="006F79C8"/>
    <w:rsid w:val="007005CB"/>
    <w:rsid w:val="00707F7D"/>
    <w:rsid w:val="00717A40"/>
    <w:rsid w:val="00717EC5"/>
    <w:rsid w:val="00723066"/>
    <w:rsid w:val="00725D8C"/>
    <w:rsid w:val="00726F12"/>
    <w:rsid w:val="00734714"/>
    <w:rsid w:val="00734E9A"/>
    <w:rsid w:val="00735BB9"/>
    <w:rsid w:val="00737453"/>
    <w:rsid w:val="007379E5"/>
    <w:rsid w:val="00743C48"/>
    <w:rsid w:val="007476D2"/>
    <w:rsid w:val="00754C05"/>
    <w:rsid w:val="00754C20"/>
    <w:rsid w:val="007602C5"/>
    <w:rsid w:val="00761AE7"/>
    <w:rsid w:val="007768E9"/>
    <w:rsid w:val="0077768A"/>
    <w:rsid w:val="00777751"/>
    <w:rsid w:val="00781CFB"/>
    <w:rsid w:val="007873CF"/>
    <w:rsid w:val="00787D13"/>
    <w:rsid w:val="00792BA8"/>
    <w:rsid w:val="00792F46"/>
    <w:rsid w:val="007A2048"/>
    <w:rsid w:val="007A57F2"/>
    <w:rsid w:val="007B1333"/>
    <w:rsid w:val="007C042A"/>
    <w:rsid w:val="007C4EBD"/>
    <w:rsid w:val="007C7D5B"/>
    <w:rsid w:val="007E1A70"/>
    <w:rsid w:val="007E408F"/>
    <w:rsid w:val="007E53B3"/>
    <w:rsid w:val="007E5CB4"/>
    <w:rsid w:val="007F27A3"/>
    <w:rsid w:val="007F4AEB"/>
    <w:rsid w:val="007F54BA"/>
    <w:rsid w:val="007F75B2"/>
    <w:rsid w:val="00802EF6"/>
    <w:rsid w:val="00803993"/>
    <w:rsid w:val="008043C4"/>
    <w:rsid w:val="00813498"/>
    <w:rsid w:val="008166EE"/>
    <w:rsid w:val="008208F0"/>
    <w:rsid w:val="00821079"/>
    <w:rsid w:val="00830951"/>
    <w:rsid w:val="00831B1B"/>
    <w:rsid w:val="008538A7"/>
    <w:rsid w:val="00854052"/>
    <w:rsid w:val="00855FB3"/>
    <w:rsid w:val="00861D0E"/>
    <w:rsid w:val="00864384"/>
    <w:rsid w:val="008662BB"/>
    <w:rsid w:val="00867569"/>
    <w:rsid w:val="00867C0E"/>
    <w:rsid w:val="00874606"/>
    <w:rsid w:val="008763E1"/>
    <w:rsid w:val="008840CE"/>
    <w:rsid w:val="00897018"/>
    <w:rsid w:val="008A6D74"/>
    <w:rsid w:val="008A750A"/>
    <w:rsid w:val="008B2AC5"/>
    <w:rsid w:val="008B3970"/>
    <w:rsid w:val="008B6B0F"/>
    <w:rsid w:val="008B7DC2"/>
    <w:rsid w:val="008C3102"/>
    <w:rsid w:val="008C384C"/>
    <w:rsid w:val="008D0F11"/>
    <w:rsid w:val="008D5B75"/>
    <w:rsid w:val="008E2E09"/>
    <w:rsid w:val="008E307A"/>
    <w:rsid w:val="008E3A49"/>
    <w:rsid w:val="008E41AA"/>
    <w:rsid w:val="008E6A31"/>
    <w:rsid w:val="008F171E"/>
    <w:rsid w:val="008F73B4"/>
    <w:rsid w:val="0091361B"/>
    <w:rsid w:val="00914236"/>
    <w:rsid w:val="00914C72"/>
    <w:rsid w:val="0092560C"/>
    <w:rsid w:val="0092746F"/>
    <w:rsid w:val="009344E6"/>
    <w:rsid w:val="00935C14"/>
    <w:rsid w:val="009377E3"/>
    <w:rsid w:val="00942AD6"/>
    <w:rsid w:val="00945819"/>
    <w:rsid w:val="00951181"/>
    <w:rsid w:val="009516E3"/>
    <w:rsid w:val="0097650A"/>
    <w:rsid w:val="00984CC1"/>
    <w:rsid w:val="00984CF2"/>
    <w:rsid w:val="00986DD7"/>
    <w:rsid w:val="00990FE7"/>
    <w:rsid w:val="009A2CF9"/>
    <w:rsid w:val="009A5F9D"/>
    <w:rsid w:val="009A69E5"/>
    <w:rsid w:val="009B09C9"/>
    <w:rsid w:val="009B55B1"/>
    <w:rsid w:val="009B6283"/>
    <w:rsid w:val="009B66AB"/>
    <w:rsid w:val="009B6E50"/>
    <w:rsid w:val="009D31AA"/>
    <w:rsid w:val="009E7925"/>
    <w:rsid w:val="009F0A72"/>
    <w:rsid w:val="009F6D1E"/>
    <w:rsid w:val="00A047C8"/>
    <w:rsid w:val="00A047E9"/>
    <w:rsid w:val="00A0762A"/>
    <w:rsid w:val="00A13AB9"/>
    <w:rsid w:val="00A15F02"/>
    <w:rsid w:val="00A2734F"/>
    <w:rsid w:val="00A4343D"/>
    <w:rsid w:val="00A502F1"/>
    <w:rsid w:val="00A5073D"/>
    <w:rsid w:val="00A54187"/>
    <w:rsid w:val="00A54D6A"/>
    <w:rsid w:val="00A62C63"/>
    <w:rsid w:val="00A70A83"/>
    <w:rsid w:val="00A70E7B"/>
    <w:rsid w:val="00A75C25"/>
    <w:rsid w:val="00A80E84"/>
    <w:rsid w:val="00A81EB3"/>
    <w:rsid w:val="00A87D94"/>
    <w:rsid w:val="00AA150C"/>
    <w:rsid w:val="00AB3410"/>
    <w:rsid w:val="00AC05F5"/>
    <w:rsid w:val="00AD199A"/>
    <w:rsid w:val="00AD2B9D"/>
    <w:rsid w:val="00AD6287"/>
    <w:rsid w:val="00AF5E6F"/>
    <w:rsid w:val="00B009D9"/>
    <w:rsid w:val="00B00C1D"/>
    <w:rsid w:val="00B175BA"/>
    <w:rsid w:val="00B20808"/>
    <w:rsid w:val="00B401C2"/>
    <w:rsid w:val="00B45EC1"/>
    <w:rsid w:val="00B52016"/>
    <w:rsid w:val="00B55375"/>
    <w:rsid w:val="00B578A8"/>
    <w:rsid w:val="00B62652"/>
    <w:rsid w:val="00B632CC"/>
    <w:rsid w:val="00B63E93"/>
    <w:rsid w:val="00B65E7C"/>
    <w:rsid w:val="00B67CD3"/>
    <w:rsid w:val="00B75431"/>
    <w:rsid w:val="00B807A9"/>
    <w:rsid w:val="00B9294D"/>
    <w:rsid w:val="00B9490F"/>
    <w:rsid w:val="00B95E06"/>
    <w:rsid w:val="00BA12F1"/>
    <w:rsid w:val="00BA3070"/>
    <w:rsid w:val="00BA439F"/>
    <w:rsid w:val="00BA43D5"/>
    <w:rsid w:val="00BA6321"/>
    <w:rsid w:val="00BA6370"/>
    <w:rsid w:val="00BB603E"/>
    <w:rsid w:val="00BE208B"/>
    <w:rsid w:val="00BE7120"/>
    <w:rsid w:val="00BF476C"/>
    <w:rsid w:val="00BF4862"/>
    <w:rsid w:val="00BF538A"/>
    <w:rsid w:val="00C00171"/>
    <w:rsid w:val="00C0212C"/>
    <w:rsid w:val="00C035A9"/>
    <w:rsid w:val="00C07EE6"/>
    <w:rsid w:val="00C14C02"/>
    <w:rsid w:val="00C269D4"/>
    <w:rsid w:val="00C37ADB"/>
    <w:rsid w:val="00C4160D"/>
    <w:rsid w:val="00C42EC1"/>
    <w:rsid w:val="00C5438E"/>
    <w:rsid w:val="00C54BC5"/>
    <w:rsid w:val="00C56310"/>
    <w:rsid w:val="00C602AF"/>
    <w:rsid w:val="00C61234"/>
    <w:rsid w:val="00C711C8"/>
    <w:rsid w:val="00C73CF6"/>
    <w:rsid w:val="00C81760"/>
    <w:rsid w:val="00C8201B"/>
    <w:rsid w:val="00C8406E"/>
    <w:rsid w:val="00C85786"/>
    <w:rsid w:val="00C910E9"/>
    <w:rsid w:val="00C94077"/>
    <w:rsid w:val="00CA389D"/>
    <w:rsid w:val="00CB061F"/>
    <w:rsid w:val="00CB2709"/>
    <w:rsid w:val="00CB2CC0"/>
    <w:rsid w:val="00CB6F89"/>
    <w:rsid w:val="00CC0AE9"/>
    <w:rsid w:val="00CE142F"/>
    <w:rsid w:val="00CE228C"/>
    <w:rsid w:val="00CE5635"/>
    <w:rsid w:val="00CE71D9"/>
    <w:rsid w:val="00CF3FBB"/>
    <w:rsid w:val="00CF545B"/>
    <w:rsid w:val="00CF6D10"/>
    <w:rsid w:val="00D11DD6"/>
    <w:rsid w:val="00D131B4"/>
    <w:rsid w:val="00D209A7"/>
    <w:rsid w:val="00D26B04"/>
    <w:rsid w:val="00D27D69"/>
    <w:rsid w:val="00D33658"/>
    <w:rsid w:val="00D36813"/>
    <w:rsid w:val="00D448C2"/>
    <w:rsid w:val="00D666C3"/>
    <w:rsid w:val="00D7012D"/>
    <w:rsid w:val="00D7698D"/>
    <w:rsid w:val="00D7726D"/>
    <w:rsid w:val="00D814B3"/>
    <w:rsid w:val="00D9189F"/>
    <w:rsid w:val="00D9259D"/>
    <w:rsid w:val="00D96CC2"/>
    <w:rsid w:val="00DA2D8E"/>
    <w:rsid w:val="00DA3D73"/>
    <w:rsid w:val="00DC4C14"/>
    <w:rsid w:val="00DC546F"/>
    <w:rsid w:val="00DD0C06"/>
    <w:rsid w:val="00DD1892"/>
    <w:rsid w:val="00DD750E"/>
    <w:rsid w:val="00DE6FB5"/>
    <w:rsid w:val="00DF05F8"/>
    <w:rsid w:val="00DF1913"/>
    <w:rsid w:val="00DF47FE"/>
    <w:rsid w:val="00DF672E"/>
    <w:rsid w:val="00E0156A"/>
    <w:rsid w:val="00E14063"/>
    <w:rsid w:val="00E14C44"/>
    <w:rsid w:val="00E150B4"/>
    <w:rsid w:val="00E20F95"/>
    <w:rsid w:val="00E26704"/>
    <w:rsid w:val="00E31980"/>
    <w:rsid w:val="00E34FDF"/>
    <w:rsid w:val="00E41C76"/>
    <w:rsid w:val="00E43E70"/>
    <w:rsid w:val="00E51999"/>
    <w:rsid w:val="00E545EB"/>
    <w:rsid w:val="00E561E6"/>
    <w:rsid w:val="00E6423C"/>
    <w:rsid w:val="00E732AC"/>
    <w:rsid w:val="00E76B01"/>
    <w:rsid w:val="00E935A8"/>
    <w:rsid w:val="00E93830"/>
    <w:rsid w:val="00E93884"/>
    <w:rsid w:val="00E93CEF"/>
    <w:rsid w:val="00E93E0E"/>
    <w:rsid w:val="00E96F8A"/>
    <w:rsid w:val="00E978DB"/>
    <w:rsid w:val="00EA37C4"/>
    <w:rsid w:val="00EB1ED3"/>
    <w:rsid w:val="00ED1741"/>
    <w:rsid w:val="00EE436E"/>
    <w:rsid w:val="00EE513A"/>
    <w:rsid w:val="00EF607A"/>
    <w:rsid w:val="00F034C4"/>
    <w:rsid w:val="00F0691B"/>
    <w:rsid w:val="00F10882"/>
    <w:rsid w:val="00F11C7A"/>
    <w:rsid w:val="00F23B1A"/>
    <w:rsid w:val="00F3284B"/>
    <w:rsid w:val="00F342B2"/>
    <w:rsid w:val="00F41BED"/>
    <w:rsid w:val="00F41D41"/>
    <w:rsid w:val="00F47D74"/>
    <w:rsid w:val="00F5027D"/>
    <w:rsid w:val="00F53E66"/>
    <w:rsid w:val="00F57FEF"/>
    <w:rsid w:val="00F624A5"/>
    <w:rsid w:val="00F648CF"/>
    <w:rsid w:val="00F71432"/>
    <w:rsid w:val="00F75F2A"/>
    <w:rsid w:val="00F7707C"/>
    <w:rsid w:val="00F77291"/>
    <w:rsid w:val="00F90149"/>
    <w:rsid w:val="00F90A47"/>
    <w:rsid w:val="00F93813"/>
    <w:rsid w:val="00FA1816"/>
    <w:rsid w:val="00FA6CD4"/>
    <w:rsid w:val="00FA6D55"/>
    <w:rsid w:val="00FB02E8"/>
    <w:rsid w:val="00FB687C"/>
    <w:rsid w:val="00FC1496"/>
    <w:rsid w:val="00FC51A7"/>
    <w:rsid w:val="00FC6E5D"/>
    <w:rsid w:val="00FC762E"/>
    <w:rsid w:val="00FD1A43"/>
    <w:rsid w:val="00FD4BA4"/>
    <w:rsid w:val="00FD75AD"/>
    <w:rsid w:val="00FE12F4"/>
    <w:rsid w:val="00FE13DB"/>
    <w:rsid w:val="00FE5DA6"/>
    <w:rsid w:val="00FE6A12"/>
    <w:rsid w:val="00FF08C3"/>
    <w:rsid w:val="00FF2A32"/>
    <w:rsid w:val="00FF31A2"/>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1">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8538A7"/>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customStyle="1" w:styleId="Poznamkytexty">
    <w:name w:val="Poznamky texty"/>
    <w:basedOn w:val="Poznmky"/>
    <w:qFormat/>
    <w:rsid w:val="005F2D5D"/>
    <w:pPr>
      <w:pBdr>
        <w:top w:val="none" w:sz="0" w:space="0" w:color="auto"/>
      </w:pBdr>
      <w:spacing w:before="0"/>
      <w:jc w:val="both"/>
    </w:pPr>
    <w:rPr>
      <w:i/>
    </w:rPr>
  </w:style>
  <w:style w:type="paragraph" w:styleId="Textpoznpodarou">
    <w:name w:val="footnote text"/>
    <w:basedOn w:val="Normln"/>
    <w:link w:val="TextpoznpodarouChar"/>
    <w:semiHidden/>
    <w:rsid w:val="005F2D5D"/>
    <w:pPr>
      <w:spacing w:line="240" w:lineRule="auto"/>
      <w:jc w:val="left"/>
    </w:pPr>
    <w:rPr>
      <w:rFonts w:ascii="Times New Roman" w:eastAsia="Times New Roman" w:hAnsi="Times New Roman"/>
      <w:szCs w:val="20"/>
    </w:rPr>
  </w:style>
  <w:style w:type="character" w:customStyle="1" w:styleId="TextpoznpodarouChar">
    <w:name w:val="Text pozn. pod čarou Char"/>
    <w:basedOn w:val="Standardnpsmoodstavce"/>
    <w:link w:val="Textpoznpodarou"/>
    <w:semiHidden/>
    <w:rsid w:val="005F2D5D"/>
    <w:rPr>
      <w:rFonts w:ascii="Times New Roman" w:eastAsia="Times New Roman" w:hAnsi="Times New Roman"/>
      <w:lang w:eastAsia="en-US"/>
    </w:rPr>
  </w:style>
  <w:style w:type="character" w:styleId="Znakapoznpodarou">
    <w:name w:val="footnote reference"/>
    <w:semiHidden/>
    <w:rsid w:val="005F2D5D"/>
    <w:rPr>
      <w:vertAlign w:val="superscript"/>
    </w:rPr>
  </w:style>
  <w:style w:type="character" w:styleId="Sledovanodkaz">
    <w:name w:val="FollowedHyperlink"/>
    <w:basedOn w:val="Standardnpsmoodstavce"/>
    <w:uiPriority w:val="99"/>
    <w:semiHidden/>
    <w:unhideWhenUsed/>
    <w:rsid w:val="004B1F2F"/>
    <w:rPr>
      <w:color w:val="800080" w:themeColor="followedHyperlink"/>
      <w:u w:val="single"/>
    </w:rPr>
  </w:style>
  <w:style w:type="character" w:styleId="Zvraznn">
    <w:name w:val="Emphasis"/>
    <w:basedOn w:val="Standardnpsmoodstavce"/>
    <w:uiPriority w:val="20"/>
    <w:qFormat/>
    <w:rsid w:val="00A87D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kermiet@czso.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ctvrtletni-narodni-ucty-tvorba-a-uziti-hdp-a-predbezny-odhad-hd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zso.cz/csu/czso/hdp_cr" TargetMode="External"/><Relationship Id="rId4" Type="http://schemas.openxmlformats.org/officeDocument/2006/relationships/settings" Target="settings.xml"/><Relationship Id="rId9" Type="http://schemas.openxmlformats.org/officeDocument/2006/relationships/hyperlink" Target="mailto:tereza.kostakova@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statisticke-zachyceni-pronajmu-letadel-jas-grip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nu\QU\HDP\VYS\RI\&#352;ablony\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FD510-8B67-426D-BBDE-49D9CF8C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CZ.dotx</Template>
  <TotalTime>1</TotalTime>
  <Pages>3</Pages>
  <Words>733</Words>
  <Characters>4327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5050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Košťáková</dc:creator>
  <cp:lastModifiedBy>Tereza Košťáková</cp:lastModifiedBy>
  <cp:revision>3</cp:revision>
  <cp:lastPrinted>2015-11-26T08:13:00Z</cp:lastPrinted>
  <dcterms:created xsi:type="dcterms:W3CDTF">2016-03-03T09:04:00Z</dcterms:created>
  <dcterms:modified xsi:type="dcterms:W3CDTF">2016-03-03T09:04:00Z</dcterms:modified>
</cp:coreProperties>
</file>