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AA" w:rsidRDefault="007A6BAA" w:rsidP="007A6BA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EE4DB8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EE4DB8">
        <w:rPr>
          <w:b/>
          <w:i w:val="0"/>
        </w:rPr>
        <w:t>4</w:t>
      </w:r>
      <w:r>
        <w:rPr>
          <w:b/>
          <w:i w:val="0"/>
        </w:rPr>
        <w:t>. 2019</w:t>
      </w:r>
    </w:p>
    <w:p w:rsidR="008A50CE" w:rsidRPr="00F5224C" w:rsidRDefault="00676792" w:rsidP="008A50CE">
      <w:pPr>
        <w:pStyle w:val="Nzev"/>
      </w:pPr>
      <w:r w:rsidRPr="00F5224C">
        <w:t xml:space="preserve">Ceny </w:t>
      </w:r>
      <w:r w:rsidR="004570EE" w:rsidRPr="00F5224C">
        <w:t xml:space="preserve">elektřiny a </w:t>
      </w:r>
      <w:r w:rsidRPr="00F5224C">
        <w:t>brambor nadále rostly</w:t>
      </w:r>
    </w:p>
    <w:p w:rsidR="007A6BAA" w:rsidRPr="00B650AB" w:rsidRDefault="007A6BAA" w:rsidP="007A6BAA">
      <w:pPr>
        <w:pStyle w:val="Podtitulek"/>
      </w:pPr>
      <w:r w:rsidRPr="00B650AB">
        <w:t xml:space="preserve">Indexy spotřebitelských cen – inflace – </w:t>
      </w:r>
      <w:r w:rsidR="00EE4DB8">
        <w:t>březen</w:t>
      </w:r>
      <w:r w:rsidR="0094465D">
        <w:t xml:space="preserve"> </w:t>
      </w:r>
      <w:r w:rsidRPr="00B650AB">
        <w:t>201</w:t>
      </w:r>
      <w:r w:rsidR="0094465D">
        <w:t>9</w:t>
      </w:r>
    </w:p>
    <w:p w:rsidR="001A7450" w:rsidRPr="00FC7031" w:rsidRDefault="007A6BAA" w:rsidP="001A7450">
      <w:pPr>
        <w:pStyle w:val="Perex"/>
      </w:pPr>
      <w:r w:rsidRPr="005478A9">
        <w:t xml:space="preserve">Spotřebitelské ceny </w:t>
      </w:r>
      <w:r w:rsidRPr="00FC7031">
        <w:t>vzrostly v </w:t>
      </w:r>
      <w:r w:rsidR="005F6815" w:rsidRPr="00FC7031">
        <w:t>březnu</w:t>
      </w:r>
      <w:r w:rsidRPr="00FC7031">
        <w:t xml:space="preserve"> proti </w:t>
      </w:r>
      <w:r w:rsidR="005F6815" w:rsidRPr="00FC7031">
        <w:t>únoru</w:t>
      </w:r>
      <w:r w:rsidRPr="00FC7031">
        <w:t xml:space="preserve"> o </w:t>
      </w:r>
      <w:r w:rsidR="004B7955" w:rsidRPr="00FC7031">
        <w:t>0</w:t>
      </w:r>
      <w:r w:rsidR="005471D4" w:rsidRPr="00FC7031">
        <w:t>,2</w:t>
      </w:r>
      <w:r w:rsidRPr="00FC7031">
        <w:t> %. Tento vývoj ovlivnilo zejména zvýšení cen v</w:t>
      </w:r>
      <w:r w:rsidR="008D59A4" w:rsidRPr="00FC7031">
        <w:t> </w:t>
      </w:r>
      <w:r w:rsidRPr="00FC7031">
        <w:t>oddíle</w:t>
      </w:r>
      <w:r w:rsidR="006E2B00" w:rsidRPr="00FC7031">
        <w:t xml:space="preserve"> </w:t>
      </w:r>
      <w:r w:rsidR="004D0206" w:rsidRPr="00FC7031">
        <w:t>bydlení.</w:t>
      </w:r>
      <w:r w:rsidRPr="00FC7031">
        <w:t xml:space="preserve"> </w:t>
      </w:r>
      <w:r w:rsidR="004B7955" w:rsidRPr="00FC7031">
        <w:t>Meziroční růst spotřebitelských cen v</w:t>
      </w:r>
      <w:r w:rsidR="005471D4" w:rsidRPr="00FC7031">
        <w:t> </w:t>
      </w:r>
      <w:r w:rsidR="004D0206" w:rsidRPr="00FC7031">
        <w:t>březnu</w:t>
      </w:r>
      <w:r w:rsidR="005471D4" w:rsidRPr="00FC7031">
        <w:t xml:space="preserve"> </w:t>
      </w:r>
      <w:r w:rsidR="004B7955" w:rsidRPr="00FC7031">
        <w:t>zrychlil na </w:t>
      </w:r>
      <w:r w:rsidR="004D0206" w:rsidRPr="00FC7031">
        <w:t>3,0</w:t>
      </w:r>
      <w:r w:rsidR="00C11932" w:rsidRPr="00FC7031">
        <w:t> </w:t>
      </w:r>
      <w:r w:rsidR="004B7955" w:rsidRPr="00FC7031">
        <w:t>%, což bylo o 0,</w:t>
      </w:r>
      <w:r w:rsidR="004D0206" w:rsidRPr="00FC7031">
        <w:t>3</w:t>
      </w:r>
      <w:r w:rsidR="004B7955" w:rsidRPr="00FC7031">
        <w:t> procentního bodu více než v</w:t>
      </w:r>
      <w:r w:rsidR="001A7450" w:rsidRPr="00FC7031">
        <w:t> </w:t>
      </w:r>
      <w:r w:rsidR="004D0206" w:rsidRPr="00FC7031">
        <w:t>únoru</w:t>
      </w:r>
      <w:r w:rsidR="001A7450" w:rsidRPr="00FC7031">
        <w:t>.</w:t>
      </w:r>
      <w:r w:rsidR="004D0206" w:rsidRPr="00FC7031">
        <w:t xml:space="preserve"> </w:t>
      </w:r>
      <w:r w:rsidR="001A7450" w:rsidRPr="00FC7031">
        <w:t>Jednalo se o nejvyšší meziroční růst cen od října 2012.</w:t>
      </w:r>
    </w:p>
    <w:p w:rsidR="00403377" w:rsidRDefault="009476CE" w:rsidP="001A7450">
      <w:pPr>
        <w:pStyle w:val="Perex"/>
        <w:rPr>
          <w:b w:val="0"/>
          <w:szCs w:val="20"/>
        </w:rPr>
      </w:pPr>
      <w:r w:rsidRPr="00FC7031">
        <w:rPr>
          <w:szCs w:val="20"/>
        </w:rPr>
        <w:t>Meziměsíční</w:t>
      </w:r>
      <w:r w:rsidRPr="00FC7031">
        <w:rPr>
          <w:b w:val="0"/>
          <w:szCs w:val="20"/>
        </w:rPr>
        <w:t xml:space="preserve"> růst </w:t>
      </w:r>
      <w:r w:rsidR="004E7789" w:rsidRPr="00FC7031">
        <w:rPr>
          <w:b w:val="0"/>
          <w:szCs w:val="20"/>
        </w:rPr>
        <w:t xml:space="preserve">spotřebitelských cen v oddíle </w:t>
      </w:r>
      <w:r w:rsidR="00403377" w:rsidRPr="00FC7031">
        <w:rPr>
          <w:b w:val="0"/>
          <w:szCs w:val="20"/>
        </w:rPr>
        <w:t>bydlení</w:t>
      </w:r>
      <w:r w:rsidR="004E7789" w:rsidRPr="00FC7031">
        <w:rPr>
          <w:b w:val="0"/>
          <w:szCs w:val="20"/>
        </w:rPr>
        <w:t xml:space="preserve"> způsobil</w:t>
      </w:r>
      <w:r w:rsidR="00684242" w:rsidRPr="00FC7031">
        <w:rPr>
          <w:b w:val="0"/>
          <w:szCs w:val="20"/>
        </w:rPr>
        <w:t>y</w:t>
      </w:r>
      <w:r w:rsidR="004E7789" w:rsidRPr="00FC7031">
        <w:rPr>
          <w:b w:val="0"/>
          <w:szCs w:val="20"/>
        </w:rPr>
        <w:t xml:space="preserve"> především cen</w:t>
      </w:r>
      <w:r w:rsidR="00684242" w:rsidRPr="00FC7031">
        <w:rPr>
          <w:b w:val="0"/>
          <w:szCs w:val="20"/>
        </w:rPr>
        <w:t>y</w:t>
      </w:r>
      <w:r w:rsidR="004E7789" w:rsidRPr="00FC7031">
        <w:rPr>
          <w:b w:val="0"/>
          <w:szCs w:val="20"/>
        </w:rPr>
        <w:t xml:space="preserve"> </w:t>
      </w:r>
      <w:r w:rsidR="00403377" w:rsidRPr="00FC7031">
        <w:rPr>
          <w:b w:val="0"/>
          <w:szCs w:val="20"/>
        </w:rPr>
        <w:t>elektřiny</w:t>
      </w:r>
      <w:r w:rsidR="00AA2B40" w:rsidRPr="00FC7031">
        <w:rPr>
          <w:b w:val="0"/>
          <w:szCs w:val="20"/>
        </w:rPr>
        <w:t>, které byly vyšší</w:t>
      </w:r>
      <w:r w:rsidR="00403377" w:rsidRPr="00FC7031">
        <w:rPr>
          <w:b w:val="0"/>
          <w:szCs w:val="20"/>
        </w:rPr>
        <w:t xml:space="preserve"> </w:t>
      </w:r>
      <w:r w:rsidR="004E7789" w:rsidRPr="00FC7031">
        <w:rPr>
          <w:b w:val="0"/>
          <w:szCs w:val="20"/>
        </w:rPr>
        <w:t>o </w:t>
      </w:r>
      <w:r w:rsidR="00403377" w:rsidRPr="00FC7031">
        <w:rPr>
          <w:b w:val="0"/>
          <w:szCs w:val="20"/>
        </w:rPr>
        <w:t>2,7</w:t>
      </w:r>
      <w:r w:rsidR="004E7789" w:rsidRPr="00FC7031">
        <w:rPr>
          <w:b w:val="0"/>
          <w:szCs w:val="20"/>
        </w:rPr>
        <w:t> %.</w:t>
      </w:r>
      <w:r w:rsidR="00403377" w:rsidRPr="00FC7031">
        <w:rPr>
          <w:b w:val="0"/>
          <w:szCs w:val="20"/>
        </w:rPr>
        <w:t xml:space="preserve"> V oddíle alkoholické nápoje, tabák se zvýšily ceny vína o 3,7 %, piva o 1,2 % a lihovin o 0,8 %. </w:t>
      </w:r>
      <w:r w:rsidR="00684242" w:rsidRPr="00FC7031">
        <w:rPr>
          <w:b w:val="0"/>
          <w:szCs w:val="20"/>
        </w:rPr>
        <w:t>Vývoj cen v oddíle</w:t>
      </w:r>
      <w:r w:rsidR="00684242" w:rsidRPr="00684242">
        <w:rPr>
          <w:b w:val="0"/>
          <w:szCs w:val="20"/>
        </w:rPr>
        <w:t xml:space="preserve"> doprava </w:t>
      </w:r>
      <w:r w:rsidR="00F5224C">
        <w:rPr>
          <w:b w:val="0"/>
          <w:szCs w:val="20"/>
        </w:rPr>
        <w:t>ovlivnily ceny pohonných hmot a </w:t>
      </w:r>
      <w:r w:rsidR="00684242" w:rsidRPr="00684242">
        <w:rPr>
          <w:b w:val="0"/>
          <w:szCs w:val="20"/>
        </w:rPr>
        <w:t xml:space="preserve">olejů, které po čtyřech měsících poklesu v březnu vzrostly o 1,1 %. </w:t>
      </w:r>
      <w:r w:rsidR="00684242" w:rsidRPr="001A7450">
        <w:rPr>
          <w:b w:val="0"/>
          <w:szCs w:val="20"/>
        </w:rPr>
        <w:t>V oddíle bytové vybavení a </w:t>
      </w:r>
      <w:r w:rsidR="00684242" w:rsidRPr="00684242">
        <w:rPr>
          <w:b w:val="0"/>
          <w:szCs w:val="20"/>
        </w:rPr>
        <w:t>zařízení domácnost</w:t>
      </w:r>
      <w:r w:rsidR="00667D80">
        <w:rPr>
          <w:b w:val="0"/>
          <w:szCs w:val="20"/>
        </w:rPr>
        <w:t>i</w:t>
      </w:r>
      <w:r w:rsidR="00684242" w:rsidRPr="00684242">
        <w:rPr>
          <w:b w:val="0"/>
          <w:szCs w:val="20"/>
        </w:rPr>
        <w:t xml:space="preserve"> se zvýšily zejména ceny </w:t>
      </w:r>
      <w:r w:rsidR="00684242">
        <w:rPr>
          <w:b w:val="0"/>
          <w:szCs w:val="20"/>
        </w:rPr>
        <w:t>p</w:t>
      </w:r>
      <w:r w:rsidR="00684242" w:rsidRPr="00684242">
        <w:rPr>
          <w:b w:val="0"/>
          <w:szCs w:val="20"/>
        </w:rPr>
        <w:t>řístroj</w:t>
      </w:r>
      <w:r w:rsidR="00684242">
        <w:rPr>
          <w:b w:val="0"/>
          <w:szCs w:val="20"/>
        </w:rPr>
        <w:t>ů</w:t>
      </w:r>
      <w:r w:rsidR="00F5224C">
        <w:rPr>
          <w:b w:val="0"/>
          <w:szCs w:val="20"/>
        </w:rPr>
        <w:t xml:space="preserve"> a </w:t>
      </w:r>
      <w:r w:rsidR="00684242" w:rsidRPr="00684242">
        <w:rPr>
          <w:b w:val="0"/>
          <w:szCs w:val="20"/>
        </w:rPr>
        <w:t>spotřebič</w:t>
      </w:r>
      <w:r w:rsidR="00684242">
        <w:rPr>
          <w:b w:val="0"/>
          <w:szCs w:val="20"/>
        </w:rPr>
        <w:t>ů</w:t>
      </w:r>
      <w:r w:rsidR="00F5224C">
        <w:rPr>
          <w:b w:val="0"/>
          <w:szCs w:val="20"/>
        </w:rPr>
        <w:t xml:space="preserve"> pro domácnost </w:t>
      </w:r>
      <w:r w:rsidR="00684242" w:rsidRPr="00684242">
        <w:rPr>
          <w:b w:val="0"/>
          <w:szCs w:val="20"/>
        </w:rPr>
        <w:t>o </w:t>
      </w:r>
      <w:r w:rsidR="006C0C3E">
        <w:rPr>
          <w:b w:val="0"/>
          <w:szCs w:val="20"/>
        </w:rPr>
        <w:t>1,3</w:t>
      </w:r>
      <w:r w:rsidR="00684242" w:rsidRPr="00684242">
        <w:rPr>
          <w:b w:val="0"/>
          <w:szCs w:val="20"/>
        </w:rPr>
        <w:t> %.</w:t>
      </w:r>
      <w:r w:rsidR="006C0C3E">
        <w:rPr>
          <w:b w:val="0"/>
          <w:szCs w:val="20"/>
        </w:rPr>
        <w:t xml:space="preserve"> </w:t>
      </w:r>
      <w:r w:rsidR="006C0C3E" w:rsidRPr="00403377">
        <w:rPr>
          <w:b w:val="0"/>
          <w:szCs w:val="20"/>
        </w:rPr>
        <w:t>V oddíle potraviny a nealkoholické nápoje</w:t>
      </w:r>
      <w:r w:rsidR="006C0C3E">
        <w:rPr>
          <w:b w:val="0"/>
          <w:szCs w:val="20"/>
        </w:rPr>
        <w:t xml:space="preserve"> byly vyšší předev</w:t>
      </w:r>
      <w:r w:rsidR="00AA2B40">
        <w:rPr>
          <w:b w:val="0"/>
          <w:szCs w:val="20"/>
        </w:rPr>
        <w:t>ším ceny pekárenských výrobků a </w:t>
      </w:r>
      <w:r w:rsidR="006C0C3E">
        <w:rPr>
          <w:b w:val="0"/>
          <w:szCs w:val="20"/>
        </w:rPr>
        <w:t xml:space="preserve">obilovin </w:t>
      </w:r>
      <w:r w:rsidR="00F5224C">
        <w:rPr>
          <w:b w:val="0"/>
          <w:szCs w:val="20"/>
        </w:rPr>
        <w:t>o 1,1 %, brambor o 5,6 % a </w:t>
      </w:r>
      <w:r w:rsidR="006C0C3E">
        <w:rPr>
          <w:b w:val="0"/>
          <w:szCs w:val="20"/>
        </w:rPr>
        <w:t>ovoce o 1,4 %.</w:t>
      </w:r>
    </w:p>
    <w:p w:rsidR="00DF0F29" w:rsidRPr="006E1FCA" w:rsidRDefault="006E1FCA" w:rsidP="009476CE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6E1FCA">
        <w:rPr>
          <w:rFonts w:cs="Arial"/>
          <w:i w:val="0"/>
          <w:sz w:val="20"/>
          <w:szCs w:val="20"/>
        </w:rPr>
        <w:t xml:space="preserve">Na snižování celkové </w:t>
      </w:r>
      <w:r w:rsidRPr="006E1FCA">
        <w:rPr>
          <w:rFonts w:eastAsia="Calibri" w:cs="Arial"/>
          <w:i w:val="0"/>
          <w:iCs w:val="0"/>
          <w:sz w:val="20"/>
          <w:szCs w:val="20"/>
        </w:rPr>
        <w:t>úrovně spotřebitelských cen působil v březnu</w:t>
      </w:r>
      <w:r w:rsidR="00F5224C">
        <w:rPr>
          <w:rFonts w:eastAsia="Calibri" w:cs="Arial"/>
          <w:i w:val="0"/>
          <w:iCs w:val="0"/>
          <w:sz w:val="20"/>
          <w:szCs w:val="20"/>
        </w:rPr>
        <w:t xml:space="preserve"> pokles cen v oddíle rekreace a </w:t>
      </w:r>
      <w:r w:rsidRPr="006E1FCA">
        <w:rPr>
          <w:rFonts w:eastAsia="Calibri" w:cs="Arial"/>
          <w:i w:val="0"/>
          <w:iCs w:val="0"/>
          <w:sz w:val="20"/>
          <w:szCs w:val="20"/>
        </w:rPr>
        <w:t>kultura, kde klesly ceny dovo</w:t>
      </w:r>
      <w:r w:rsidR="00F5224C">
        <w:rPr>
          <w:rFonts w:eastAsia="Calibri" w:cs="Arial"/>
          <w:i w:val="0"/>
          <w:iCs w:val="0"/>
          <w:sz w:val="20"/>
          <w:szCs w:val="20"/>
        </w:rPr>
        <w:t>lených s komplexními službami o </w:t>
      </w:r>
      <w:r w:rsidRPr="006E1FCA">
        <w:rPr>
          <w:rFonts w:eastAsia="Calibri" w:cs="Arial"/>
          <w:i w:val="0"/>
          <w:iCs w:val="0"/>
          <w:sz w:val="20"/>
          <w:szCs w:val="20"/>
        </w:rPr>
        <w:t>8,8 %</w:t>
      </w:r>
      <w:r w:rsidR="00F9324E">
        <w:rPr>
          <w:rFonts w:eastAsia="Calibri" w:cs="Arial"/>
          <w:i w:val="0"/>
          <w:iCs w:val="0"/>
          <w:sz w:val="20"/>
          <w:szCs w:val="20"/>
        </w:rPr>
        <w:t xml:space="preserve"> v důsledku končící zimní sezóny</w:t>
      </w:r>
      <w:r w:rsidRPr="006E1FCA">
        <w:rPr>
          <w:rFonts w:eastAsia="Calibri" w:cs="Arial"/>
          <w:i w:val="0"/>
          <w:iCs w:val="0"/>
          <w:sz w:val="20"/>
          <w:szCs w:val="20"/>
        </w:rPr>
        <w:t xml:space="preserve">. Z potravin byly </w:t>
      </w:r>
      <w:r>
        <w:rPr>
          <w:rFonts w:eastAsia="Calibri" w:cs="Arial"/>
          <w:i w:val="0"/>
          <w:iCs w:val="0"/>
          <w:sz w:val="20"/>
          <w:szCs w:val="20"/>
        </w:rPr>
        <w:t>nižší</w:t>
      </w:r>
      <w:r w:rsidRPr="006E1FCA">
        <w:rPr>
          <w:rFonts w:eastAsia="Calibri" w:cs="Arial"/>
          <w:i w:val="0"/>
          <w:iCs w:val="0"/>
          <w:sz w:val="20"/>
          <w:szCs w:val="20"/>
        </w:rPr>
        <w:t xml:space="preserve"> zejména ceny</w:t>
      </w:r>
      <w:r>
        <w:rPr>
          <w:rFonts w:eastAsia="Calibri" w:cs="Arial"/>
          <w:i w:val="0"/>
          <w:iCs w:val="0"/>
          <w:sz w:val="20"/>
          <w:szCs w:val="20"/>
        </w:rPr>
        <w:t xml:space="preserve"> zeleniny o 2,2 %, masa o 0,4 %, polotučného trvanlivého mléka o 3,4 %.</w:t>
      </w:r>
    </w:p>
    <w:p w:rsidR="006E1FCA" w:rsidRDefault="006E1FCA" w:rsidP="009476C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Pr="00783940" w:rsidRDefault="007A6BAA" w:rsidP="007A6BAA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D3257F">
        <w:rPr>
          <w:rFonts w:cs="Arial"/>
          <w:szCs w:val="20"/>
        </w:rPr>
        <w:t>vzrostly</w:t>
      </w:r>
      <w:r w:rsidR="00B2665E">
        <w:rPr>
          <w:rFonts w:cs="Arial"/>
          <w:szCs w:val="20"/>
        </w:rPr>
        <w:t xml:space="preserve"> o </w:t>
      </w:r>
      <w:r w:rsidR="00DF34E3">
        <w:rPr>
          <w:rFonts w:cs="Arial"/>
          <w:szCs w:val="20"/>
        </w:rPr>
        <w:t>0</w:t>
      </w:r>
      <w:r w:rsidR="00B2665E">
        <w:rPr>
          <w:rFonts w:cs="Arial"/>
          <w:szCs w:val="20"/>
        </w:rPr>
        <w:t>,</w:t>
      </w:r>
      <w:r w:rsidR="00D3257F">
        <w:rPr>
          <w:rFonts w:cs="Arial"/>
          <w:szCs w:val="20"/>
        </w:rPr>
        <w:t>6</w:t>
      </w:r>
      <w:r w:rsidR="00B2665E">
        <w:rPr>
          <w:rFonts w:cs="Arial"/>
          <w:szCs w:val="20"/>
        </w:rPr>
        <w:t> %</w:t>
      </w:r>
      <w:r w:rsidR="00D3257F">
        <w:rPr>
          <w:rFonts w:cs="Arial"/>
          <w:szCs w:val="20"/>
        </w:rPr>
        <w:t>, zatímco</w:t>
      </w:r>
      <w:r w:rsidR="00F5224C">
        <w:rPr>
          <w:rFonts w:cs="Arial"/>
          <w:szCs w:val="20"/>
        </w:rPr>
        <w:t xml:space="preserve"> </w:t>
      </w:r>
      <w:r w:rsidRPr="00783940">
        <w:rPr>
          <w:rFonts w:cs="Arial"/>
          <w:szCs w:val="20"/>
        </w:rPr>
        <w:t xml:space="preserve">ceny služeb </w:t>
      </w:r>
      <w:r w:rsidR="00D3257F">
        <w:rPr>
          <w:rFonts w:cs="Arial"/>
          <w:szCs w:val="20"/>
        </w:rPr>
        <w:t>klesly</w:t>
      </w:r>
      <w:r w:rsidR="00054FCE">
        <w:rPr>
          <w:rFonts w:cs="Arial"/>
          <w:szCs w:val="20"/>
        </w:rPr>
        <w:t xml:space="preserve"> o</w:t>
      </w:r>
      <w:r w:rsidRPr="00783940">
        <w:rPr>
          <w:rFonts w:cs="Arial"/>
          <w:szCs w:val="20"/>
        </w:rPr>
        <w:t> </w:t>
      </w:r>
      <w:r w:rsidR="00DF34E3">
        <w:rPr>
          <w:rFonts w:cs="Arial"/>
          <w:szCs w:val="20"/>
        </w:rPr>
        <w:t>0</w:t>
      </w:r>
      <w:r w:rsidR="00B2665E">
        <w:rPr>
          <w:rFonts w:cs="Arial"/>
          <w:szCs w:val="20"/>
        </w:rPr>
        <w:t>,</w:t>
      </w:r>
      <w:r w:rsidR="00D3257F">
        <w:rPr>
          <w:rFonts w:cs="Arial"/>
          <w:szCs w:val="20"/>
        </w:rPr>
        <w:t>3</w:t>
      </w:r>
      <w:r w:rsidRPr="00783940">
        <w:rPr>
          <w:rFonts w:cs="Arial"/>
          <w:szCs w:val="20"/>
        </w:rPr>
        <w:t> %.</w:t>
      </w:r>
    </w:p>
    <w:p w:rsidR="007A6BAA" w:rsidRPr="00783940" w:rsidRDefault="007A6BAA" w:rsidP="007A6BAA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00280D" w:rsidRDefault="009649FB" w:rsidP="007A6BAA">
      <w:pPr>
        <w:spacing w:line="276" w:lineRule="auto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 w:rsidR="00EF5D4B"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 o </w:t>
      </w:r>
      <w:r w:rsidR="00EF5D4B">
        <w:rPr>
          <w:rFonts w:cs="Arial"/>
          <w:szCs w:val="20"/>
        </w:rPr>
        <w:t>3,0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 w:rsidR="00EF5D4B">
        <w:rPr>
          <w:rFonts w:cs="Arial"/>
          <w:szCs w:val="20"/>
        </w:rPr>
        <w:t>3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 w:rsidR="00EF5D4B">
        <w:rPr>
          <w:rFonts w:cs="Arial"/>
          <w:szCs w:val="20"/>
        </w:rPr>
        <w:t>únoru</w:t>
      </w:r>
      <w:r w:rsidRPr="00783940">
        <w:rPr>
          <w:rFonts w:cs="Arial"/>
          <w:szCs w:val="20"/>
        </w:rPr>
        <w:t xml:space="preserve">. </w:t>
      </w:r>
      <w:r w:rsidR="00B85AB4" w:rsidRPr="00B23C2C">
        <w:rPr>
          <w:rFonts w:cs="Arial"/>
          <w:szCs w:val="20"/>
        </w:rPr>
        <w:t xml:space="preserve">Zrychlení meziročního cenového růstu bylo ovlivněno </w:t>
      </w:r>
      <w:r w:rsidR="005D1E67">
        <w:rPr>
          <w:rFonts w:cs="Arial"/>
          <w:szCs w:val="20"/>
        </w:rPr>
        <w:t xml:space="preserve">především </w:t>
      </w:r>
      <w:r w:rsidR="006E1D2A">
        <w:rPr>
          <w:rFonts w:cs="Arial"/>
          <w:szCs w:val="20"/>
        </w:rPr>
        <w:t xml:space="preserve">vývojem </w:t>
      </w:r>
      <w:r w:rsidR="00B85AB4" w:rsidRPr="00B23C2C">
        <w:rPr>
          <w:rFonts w:cs="Arial"/>
          <w:szCs w:val="20"/>
        </w:rPr>
        <w:t>cen v</w:t>
      </w:r>
      <w:r w:rsidR="00B85AB4">
        <w:rPr>
          <w:rFonts w:cs="Arial"/>
          <w:szCs w:val="20"/>
        </w:rPr>
        <w:t> </w:t>
      </w:r>
      <w:r w:rsidR="00B85AB4" w:rsidRPr="00B23C2C">
        <w:rPr>
          <w:rFonts w:cs="Arial"/>
          <w:szCs w:val="20"/>
        </w:rPr>
        <w:t>oddíle potraviny a nealkoholické nápoje</w:t>
      </w:r>
      <w:r w:rsidR="006E1D2A">
        <w:rPr>
          <w:rFonts w:cs="Arial"/>
          <w:szCs w:val="20"/>
        </w:rPr>
        <w:t xml:space="preserve">. </w:t>
      </w:r>
      <w:r w:rsidR="00513217">
        <w:rPr>
          <w:rFonts w:cs="Arial"/>
          <w:szCs w:val="20"/>
        </w:rPr>
        <w:t>Ce</w:t>
      </w:r>
      <w:r w:rsidR="00054FCE">
        <w:rPr>
          <w:rFonts w:cs="Arial"/>
          <w:szCs w:val="20"/>
        </w:rPr>
        <w:t>ny brambor vzrostly o 74,5 % (v </w:t>
      </w:r>
      <w:r w:rsidR="00513217">
        <w:rPr>
          <w:rFonts w:cs="Arial"/>
          <w:szCs w:val="20"/>
        </w:rPr>
        <w:t xml:space="preserve">únoru o 67,2 %), </w:t>
      </w:r>
      <w:r w:rsidR="00CD0BC3">
        <w:rPr>
          <w:rFonts w:cs="Arial"/>
          <w:szCs w:val="20"/>
        </w:rPr>
        <w:t>pekárenskýc</w:t>
      </w:r>
      <w:r w:rsidR="00054FCE">
        <w:rPr>
          <w:rFonts w:cs="Arial"/>
          <w:szCs w:val="20"/>
        </w:rPr>
        <w:t>h výrobků a </w:t>
      </w:r>
      <w:r w:rsidR="00D37489">
        <w:rPr>
          <w:rFonts w:cs="Arial"/>
          <w:szCs w:val="20"/>
        </w:rPr>
        <w:t>obilovin o 3,3 % (v </w:t>
      </w:r>
      <w:r w:rsidR="00CD0BC3">
        <w:rPr>
          <w:rFonts w:cs="Arial"/>
          <w:szCs w:val="20"/>
        </w:rPr>
        <w:t>únoru o 1,9 %), más</w:t>
      </w:r>
      <w:r w:rsidR="00D549A4">
        <w:rPr>
          <w:rFonts w:cs="Arial"/>
          <w:szCs w:val="20"/>
        </w:rPr>
        <w:t>la o 8,6 % (</w:t>
      </w:r>
      <w:r w:rsidR="00054FCE">
        <w:rPr>
          <w:rFonts w:cs="Arial"/>
          <w:szCs w:val="20"/>
        </w:rPr>
        <w:t>v </w:t>
      </w:r>
      <w:r w:rsidR="00D549A4">
        <w:rPr>
          <w:rFonts w:cs="Arial"/>
          <w:szCs w:val="20"/>
        </w:rPr>
        <w:t>únoru o 4,0 %). U </w:t>
      </w:r>
      <w:r w:rsidR="00CD0BC3">
        <w:rPr>
          <w:rFonts w:cs="Arial"/>
          <w:szCs w:val="20"/>
        </w:rPr>
        <w:t xml:space="preserve">řady potravin došlo ke zmírnění jejich meziročního </w:t>
      </w:r>
      <w:r w:rsidR="00D549A4">
        <w:rPr>
          <w:rFonts w:cs="Arial"/>
          <w:szCs w:val="20"/>
        </w:rPr>
        <w:t xml:space="preserve">cenového </w:t>
      </w:r>
      <w:r w:rsidR="00CD0BC3">
        <w:rPr>
          <w:rFonts w:cs="Arial"/>
          <w:szCs w:val="20"/>
        </w:rPr>
        <w:t xml:space="preserve">poklesu. </w:t>
      </w:r>
      <w:r w:rsidR="00FB3ECF">
        <w:rPr>
          <w:rFonts w:cs="Arial"/>
          <w:szCs w:val="20"/>
        </w:rPr>
        <w:t>C</w:t>
      </w:r>
      <w:r w:rsidR="00D549A4">
        <w:rPr>
          <w:rFonts w:cs="Arial"/>
          <w:szCs w:val="20"/>
        </w:rPr>
        <w:t>eny vajec byly nižší o 8,1 % (v </w:t>
      </w:r>
      <w:r w:rsidR="00FB3ECF">
        <w:rPr>
          <w:rFonts w:cs="Arial"/>
          <w:szCs w:val="20"/>
        </w:rPr>
        <w:t>ún</w:t>
      </w:r>
      <w:r w:rsidR="00054FCE">
        <w:rPr>
          <w:rFonts w:cs="Arial"/>
          <w:szCs w:val="20"/>
        </w:rPr>
        <w:t>oru o 14,7 %), ovoce o 9,5 % (v </w:t>
      </w:r>
      <w:r w:rsidR="00FB3ECF">
        <w:rPr>
          <w:rFonts w:cs="Arial"/>
          <w:szCs w:val="20"/>
        </w:rPr>
        <w:t>úno</w:t>
      </w:r>
      <w:r w:rsidR="00054FCE">
        <w:rPr>
          <w:rFonts w:cs="Arial"/>
          <w:szCs w:val="20"/>
        </w:rPr>
        <w:t>ru o 11,8 %), cukru o 28,3 % (v </w:t>
      </w:r>
      <w:r w:rsidR="00FB3ECF">
        <w:rPr>
          <w:rFonts w:cs="Arial"/>
          <w:szCs w:val="20"/>
        </w:rPr>
        <w:t xml:space="preserve">únoru o 32,2 %). </w:t>
      </w:r>
      <w:r w:rsidR="00FB3ECF" w:rsidRPr="00864090">
        <w:rPr>
          <w:rFonts w:cs="Arial"/>
          <w:szCs w:val="20"/>
        </w:rPr>
        <w:t>Z</w:t>
      </w:r>
      <w:r w:rsidR="00FB3ECF">
        <w:rPr>
          <w:rFonts w:cs="Arial"/>
          <w:szCs w:val="20"/>
        </w:rPr>
        <w:t>rychlení</w:t>
      </w:r>
      <w:r w:rsidR="00FB3ECF" w:rsidRPr="00864090">
        <w:rPr>
          <w:rFonts w:cs="Arial"/>
          <w:szCs w:val="20"/>
        </w:rPr>
        <w:t xml:space="preserve"> meziročního cenového růstu nastalo </w:t>
      </w:r>
      <w:r w:rsidR="00FB3ECF">
        <w:rPr>
          <w:rFonts w:cs="Arial"/>
          <w:szCs w:val="20"/>
        </w:rPr>
        <w:t xml:space="preserve">též </w:t>
      </w:r>
      <w:r w:rsidR="00FB3ECF" w:rsidRPr="00864090">
        <w:rPr>
          <w:rFonts w:cs="Arial"/>
          <w:szCs w:val="20"/>
        </w:rPr>
        <w:t>v</w:t>
      </w:r>
      <w:r w:rsidR="00FB3ECF">
        <w:rPr>
          <w:rFonts w:cs="Arial"/>
          <w:szCs w:val="20"/>
        </w:rPr>
        <w:t> </w:t>
      </w:r>
      <w:r w:rsidR="00FB3ECF" w:rsidRPr="00864090">
        <w:rPr>
          <w:rFonts w:cs="Arial"/>
          <w:szCs w:val="20"/>
        </w:rPr>
        <w:t>oddíle</w:t>
      </w:r>
      <w:r w:rsidR="00054FCE">
        <w:rPr>
          <w:rFonts w:cs="Arial"/>
          <w:szCs w:val="20"/>
        </w:rPr>
        <w:t xml:space="preserve"> bydlení a </w:t>
      </w:r>
      <w:r w:rsidR="00FB3ECF">
        <w:rPr>
          <w:rFonts w:cs="Arial"/>
          <w:szCs w:val="20"/>
        </w:rPr>
        <w:t>v oddíle doprav</w:t>
      </w:r>
      <w:r w:rsidR="00741109">
        <w:rPr>
          <w:rFonts w:cs="Arial"/>
          <w:szCs w:val="20"/>
        </w:rPr>
        <w:t>a</w:t>
      </w:r>
      <w:r w:rsidR="00FB3ECF">
        <w:rPr>
          <w:rFonts w:cs="Arial"/>
          <w:szCs w:val="20"/>
        </w:rPr>
        <w:t xml:space="preserve">. V oddíle bydlení vzrostly ceny elektřiny </w:t>
      </w:r>
      <w:r w:rsidR="00D37489">
        <w:rPr>
          <w:rFonts w:cs="Arial"/>
          <w:szCs w:val="20"/>
        </w:rPr>
        <w:t>o 11,9 % (v </w:t>
      </w:r>
      <w:r w:rsidR="00FB3ECF">
        <w:rPr>
          <w:rFonts w:cs="Arial"/>
          <w:szCs w:val="20"/>
        </w:rPr>
        <w:t>únoru o 8,9 %), ceny tuhých paliv o 1,5 % (v únoru o 0,6 %),</w:t>
      </w:r>
      <w:r w:rsidR="00054FCE">
        <w:rPr>
          <w:rFonts w:cs="Arial"/>
          <w:szCs w:val="20"/>
        </w:rPr>
        <w:t xml:space="preserve"> tepla a </w:t>
      </w:r>
      <w:r w:rsidR="00D37489">
        <w:rPr>
          <w:rFonts w:cs="Arial"/>
          <w:szCs w:val="20"/>
        </w:rPr>
        <w:t>teplé vody o 4,5 % (v </w:t>
      </w:r>
      <w:r w:rsidR="00054FCE">
        <w:rPr>
          <w:rFonts w:cs="Arial"/>
          <w:szCs w:val="20"/>
        </w:rPr>
        <w:t>únoru o </w:t>
      </w:r>
      <w:r w:rsidR="00FB3ECF">
        <w:rPr>
          <w:rFonts w:cs="Arial"/>
          <w:szCs w:val="20"/>
        </w:rPr>
        <w:t xml:space="preserve">4,2 %). V oddíle doprava </w:t>
      </w:r>
      <w:r w:rsidR="00D37489">
        <w:rPr>
          <w:rFonts w:cs="Arial"/>
          <w:szCs w:val="20"/>
        </w:rPr>
        <w:t>zrychlily svůj růst ceny pohonných hmot a</w:t>
      </w:r>
      <w:r w:rsidR="00054FCE">
        <w:rPr>
          <w:rFonts w:cs="Arial"/>
          <w:szCs w:val="20"/>
        </w:rPr>
        <w:t> </w:t>
      </w:r>
      <w:r w:rsidR="00D37489">
        <w:rPr>
          <w:rFonts w:cs="Arial"/>
          <w:szCs w:val="20"/>
        </w:rPr>
        <w:t>olejů</w:t>
      </w:r>
      <w:r w:rsidR="00FB3ECF">
        <w:rPr>
          <w:rFonts w:cs="Arial"/>
          <w:szCs w:val="20"/>
        </w:rPr>
        <w:t xml:space="preserve"> </w:t>
      </w:r>
      <w:r w:rsidR="00D37489">
        <w:rPr>
          <w:rFonts w:cs="Arial"/>
          <w:szCs w:val="20"/>
        </w:rPr>
        <w:t>na 2,1 % (v únoru 0,1 %).</w:t>
      </w:r>
    </w:p>
    <w:p w:rsidR="00490E9C" w:rsidRDefault="00490E9C" w:rsidP="007A6BAA">
      <w:pPr>
        <w:spacing w:line="276" w:lineRule="auto"/>
        <w:rPr>
          <w:rFonts w:cs="Arial"/>
          <w:szCs w:val="20"/>
        </w:rPr>
      </w:pPr>
    </w:p>
    <w:p w:rsidR="007A6BAA" w:rsidRDefault="001F4411" w:rsidP="007A6BAA">
      <w:pPr>
        <w:spacing w:line="276" w:lineRule="auto"/>
      </w:pPr>
      <w:r w:rsidRPr="008A4A8C">
        <w:rPr>
          <w:rFonts w:cs="Arial"/>
          <w:szCs w:val="20"/>
        </w:rPr>
        <w:t xml:space="preserve">Na meziroční zvyšování cenové hladiny měly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 w:rsidR="004D426E">
        <w:t xml:space="preserve">, </w:t>
      </w:r>
      <w:r w:rsidR="004D426E" w:rsidRPr="00783940">
        <w:t xml:space="preserve">kde se zvýšily ceny nájemného </w:t>
      </w:r>
      <w:r w:rsidR="004D426E">
        <w:t>z bytu o 3,</w:t>
      </w:r>
      <w:r w:rsidR="000B6FB9">
        <w:t>6</w:t>
      </w:r>
      <w:r w:rsidR="004D426E">
        <w:t xml:space="preserve"> %, </w:t>
      </w:r>
      <w:r w:rsidR="004D426E" w:rsidRPr="00256600">
        <w:t xml:space="preserve">vodného </w:t>
      </w:r>
      <w:r w:rsidR="004D426E">
        <w:t>a</w:t>
      </w:r>
      <w:r w:rsidR="006E2B00">
        <w:t> </w:t>
      </w:r>
      <w:r w:rsidR="004D426E" w:rsidRPr="00303B5D">
        <w:t xml:space="preserve">stočného </w:t>
      </w:r>
      <w:r w:rsidR="004D426E">
        <w:t xml:space="preserve">shodně </w:t>
      </w:r>
      <w:r w:rsidR="004D426E" w:rsidRPr="00303B5D">
        <w:t>o </w:t>
      </w:r>
      <w:r w:rsidR="004D426E">
        <w:t>2,6</w:t>
      </w:r>
      <w:r w:rsidR="004D426E" w:rsidRPr="00303B5D">
        <w:t> %</w:t>
      </w:r>
      <w:r w:rsidR="000B6FB9">
        <w:t>, zemního plynu o 3,6 %</w:t>
      </w:r>
      <w:r w:rsidRPr="008A4A8C">
        <w:t>.</w:t>
      </w:r>
      <w:r w:rsidR="000B6FB9">
        <w:t xml:space="preserve"> Další</w:t>
      </w:r>
      <w:r>
        <w:rPr>
          <w:i/>
        </w:rPr>
        <w:t xml:space="preserve"> </w:t>
      </w:r>
      <w:r w:rsidR="000B6FB9" w:rsidRPr="000B6FB9">
        <w:t xml:space="preserve">v pořadí vlivu byly ceny v oddíle </w:t>
      </w:r>
      <w:r w:rsidR="000B6FB9" w:rsidRPr="000B6FB9">
        <w:rPr>
          <w:rFonts w:cs="Arial"/>
          <w:szCs w:val="20"/>
        </w:rPr>
        <w:t>potraviny</w:t>
      </w:r>
      <w:r w:rsidR="000B6FB9">
        <w:rPr>
          <w:rFonts w:cs="Arial"/>
          <w:szCs w:val="20"/>
        </w:rPr>
        <w:t xml:space="preserve"> a nealkoholické nápoje</w:t>
      </w:r>
      <w:r w:rsidR="00BF41C3">
        <w:rPr>
          <w:rFonts w:cs="Arial"/>
          <w:szCs w:val="20"/>
        </w:rPr>
        <w:t xml:space="preserve"> (nárůst o 1,9 %).</w:t>
      </w:r>
      <w:r w:rsidR="000B6FB9">
        <w:t xml:space="preserve"> </w:t>
      </w:r>
      <w:r w:rsidR="00454362">
        <w:t xml:space="preserve">V oddíle </w:t>
      </w:r>
      <w:r w:rsidR="00454362" w:rsidRPr="00B650AB">
        <w:t>alkoholické nápoje</w:t>
      </w:r>
      <w:r w:rsidR="00755F39">
        <w:t>,</w:t>
      </w:r>
      <w:r w:rsidR="006E2B00">
        <w:t xml:space="preserve"> </w:t>
      </w:r>
      <w:r w:rsidR="00454362" w:rsidRPr="00B650AB">
        <w:t>tabák</w:t>
      </w:r>
      <w:r w:rsidR="006E2B00">
        <w:t xml:space="preserve"> </w:t>
      </w:r>
      <w:r w:rsidR="00454362">
        <w:t>byly vyšší ceny lihovin o </w:t>
      </w:r>
      <w:r w:rsidR="00BF41C3">
        <w:t>5,</w:t>
      </w:r>
      <w:r w:rsidR="00454362">
        <w:t xml:space="preserve">4 %, </w:t>
      </w:r>
      <w:r w:rsidR="00BF41C3">
        <w:t xml:space="preserve">vína o 3,3 %, </w:t>
      </w:r>
      <w:r w:rsidR="00454362">
        <w:t>piva</w:t>
      </w:r>
      <w:r w:rsidR="006E2B00">
        <w:t xml:space="preserve"> o</w:t>
      </w:r>
      <w:r w:rsidR="00054FCE">
        <w:t> </w:t>
      </w:r>
      <w:r w:rsidR="00BF41C3">
        <w:t>4,</w:t>
      </w:r>
      <w:r w:rsidR="006E2B00">
        <w:t>2 %</w:t>
      </w:r>
      <w:r w:rsidR="00F9324E">
        <w:t xml:space="preserve"> a </w:t>
      </w:r>
      <w:r w:rsidR="00BF41C3">
        <w:t xml:space="preserve">tabákových výrobků </w:t>
      </w:r>
      <w:r w:rsidR="004D426E">
        <w:t>o </w:t>
      </w:r>
      <w:r w:rsidR="00454362">
        <w:t>3</w:t>
      </w:r>
      <w:r w:rsidR="00BF41C3">
        <w:t>,1</w:t>
      </w:r>
      <w:r w:rsidR="00454362">
        <w:t> %</w:t>
      </w:r>
      <w:r>
        <w:t xml:space="preserve">. </w:t>
      </w:r>
      <w:r>
        <w:rPr>
          <w:rFonts w:cs="Arial"/>
          <w:szCs w:val="20"/>
        </w:rPr>
        <w:t>Vliv na zvýšení cenové hladiny měly také ceny</w:t>
      </w:r>
      <w:r>
        <w:t xml:space="preserve"> </w:t>
      </w:r>
      <w:r w:rsidR="007A6BAA">
        <w:t>v</w:t>
      </w:r>
      <w:r w:rsidR="007A6BAA" w:rsidRPr="00F9149D">
        <w:rPr>
          <w:rFonts w:cs="Arial"/>
          <w:szCs w:val="20"/>
        </w:rPr>
        <w:t xml:space="preserve"> oddíle </w:t>
      </w:r>
      <w:r w:rsidR="007A6BAA">
        <w:rPr>
          <w:rFonts w:cs="Arial"/>
          <w:szCs w:val="20"/>
        </w:rPr>
        <w:t>ostatní zboží a </w:t>
      </w:r>
      <w:r w:rsidR="007A6BAA" w:rsidRPr="00F9149D">
        <w:rPr>
          <w:rFonts w:cs="Arial"/>
          <w:szCs w:val="20"/>
        </w:rPr>
        <w:t>služby</w:t>
      </w:r>
      <w:r w:rsidR="007A6BAA">
        <w:rPr>
          <w:rFonts w:cs="Arial"/>
          <w:szCs w:val="20"/>
        </w:rPr>
        <w:t>, kde vzrostly ceny výrobků a služeb pro osobní péči o </w:t>
      </w:r>
      <w:r w:rsidR="00454362">
        <w:rPr>
          <w:rFonts w:cs="Arial"/>
          <w:szCs w:val="20"/>
        </w:rPr>
        <w:t>4,</w:t>
      </w:r>
      <w:r w:rsidR="00BF41C3">
        <w:rPr>
          <w:rFonts w:cs="Arial"/>
          <w:szCs w:val="20"/>
        </w:rPr>
        <w:t>1</w:t>
      </w:r>
      <w:r w:rsidR="007A6BAA">
        <w:rPr>
          <w:rFonts w:cs="Arial"/>
          <w:szCs w:val="20"/>
        </w:rPr>
        <w:t> %,</w:t>
      </w:r>
      <w:r w:rsidR="007A6BAA" w:rsidRPr="00F9149D">
        <w:rPr>
          <w:rFonts w:cs="Arial"/>
          <w:szCs w:val="20"/>
        </w:rPr>
        <w:t xml:space="preserve"> </w:t>
      </w:r>
      <w:r w:rsidR="00AA6246" w:rsidRPr="00FC7031">
        <w:rPr>
          <w:rFonts w:cs="Arial"/>
          <w:szCs w:val="20"/>
        </w:rPr>
        <w:t xml:space="preserve">ceny </w:t>
      </w:r>
      <w:r w:rsidR="007A6BAA" w:rsidRPr="00FC7031">
        <w:rPr>
          <w:rFonts w:cs="Arial"/>
          <w:szCs w:val="20"/>
        </w:rPr>
        <w:t>pojištění</w:t>
      </w:r>
      <w:r w:rsidR="007A6BAA" w:rsidRPr="00F9149D">
        <w:rPr>
          <w:rFonts w:cs="Arial"/>
          <w:szCs w:val="20"/>
        </w:rPr>
        <w:t xml:space="preserve"> </w:t>
      </w:r>
      <w:r w:rsidR="007A6BAA">
        <w:rPr>
          <w:rFonts w:cs="Arial"/>
          <w:szCs w:val="20"/>
        </w:rPr>
        <w:t xml:space="preserve">a finančních služeb </w:t>
      </w:r>
      <w:r w:rsidR="00BF41C3">
        <w:rPr>
          <w:rFonts w:cs="Arial"/>
          <w:szCs w:val="20"/>
        </w:rPr>
        <w:t xml:space="preserve">shodně </w:t>
      </w:r>
      <w:r w:rsidR="007A6BAA">
        <w:rPr>
          <w:rFonts w:cs="Arial"/>
          <w:szCs w:val="20"/>
        </w:rPr>
        <w:t>o 4,</w:t>
      </w:r>
      <w:r w:rsidR="00BF41C3">
        <w:rPr>
          <w:rFonts w:cs="Arial"/>
          <w:szCs w:val="20"/>
        </w:rPr>
        <w:t>8</w:t>
      </w:r>
      <w:r w:rsidR="007A6BAA" w:rsidRPr="00F9149D">
        <w:rPr>
          <w:rFonts w:cs="Arial"/>
          <w:szCs w:val="20"/>
        </w:rPr>
        <w:t> %.</w:t>
      </w:r>
      <w:r w:rsidR="007A6BAA">
        <w:rPr>
          <w:rFonts w:cs="Arial"/>
          <w:szCs w:val="20"/>
        </w:rPr>
        <w:t xml:space="preserve"> V oddíle stravování a ubytování se zvýšily ceny stravovacích služeb o </w:t>
      </w:r>
      <w:r w:rsidR="00454362">
        <w:rPr>
          <w:rFonts w:cs="Arial"/>
          <w:szCs w:val="20"/>
        </w:rPr>
        <w:t>4,</w:t>
      </w:r>
      <w:r w:rsidR="00BF41C3">
        <w:rPr>
          <w:rFonts w:cs="Arial"/>
          <w:szCs w:val="20"/>
        </w:rPr>
        <w:t>0</w:t>
      </w:r>
      <w:r w:rsidR="007A6BAA">
        <w:rPr>
          <w:rFonts w:cs="Arial"/>
          <w:szCs w:val="20"/>
        </w:rPr>
        <w:t> % a ceny ubytovacích služeb o </w:t>
      </w:r>
      <w:r>
        <w:rPr>
          <w:rFonts w:cs="Arial"/>
          <w:szCs w:val="20"/>
        </w:rPr>
        <w:t>2,</w:t>
      </w:r>
      <w:r w:rsidR="00BF41C3">
        <w:rPr>
          <w:rFonts w:cs="Arial"/>
          <w:szCs w:val="20"/>
        </w:rPr>
        <w:t>9</w:t>
      </w:r>
      <w:r w:rsidR="007A6BAA">
        <w:rPr>
          <w:rFonts w:cs="Arial"/>
          <w:szCs w:val="20"/>
        </w:rPr>
        <w:t> %.</w:t>
      </w:r>
    </w:p>
    <w:p w:rsidR="00B54FEE" w:rsidRDefault="00012EF8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lastRenderedPageBreak/>
        <w:t>Na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>
        <w:rPr>
          <w:rFonts w:eastAsia="Calibri"/>
          <w:i w:val="0"/>
          <w:iCs w:val="0"/>
          <w:sz w:val="20"/>
          <w:szCs w:val="22"/>
        </w:rPr>
        <w:t>v </w:t>
      </w:r>
      <w:r w:rsidR="00F9324E">
        <w:rPr>
          <w:rFonts w:eastAsia="Calibri"/>
          <w:i w:val="0"/>
          <w:iCs w:val="0"/>
          <w:sz w:val="20"/>
          <w:szCs w:val="22"/>
        </w:rPr>
        <w:t>březnu</w:t>
      </w:r>
      <w:r>
        <w:rPr>
          <w:rFonts w:eastAsia="Calibri"/>
          <w:i w:val="0"/>
          <w:iCs w:val="0"/>
          <w:sz w:val="20"/>
          <w:szCs w:val="22"/>
        </w:rPr>
        <w:t xml:space="preserve"> nadále </w:t>
      </w:r>
      <w:r w:rsidRPr="00432CD2">
        <w:rPr>
          <w:rFonts w:eastAsia="Calibri"/>
          <w:i w:val="0"/>
          <w:iCs w:val="0"/>
          <w:sz w:val="20"/>
          <w:szCs w:val="22"/>
        </w:rPr>
        <w:t>působil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>
        <w:rPr>
          <w:rFonts w:eastAsia="Calibri"/>
          <w:i w:val="0"/>
          <w:iCs w:val="0"/>
          <w:sz w:val="20"/>
          <w:szCs w:val="22"/>
        </w:rPr>
        <w:t>odívání a obuv</w:t>
      </w:r>
      <w:r w:rsidR="00F9324E">
        <w:rPr>
          <w:rFonts w:eastAsia="Calibri"/>
          <w:i w:val="0"/>
          <w:iCs w:val="0"/>
          <w:sz w:val="20"/>
          <w:szCs w:val="22"/>
        </w:rPr>
        <w:t xml:space="preserve"> vlivem cen oděvů, které byly nižší o 3,2 %.</w:t>
      </w:r>
      <w:r w:rsidR="00C707CD">
        <w:rPr>
          <w:rFonts w:eastAsia="Calibri"/>
          <w:i w:val="0"/>
          <w:iCs w:val="0"/>
          <w:sz w:val="20"/>
          <w:szCs w:val="22"/>
        </w:rPr>
        <w:t xml:space="preserve"> </w:t>
      </w:r>
      <w:r w:rsidR="00F9324E">
        <w:rPr>
          <w:rFonts w:eastAsia="Calibri"/>
          <w:i w:val="0"/>
          <w:iCs w:val="0"/>
          <w:sz w:val="20"/>
          <w:szCs w:val="22"/>
        </w:rPr>
        <w:t>C</w:t>
      </w:r>
      <w:r w:rsidR="00B11401">
        <w:rPr>
          <w:rFonts w:eastAsia="Calibri"/>
          <w:i w:val="0"/>
          <w:iCs w:val="0"/>
          <w:sz w:val="20"/>
          <w:szCs w:val="22"/>
        </w:rPr>
        <w:t xml:space="preserve">eny </w:t>
      </w:r>
      <w:r w:rsidR="00C707CD">
        <w:rPr>
          <w:rFonts w:eastAsia="Calibri"/>
          <w:i w:val="0"/>
          <w:iCs w:val="0"/>
          <w:sz w:val="20"/>
          <w:szCs w:val="22"/>
        </w:rPr>
        <w:t>v</w:t>
      </w:r>
      <w:r w:rsidR="006E2B00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 xml:space="preserve">oddíle </w:t>
      </w:r>
      <w:r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F9324E">
        <w:rPr>
          <w:rFonts w:eastAsia="Calibri"/>
          <w:i w:val="0"/>
          <w:iCs w:val="0"/>
          <w:sz w:val="20"/>
          <w:szCs w:val="22"/>
        </w:rPr>
        <w:t>klesly o 1,2 %.</w:t>
      </w:r>
    </w:p>
    <w:p w:rsidR="00012EF8" w:rsidRDefault="00012EF8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DF34E3">
        <w:rPr>
          <w:rFonts w:cs="Arial"/>
          <w:i w:val="0"/>
          <w:sz w:val="20"/>
          <w:szCs w:val="20"/>
        </w:rPr>
        <w:t>2,</w:t>
      </w:r>
      <w:r w:rsidR="00D3257F">
        <w:rPr>
          <w:rFonts w:cs="Arial"/>
          <w:i w:val="0"/>
          <w:sz w:val="20"/>
          <w:szCs w:val="20"/>
        </w:rPr>
        <w:t>6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</w:t>
      </w:r>
      <w:r w:rsidR="00D3257F">
        <w:rPr>
          <w:rFonts w:cs="Arial"/>
          <w:i w:val="0"/>
          <w:sz w:val="20"/>
          <w:szCs w:val="20"/>
        </w:rPr>
        <w:t>7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Ú</w:t>
      </w:r>
      <w:r w:rsidRPr="00D554D7">
        <w:rPr>
          <w:rFonts w:cs="Arial"/>
          <w:i w:val="0"/>
          <w:sz w:val="20"/>
          <w:szCs w:val="20"/>
        </w:rPr>
        <w:t xml:space="preserve">hrnný index spotřebitelských cen bez započtení 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Pr="0091664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meziročně </w:t>
      </w:r>
      <w:r w:rsidR="00B2665E">
        <w:rPr>
          <w:rFonts w:cs="Arial"/>
          <w:i w:val="0"/>
          <w:sz w:val="20"/>
          <w:szCs w:val="20"/>
        </w:rPr>
        <w:t>102,</w:t>
      </w:r>
      <w:r w:rsidR="00D3257F">
        <w:rPr>
          <w:rFonts w:cs="Arial"/>
          <w:i w:val="0"/>
          <w:sz w:val="20"/>
          <w:szCs w:val="20"/>
        </w:rPr>
        <w:t>6</w:t>
      </w:r>
      <w:r w:rsidRPr="0091664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E167E" w:rsidRPr="00576E20" w:rsidRDefault="00AE167E" w:rsidP="00AE167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</w:t>
      </w:r>
      <w:r w:rsidR="006E2B0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průměru předchozích 12 měsíců byla v </w:t>
      </w:r>
      <w:r w:rsidR="00D3257F">
        <w:rPr>
          <w:rFonts w:cs="Arial"/>
          <w:i w:val="0"/>
          <w:sz w:val="20"/>
          <w:szCs w:val="20"/>
        </w:rPr>
        <w:t>březnu</w:t>
      </w:r>
      <w:r>
        <w:rPr>
          <w:rFonts w:cs="Arial"/>
          <w:i w:val="0"/>
          <w:sz w:val="20"/>
          <w:szCs w:val="20"/>
        </w:rPr>
        <w:t> 2,</w:t>
      </w:r>
      <w:r w:rsidR="00D3257F">
        <w:rPr>
          <w:rFonts w:cs="Arial"/>
          <w:i w:val="0"/>
          <w:sz w:val="20"/>
          <w:szCs w:val="20"/>
        </w:rPr>
        <w:t>4</w:t>
      </w:r>
      <w:r w:rsidRPr="00576E2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</w:t>
      </w:r>
      <w:r w:rsidR="00D3257F">
        <w:rPr>
          <w:rFonts w:cs="Arial"/>
          <w:b/>
          <w:sz w:val="20"/>
          <w:szCs w:val="20"/>
        </w:rPr>
        <w:t>únoru</w:t>
      </w:r>
      <w:r>
        <w:rPr>
          <w:rFonts w:cs="Arial"/>
          <w:b/>
          <w:sz w:val="20"/>
          <w:szCs w:val="20"/>
        </w:rPr>
        <w:t xml:space="preserve"> </w:t>
      </w:r>
      <w:r w:rsidR="006A581C">
        <w:rPr>
          <w:rFonts w:cs="Arial"/>
          <w:sz w:val="20"/>
          <w:szCs w:val="20"/>
        </w:rPr>
        <w:t>1,</w:t>
      </w:r>
      <w:r w:rsidR="00D3257F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</w:t>
      </w:r>
      <w:r w:rsidR="0008092D">
        <w:rPr>
          <w:rFonts w:cs="Arial"/>
          <w:sz w:val="20"/>
          <w:szCs w:val="20"/>
        </w:rPr>
        <w:t>1</w:t>
      </w:r>
      <w:r w:rsidRPr="0077017F">
        <w:rPr>
          <w:rFonts w:cs="Arial"/>
          <w:sz w:val="20"/>
          <w:szCs w:val="20"/>
        </w:rPr>
        <w:t xml:space="preserve"> procentního bodu </w:t>
      </w:r>
      <w:r w:rsidR="00D3257F">
        <w:rPr>
          <w:rFonts w:cs="Arial"/>
          <w:sz w:val="20"/>
          <w:szCs w:val="20"/>
        </w:rPr>
        <w:t>více</w:t>
      </w:r>
      <w:r>
        <w:rPr>
          <w:rFonts w:cs="Arial"/>
          <w:sz w:val="20"/>
          <w:szCs w:val="20"/>
        </w:rPr>
        <w:t xml:space="preserve"> než </w:t>
      </w:r>
      <w:r w:rsidR="00D454CC">
        <w:rPr>
          <w:rFonts w:cs="Arial"/>
          <w:sz w:val="20"/>
          <w:szCs w:val="20"/>
        </w:rPr>
        <w:t>v </w:t>
      </w:r>
      <w:r w:rsidR="00D3257F">
        <w:rPr>
          <w:rFonts w:cs="Arial"/>
          <w:sz w:val="20"/>
          <w:szCs w:val="20"/>
        </w:rPr>
        <w:t>lednu</w:t>
      </w:r>
      <w:r>
        <w:rPr>
          <w:rFonts w:cs="Arial"/>
          <w:sz w:val="20"/>
          <w:szCs w:val="20"/>
        </w:rPr>
        <w:t xml:space="preserve">.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</w:t>
      </w:r>
      <w:r w:rsidR="0008092D"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</w:t>
      </w:r>
      <w:r w:rsidR="00414172">
        <w:rPr>
          <w:rFonts w:cs="Arial"/>
          <w:bCs/>
          <w:sz w:val="20"/>
          <w:szCs w:val="22"/>
        </w:rPr>
        <w:t>4,0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nejméně v</w:t>
      </w:r>
      <w:r w:rsidR="0008092D">
        <w:rPr>
          <w:rFonts w:cs="Arial"/>
          <w:sz w:val="20"/>
          <w:szCs w:val="20"/>
        </w:rPr>
        <w:t> </w:t>
      </w:r>
      <w:r w:rsidR="00414172">
        <w:rPr>
          <w:rFonts w:cs="Arial"/>
          <w:sz w:val="20"/>
          <w:szCs w:val="20"/>
        </w:rPr>
        <w:t>Irsku</w:t>
      </w:r>
      <w:r w:rsidR="000809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(o 0,</w:t>
      </w:r>
      <w:r w:rsidR="00414172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 w:rsidR="00414172">
        <w:rPr>
          <w:rFonts w:cs="Arial"/>
          <w:bCs/>
          <w:sz w:val="20"/>
          <w:szCs w:val="22"/>
        </w:rPr>
        <w:t>únoru</w:t>
      </w:r>
      <w:r w:rsidRPr="006F3483">
        <w:rPr>
          <w:rFonts w:cs="Arial"/>
          <w:bCs/>
          <w:sz w:val="20"/>
          <w:szCs w:val="22"/>
        </w:rPr>
        <w:t xml:space="preserve"> </w:t>
      </w:r>
      <w:r w:rsidR="0008092D">
        <w:rPr>
          <w:rFonts w:cs="Arial"/>
          <w:bCs/>
          <w:sz w:val="20"/>
          <w:szCs w:val="22"/>
        </w:rPr>
        <w:t>zrychlil</w:t>
      </w:r>
      <w:r w:rsidRPr="006F3483">
        <w:rPr>
          <w:rFonts w:cs="Arial"/>
          <w:bCs/>
          <w:sz w:val="20"/>
          <w:szCs w:val="22"/>
        </w:rPr>
        <w:t xml:space="preserve"> na </w:t>
      </w:r>
      <w:r w:rsidR="0008092D">
        <w:rPr>
          <w:rFonts w:cs="Arial"/>
          <w:bCs/>
          <w:sz w:val="20"/>
          <w:szCs w:val="22"/>
        </w:rPr>
        <w:t>2,</w:t>
      </w:r>
      <w:r w:rsidR="00414172">
        <w:rPr>
          <w:rFonts w:cs="Arial"/>
          <w:bCs/>
          <w:sz w:val="20"/>
          <w:szCs w:val="22"/>
        </w:rPr>
        <w:t>3</w:t>
      </w:r>
      <w:r w:rsidRPr="006F3483">
        <w:rPr>
          <w:rFonts w:cs="Arial"/>
          <w:bCs/>
          <w:sz w:val="20"/>
          <w:szCs w:val="22"/>
        </w:rPr>
        <w:t> % z</w:t>
      </w:r>
      <w:r w:rsidR="00414172">
        <w:rPr>
          <w:rFonts w:cs="Arial"/>
          <w:bCs/>
          <w:sz w:val="20"/>
          <w:szCs w:val="22"/>
        </w:rPr>
        <w:t> 2,2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</w:t>
      </w:r>
      <w:r w:rsidR="00414172">
        <w:rPr>
          <w:rFonts w:cs="Arial"/>
          <w:bCs/>
          <w:sz w:val="20"/>
          <w:szCs w:val="22"/>
        </w:rPr>
        <w:t>lednu</w:t>
      </w:r>
      <w:r>
        <w:rPr>
          <w:rFonts w:cs="Arial"/>
          <w:bCs/>
          <w:sz w:val="20"/>
          <w:szCs w:val="22"/>
        </w:rPr>
        <w:t>.</w:t>
      </w:r>
      <w:r w:rsidRPr="005649DF">
        <w:rPr>
          <w:rFonts w:cs="Arial"/>
          <w:sz w:val="20"/>
          <w:szCs w:val="20"/>
        </w:rPr>
        <w:t xml:space="preserve"> </w:t>
      </w:r>
      <w:r w:rsidR="00822146" w:rsidRPr="006F3483">
        <w:rPr>
          <w:rFonts w:cs="Arial"/>
          <w:bCs/>
          <w:sz w:val="20"/>
          <w:szCs w:val="22"/>
        </w:rPr>
        <w:t>V Německu</w:t>
      </w:r>
      <w:r w:rsidR="00822146" w:rsidRPr="005649DF">
        <w:rPr>
          <w:rFonts w:cs="Arial"/>
          <w:sz w:val="20"/>
          <w:szCs w:val="20"/>
        </w:rPr>
        <w:t xml:space="preserve"> </w:t>
      </w:r>
      <w:r w:rsidR="00822146">
        <w:rPr>
          <w:rFonts w:cs="Arial"/>
          <w:sz w:val="20"/>
          <w:szCs w:val="20"/>
        </w:rPr>
        <w:t>byly ceny v </w:t>
      </w:r>
      <w:r w:rsidR="00C049EA">
        <w:rPr>
          <w:rFonts w:cs="Arial"/>
          <w:sz w:val="20"/>
          <w:szCs w:val="20"/>
        </w:rPr>
        <w:t>lednu</w:t>
      </w:r>
      <w:r w:rsidR="00822146">
        <w:rPr>
          <w:rFonts w:cs="Arial"/>
          <w:sz w:val="20"/>
          <w:szCs w:val="20"/>
        </w:rPr>
        <w:t xml:space="preserve"> i v </w:t>
      </w:r>
      <w:r w:rsidR="00C049EA">
        <w:rPr>
          <w:rFonts w:cs="Arial"/>
          <w:sz w:val="20"/>
          <w:szCs w:val="20"/>
        </w:rPr>
        <w:t>únoru</w:t>
      </w:r>
      <w:r w:rsidR="00822146">
        <w:rPr>
          <w:rFonts w:cs="Arial"/>
          <w:sz w:val="20"/>
          <w:szCs w:val="20"/>
        </w:rPr>
        <w:t xml:space="preserve"> vyšší</w:t>
      </w:r>
      <w:r w:rsidR="00822146" w:rsidRPr="005649DF">
        <w:rPr>
          <w:rFonts w:cs="Arial"/>
          <w:sz w:val="20"/>
          <w:szCs w:val="20"/>
        </w:rPr>
        <w:t xml:space="preserve"> o </w:t>
      </w:r>
      <w:r w:rsidR="00822146">
        <w:rPr>
          <w:rFonts w:cs="Arial"/>
          <w:sz w:val="20"/>
          <w:szCs w:val="20"/>
        </w:rPr>
        <w:t>1,7</w:t>
      </w:r>
      <w:r w:rsidR="00822146" w:rsidRPr="005649DF">
        <w:rPr>
          <w:rFonts w:cs="Arial"/>
          <w:sz w:val="20"/>
          <w:szCs w:val="20"/>
        </w:rPr>
        <w:t> %.</w:t>
      </w:r>
      <w:r w:rsidR="00822146">
        <w:rPr>
          <w:rFonts w:cs="Arial"/>
          <w:sz w:val="20"/>
          <w:szCs w:val="20"/>
        </w:rPr>
        <w:t xml:space="preserve"> </w:t>
      </w:r>
      <w:r w:rsidR="00864090" w:rsidRPr="003533D0">
        <w:rPr>
          <w:rFonts w:cs="Arial"/>
          <w:sz w:val="20"/>
          <w:szCs w:val="20"/>
        </w:rPr>
        <w:t xml:space="preserve">Podle </w:t>
      </w:r>
      <w:r w:rsidR="00864090" w:rsidRPr="004A212A">
        <w:rPr>
          <w:rFonts w:cs="Arial"/>
          <w:sz w:val="20"/>
          <w:szCs w:val="20"/>
        </w:rPr>
        <w:t>předběžných</w:t>
      </w:r>
      <w:r w:rsidR="00864090" w:rsidRPr="004875C1">
        <w:rPr>
          <w:rFonts w:cs="Arial"/>
          <w:sz w:val="20"/>
          <w:szCs w:val="20"/>
        </w:rPr>
        <w:t xml:space="preserve"> výpočtů </w:t>
      </w:r>
      <w:r w:rsidR="00864090">
        <w:rPr>
          <w:rFonts w:cs="Arial"/>
          <w:sz w:val="20"/>
          <w:szCs w:val="20"/>
        </w:rPr>
        <w:t>byl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b/>
          <w:sz w:val="20"/>
          <w:szCs w:val="20"/>
        </w:rPr>
        <w:t>v </w:t>
      </w:r>
      <w:r w:rsidR="00C049EA">
        <w:rPr>
          <w:rFonts w:cs="Arial"/>
          <w:b/>
          <w:sz w:val="20"/>
          <w:szCs w:val="20"/>
        </w:rPr>
        <w:t>březnu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DF3823">
        <w:rPr>
          <w:rFonts w:cs="Arial"/>
          <w:b/>
          <w:sz w:val="20"/>
          <w:szCs w:val="20"/>
        </w:rPr>
        <w:t xml:space="preserve">meziměsíční </w:t>
      </w:r>
      <w:r w:rsidR="00864090">
        <w:rPr>
          <w:rFonts w:cs="Arial"/>
          <w:b/>
          <w:sz w:val="20"/>
          <w:szCs w:val="20"/>
        </w:rPr>
        <w:t>přírůstek</w:t>
      </w:r>
      <w:r w:rsidR="00864090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sz w:val="20"/>
          <w:szCs w:val="20"/>
        </w:rPr>
        <w:t>HICP v</w:t>
      </w:r>
      <w:r w:rsidR="00864090">
        <w:rPr>
          <w:rFonts w:cs="Arial"/>
          <w:sz w:val="20"/>
          <w:szCs w:val="20"/>
        </w:rPr>
        <w:t> </w:t>
      </w:r>
      <w:r w:rsidR="00864090" w:rsidRPr="008A7701">
        <w:rPr>
          <w:rFonts w:cs="Arial"/>
          <w:sz w:val="20"/>
          <w:szCs w:val="20"/>
        </w:rPr>
        <w:t>ČR 0</w:t>
      </w:r>
      <w:r w:rsidR="00432DB2" w:rsidRPr="008A7701">
        <w:rPr>
          <w:rFonts w:cs="Arial"/>
          <w:sz w:val="20"/>
          <w:szCs w:val="20"/>
        </w:rPr>
        <w:t>,</w:t>
      </w:r>
      <w:r w:rsidR="008A7701" w:rsidRPr="008A7701">
        <w:rPr>
          <w:rFonts w:cs="Arial"/>
          <w:sz w:val="20"/>
          <w:szCs w:val="20"/>
        </w:rPr>
        <w:t>2</w:t>
      </w:r>
      <w:r w:rsidR="00864090" w:rsidRPr="008A7701">
        <w:rPr>
          <w:rFonts w:cs="Arial"/>
          <w:sz w:val="20"/>
          <w:szCs w:val="20"/>
        </w:rPr>
        <w:t> % a </w:t>
      </w:r>
      <w:r w:rsidR="00864090" w:rsidRPr="008A7701">
        <w:rPr>
          <w:rFonts w:cs="Arial"/>
          <w:b/>
          <w:sz w:val="20"/>
          <w:szCs w:val="20"/>
        </w:rPr>
        <w:t xml:space="preserve">meziroční </w:t>
      </w:r>
      <w:r w:rsidR="00864090" w:rsidRPr="008A7701">
        <w:rPr>
          <w:rFonts w:cs="Arial"/>
          <w:sz w:val="20"/>
          <w:szCs w:val="20"/>
        </w:rPr>
        <w:t>2,</w:t>
      </w:r>
      <w:r w:rsidR="008A7701" w:rsidRPr="008A7701">
        <w:rPr>
          <w:rFonts w:cs="Arial"/>
          <w:sz w:val="20"/>
          <w:szCs w:val="20"/>
        </w:rPr>
        <w:t>6</w:t>
      </w:r>
      <w:r w:rsidR="00864090" w:rsidRPr="008A7701">
        <w:rPr>
          <w:rFonts w:cs="Arial"/>
          <w:sz w:val="20"/>
          <w:szCs w:val="20"/>
        </w:rPr>
        <w:t xml:space="preserve"> %. </w:t>
      </w:r>
      <w:r w:rsidRPr="008A7701">
        <w:rPr>
          <w:rFonts w:cs="Arial"/>
          <w:sz w:val="20"/>
          <w:szCs w:val="20"/>
        </w:rPr>
        <w:t>Bleskový</w:t>
      </w:r>
      <w:r w:rsidRPr="00721B1D">
        <w:rPr>
          <w:rFonts w:cs="Arial"/>
          <w:sz w:val="20"/>
          <w:szCs w:val="20"/>
        </w:rPr>
        <w:t xml:space="preserve">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Pr="00721B1D">
        <w:rPr>
          <w:rFonts w:cs="Arial"/>
          <w:b/>
          <w:bCs/>
          <w:sz w:val="20"/>
          <w:szCs w:val="20"/>
        </w:rPr>
        <w:t> </w:t>
      </w:r>
      <w:proofErr w:type="spellStart"/>
      <w:r w:rsidRPr="00721B1D">
        <w:rPr>
          <w:rFonts w:cs="Arial"/>
          <w:b/>
          <w:bCs/>
          <w:sz w:val="20"/>
          <w:szCs w:val="20"/>
        </w:rPr>
        <w:t>eur</w:t>
      </w:r>
      <w:r w:rsidRPr="004A212A">
        <w:rPr>
          <w:rFonts w:cs="Arial"/>
          <w:b/>
          <w:bCs/>
          <w:sz w:val="20"/>
          <w:szCs w:val="20"/>
        </w:rPr>
        <w:t>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</w:t>
      </w:r>
      <w:r w:rsidR="00C814F2">
        <w:rPr>
          <w:rFonts w:cs="Arial"/>
          <w:b/>
          <w:bCs/>
          <w:sz w:val="20"/>
          <w:szCs w:val="20"/>
        </w:rPr>
        <w:t xml:space="preserve">březen </w:t>
      </w:r>
      <w:r w:rsidRPr="004A212A">
        <w:rPr>
          <w:rFonts w:cs="Arial"/>
          <w:b/>
          <w:bCs/>
          <w:sz w:val="20"/>
          <w:szCs w:val="20"/>
        </w:rPr>
        <w:t>201</w:t>
      </w:r>
      <w:r w:rsidR="001717D1">
        <w:rPr>
          <w:rFonts w:cs="Arial"/>
          <w:b/>
          <w:bCs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C814F2">
        <w:rPr>
          <w:rFonts w:cs="Arial"/>
          <w:sz w:val="20"/>
          <w:szCs w:val="20"/>
        </w:rPr>
        <w:t>1,</w:t>
      </w:r>
      <w:r w:rsidR="00C814F2" w:rsidRPr="00C814F2">
        <w:rPr>
          <w:rFonts w:cs="Arial"/>
          <w:sz w:val="20"/>
          <w:szCs w:val="20"/>
        </w:rPr>
        <w:t>4</w:t>
      </w:r>
      <w:r w:rsidRPr="00C814F2">
        <w:rPr>
          <w:rFonts w:cs="Arial"/>
          <w:sz w:val="20"/>
          <w:szCs w:val="20"/>
        </w:rPr>
        <w:t> %,</w:t>
      </w:r>
      <w:r w:rsidRPr="00DF34E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490E9C" w:rsidRDefault="00490E9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490E9C" w:rsidRDefault="00490E9C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54FCE" w:rsidRDefault="00054FCE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54FCE" w:rsidRDefault="00054FCE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54FCE" w:rsidRDefault="00054FCE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54FCE" w:rsidRDefault="00054FCE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54FCE" w:rsidRDefault="00054FCE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37489" w:rsidRDefault="00D37489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196F78" w:rsidRDefault="00196F78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37489" w:rsidRDefault="00D37489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Pr="00255B00" w:rsidRDefault="007A6BAA" w:rsidP="00255B00">
      <w:pPr>
        <w:pStyle w:val="Datum"/>
        <w:rPr>
          <w:b w:val="0"/>
        </w:rPr>
      </w:pPr>
      <w:r w:rsidRPr="00255B00">
        <w:rPr>
          <w:b w:val="0"/>
        </w:rPr>
        <w:lastRenderedPageBreak/>
        <w:t>Poznámky: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7A6BAA" w:rsidRPr="0001717C" w:rsidRDefault="007A6BAA" w:rsidP="007A6BAA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012019-1</w:t>
      </w:r>
      <w:r w:rsidR="0094465D">
        <w:rPr>
          <w:rFonts w:cs="Arial"/>
          <w:i/>
          <w:iCs/>
          <w:sz w:val="18"/>
          <w:szCs w:val="18"/>
        </w:rPr>
        <w:t>9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7A6BAA" w:rsidRPr="008C0C67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EF5DFF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</w:t>
      </w:r>
      <w:r w:rsidR="00DF34E3">
        <w:rPr>
          <w:rFonts w:cs="Arial"/>
          <w:i/>
          <w:iCs/>
          <w:sz w:val="18"/>
          <w:szCs w:val="18"/>
        </w:rPr>
        <w:t xml:space="preserve"> </w:t>
      </w:r>
      <w:r w:rsidR="00EF5DFF">
        <w:rPr>
          <w:rFonts w:cs="Arial"/>
          <w:i/>
          <w:iCs/>
          <w:sz w:val="18"/>
          <w:szCs w:val="18"/>
        </w:rPr>
        <w:t>5</w:t>
      </w:r>
      <w:r w:rsidRPr="00F44F55">
        <w:rPr>
          <w:rFonts w:cs="Arial"/>
          <w:i/>
          <w:iCs/>
          <w:sz w:val="18"/>
          <w:szCs w:val="18"/>
        </w:rPr>
        <w:t>. 201</w:t>
      </w:r>
      <w:r>
        <w:rPr>
          <w:rFonts w:cs="Arial"/>
          <w:i/>
          <w:iCs/>
          <w:sz w:val="18"/>
          <w:szCs w:val="18"/>
        </w:rPr>
        <w:t>9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Pr="00F44F55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7A6BAA" w:rsidRPr="00F44F55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2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přírůstku – meziměsíčního, jádrová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7A6BAA" w:rsidRPr="003D7CA1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7A6BAA" w:rsidRPr="00334569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p w:rsidR="00D209A7" w:rsidRPr="007A6BAA" w:rsidRDefault="00D209A7" w:rsidP="007A6BAA"/>
    <w:sectPr w:rsidR="00D209A7" w:rsidRPr="007A6BA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5B" w:rsidRDefault="00207F5B" w:rsidP="00BA6370">
      <w:r>
        <w:separator/>
      </w:r>
    </w:p>
  </w:endnote>
  <w:endnote w:type="continuationSeparator" w:id="0">
    <w:p w:rsidR="00207F5B" w:rsidRDefault="00207F5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A3DD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5B" w:rsidRDefault="00207F5B" w:rsidP="00BA6370">
      <w:r>
        <w:separator/>
      </w:r>
    </w:p>
  </w:footnote>
  <w:footnote w:type="continuationSeparator" w:id="0">
    <w:p w:rsidR="00207F5B" w:rsidRDefault="00207F5B" w:rsidP="00BA6370">
      <w:r>
        <w:continuationSeparator/>
      </w:r>
    </w:p>
  </w:footnote>
  <w:footnote w:id="1">
    <w:p w:rsidR="007A6BAA" w:rsidRDefault="007A6BAA" w:rsidP="007A6BA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04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1905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3DDE">
      <w:rPr>
        <w:noProof/>
        <w:lang w:eastAsia="cs-CZ"/>
      </w:rPr>
      <w:pict>
        <v:shape id="_x0000_s2078" style="position:absolute;left:0;text-align:left;margin-left:8.25pt;margin-top:67.65pt;width:135.25pt;height:12.7pt;z-index:251661824;mso-position-horizontal-relative:text;mso-position-vertical-relative:text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 w:rsidR="00FA3DDE">
      <w:rPr>
        <w:noProof/>
        <w:lang w:eastAsia="cs-CZ"/>
      </w:rPr>
      <w:pict>
        <v:rect id="_x0000_s2077" style="position:absolute;left:0;text-align:left;margin-left:-3.35pt;margin-top:60.5pt;width:428.75pt;height:28.4pt;z-index:251660800;mso-position-horizontal-relative:text;mso-position-vertical-relative:text" fillcolor="#0071bc" stroked="f"/>
      </w:pict>
    </w:r>
    <w:r w:rsidR="00FA3DDE">
      <w:rPr>
        <w:noProof/>
        <w:lang w:eastAsia="cs-CZ"/>
      </w:rPr>
      <w:pict>
        <v:shape id="_x0000_s2076" style="position:absolute;left:0;text-align:left;margin-left:-3.2pt;margin-top:6.55pt;width:33.95pt;height:10.4pt;z-index:251659776;mso-position-horizontal-relative:text;mso-position-vertical-relative:text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 w:rsidR="00FA3DDE">
      <w:rPr>
        <w:noProof/>
        <w:lang w:eastAsia="cs-CZ"/>
      </w:rPr>
      <w:pict>
        <v:shape id="_x0000_s2075" style="position:absolute;left:0;text-align:left;margin-left:-3.2pt;margin-top:18.05pt;width:65.95pt;height:10.4pt;z-index:251658752;mso-position-horizontal-relative:text;mso-position-vertical-relative:text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 w:rsidR="00FA3DDE">
      <w:rPr>
        <w:noProof/>
        <w:lang w:eastAsia="cs-CZ"/>
      </w:rPr>
      <w:pict>
        <v:shape id="_x0000_s2074" style="position:absolute;left:0;text-align:left;margin-left:-2.85pt;margin-top:29.55pt;width:30pt;height:10.35pt;z-index:251657728;mso-position-horizontal-relative:text;mso-position-vertical-relative:text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 w:rsidR="00FA3DDE">
      <w:rPr>
        <w:noProof/>
        <w:lang w:eastAsia="cs-CZ"/>
      </w:rPr>
      <w:pict>
        <v:rect id="_x0000_s2073" style="position:absolute;left:0;text-align:left;margin-left:-36.9pt;margin-top:32.05pt;width:30.15pt;height:7.65pt;z-index:251656704;mso-position-horizontal-relative:text;mso-position-vertical-relative:text" fillcolor="#0071bc" stroked="f"/>
      </w:pict>
    </w:r>
    <w:r w:rsidR="00FA3DDE">
      <w:rPr>
        <w:noProof/>
        <w:lang w:eastAsia="cs-CZ"/>
      </w:rPr>
      <w:pict>
        <v:rect id="_x0000_s2072" style="position:absolute;left:0;text-align:left;margin-left:-72.95pt;margin-top:20.55pt;width:66.2pt;height:7.7pt;z-index:251655680;mso-position-horizontal-relative:text;mso-position-vertical-relative:text" fillcolor="#0071bc" stroked="f"/>
      </w:pict>
    </w:r>
    <w:r w:rsidR="00FA3DDE">
      <w:rPr>
        <w:noProof/>
        <w:lang w:eastAsia="cs-CZ"/>
      </w:rPr>
      <w:pict>
        <v:rect id="_x0000_s2071" style="position:absolute;left:0;text-align:left;margin-left:-40.55pt;margin-top:9.05pt;width:33.8pt;height:7.7pt;z-index:251654656;mso-position-horizontal-relative:text;mso-position-vertical-relative:text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632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465D"/>
    <w:rsid w:val="000013C8"/>
    <w:rsid w:val="0000280D"/>
    <w:rsid w:val="00012B40"/>
    <w:rsid w:val="00012EF8"/>
    <w:rsid w:val="00043BF4"/>
    <w:rsid w:val="00046948"/>
    <w:rsid w:val="00051223"/>
    <w:rsid w:val="00054FCE"/>
    <w:rsid w:val="000613A8"/>
    <w:rsid w:val="000640EF"/>
    <w:rsid w:val="0008092D"/>
    <w:rsid w:val="000843A5"/>
    <w:rsid w:val="000910DA"/>
    <w:rsid w:val="00092758"/>
    <w:rsid w:val="00096D6C"/>
    <w:rsid w:val="000A6F9F"/>
    <w:rsid w:val="000B6F63"/>
    <w:rsid w:val="000B6FB9"/>
    <w:rsid w:val="000C174C"/>
    <w:rsid w:val="000C4B82"/>
    <w:rsid w:val="000C7976"/>
    <w:rsid w:val="000D093F"/>
    <w:rsid w:val="000E43CC"/>
    <w:rsid w:val="0010022D"/>
    <w:rsid w:val="00112B77"/>
    <w:rsid w:val="00125301"/>
    <w:rsid w:val="001404AB"/>
    <w:rsid w:val="001505BE"/>
    <w:rsid w:val="001531D6"/>
    <w:rsid w:val="001717D1"/>
    <w:rsid w:val="0017231D"/>
    <w:rsid w:val="001810DC"/>
    <w:rsid w:val="0019217A"/>
    <w:rsid w:val="00196F78"/>
    <w:rsid w:val="001A13DA"/>
    <w:rsid w:val="001A7450"/>
    <w:rsid w:val="001A7905"/>
    <w:rsid w:val="001B607F"/>
    <w:rsid w:val="001C0318"/>
    <w:rsid w:val="001D369A"/>
    <w:rsid w:val="001D55DA"/>
    <w:rsid w:val="001F00B7"/>
    <w:rsid w:val="001F08B3"/>
    <w:rsid w:val="001F2FE0"/>
    <w:rsid w:val="001F4411"/>
    <w:rsid w:val="00200854"/>
    <w:rsid w:val="002070FB"/>
    <w:rsid w:val="00207F5B"/>
    <w:rsid w:val="00213729"/>
    <w:rsid w:val="002406FA"/>
    <w:rsid w:val="00246709"/>
    <w:rsid w:val="00255536"/>
    <w:rsid w:val="00255B00"/>
    <w:rsid w:val="0026107B"/>
    <w:rsid w:val="00261211"/>
    <w:rsid w:val="00266E8C"/>
    <w:rsid w:val="00285703"/>
    <w:rsid w:val="00291B0A"/>
    <w:rsid w:val="002B2E47"/>
    <w:rsid w:val="002B6D26"/>
    <w:rsid w:val="002D3AA4"/>
    <w:rsid w:val="002D6472"/>
    <w:rsid w:val="002F789B"/>
    <w:rsid w:val="003054CC"/>
    <w:rsid w:val="0032707C"/>
    <w:rsid w:val="003301A3"/>
    <w:rsid w:val="00334921"/>
    <w:rsid w:val="0036276B"/>
    <w:rsid w:val="0036777B"/>
    <w:rsid w:val="00375299"/>
    <w:rsid w:val="003757BA"/>
    <w:rsid w:val="0038282A"/>
    <w:rsid w:val="00397580"/>
    <w:rsid w:val="003A45C8"/>
    <w:rsid w:val="003C1AA4"/>
    <w:rsid w:val="003C2DCF"/>
    <w:rsid w:val="003C7FE7"/>
    <w:rsid w:val="003D0499"/>
    <w:rsid w:val="003D3576"/>
    <w:rsid w:val="003F526A"/>
    <w:rsid w:val="00403377"/>
    <w:rsid w:val="00405244"/>
    <w:rsid w:val="00414172"/>
    <w:rsid w:val="004154C7"/>
    <w:rsid w:val="0041677F"/>
    <w:rsid w:val="00432DB2"/>
    <w:rsid w:val="004436EE"/>
    <w:rsid w:val="00443E3A"/>
    <w:rsid w:val="00453AC6"/>
    <w:rsid w:val="00454362"/>
    <w:rsid w:val="0045547F"/>
    <w:rsid w:val="004570EE"/>
    <w:rsid w:val="00471DEF"/>
    <w:rsid w:val="00480223"/>
    <w:rsid w:val="00490E9C"/>
    <w:rsid w:val="004920AD"/>
    <w:rsid w:val="004934B5"/>
    <w:rsid w:val="004953A4"/>
    <w:rsid w:val="004B7955"/>
    <w:rsid w:val="004B7E30"/>
    <w:rsid w:val="004C4246"/>
    <w:rsid w:val="004D0206"/>
    <w:rsid w:val="004D05B3"/>
    <w:rsid w:val="004D426E"/>
    <w:rsid w:val="004E479E"/>
    <w:rsid w:val="004E7789"/>
    <w:rsid w:val="004F686C"/>
    <w:rsid w:val="004F78E6"/>
    <w:rsid w:val="0050420E"/>
    <w:rsid w:val="00512D99"/>
    <w:rsid w:val="00513217"/>
    <w:rsid w:val="00531DBB"/>
    <w:rsid w:val="005442A9"/>
    <w:rsid w:val="005471D4"/>
    <w:rsid w:val="00566D59"/>
    <w:rsid w:val="00573994"/>
    <w:rsid w:val="00576A82"/>
    <w:rsid w:val="00582BC9"/>
    <w:rsid w:val="00582DD9"/>
    <w:rsid w:val="00587A81"/>
    <w:rsid w:val="005D1E67"/>
    <w:rsid w:val="005F6815"/>
    <w:rsid w:val="005F79FB"/>
    <w:rsid w:val="00604406"/>
    <w:rsid w:val="00604F10"/>
    <w:rsid w:val="00605F4A"/>
    <w:rsid w:val="00607822"/>
    <w:rsid w:val="006103AA"/>
    <w:rsid w:val="00613BBF"/>
    <w:rsid w:val="00622B80"/>
    <w:rsid w:val="006274F8"/>
    <w:rsid w:val="0063765A"/>
    <w:rsid w:val="0064139A"/>
    <w:rsid w:val="00651654"/>
    <w:rsid w:val="00667D80"/>
    <w:rsid w:val="00676792"/>
    <w:rsid w:val="00680C05"/>
    <w:rsid w:val="00681E94"/>
    <w:rsid w:val="00684242"/>
    <w:rsid w:val="00690F61"/>
    <w:rsid w:val="006931CF"/>
    <w:rsid w:val="006A581C"/>
    <w:rsid w:val="006C0C3E"/>
    <w:rsid w:val="006E024F"/>
    <w:rsid w:val="006E1D2A"/>
    <w:rsid w:val="006E1FCA"/>
    <w:rsid w:val="006E2B00"/>
    <w:rsid w:val="006E2B41"/>
    <w:rsid w:val="006E4E81"/>
    <w:rsid w:val="00707F7D"/>
    <w:rsid w:val="00717EC5"/>
    <w:rsid w:val="00736E92"/>
    <w:rsid w:val="00741109"/>
    <w:rsid w:val="00741BA4"/>
    <w:rsid w:val="0074303E"/>
    <w:rsid w:val="00754C20"/>
    <w:rsid w:val="00755F39"/>
    <w:rsid w:val="00765ACF"/>
    <w:rsid w:val="00767B70"/>
    <w:rsid w:val="00786D2B"/>
    <w:rsid w:val="007904FD"/>
    <w:rsid w:val="00792396"/>
    <w:rsid w:val="007A2048"/>
    <w:rsid w:val="007A57F2"/>
    <w:rsid w:val="007A6BAA"/>
    <w:rsid w:val="007B1333"/>
    <w:rsid w:val="007F4AEB"/>
    <w:rsid w:val="007F75B2"/>
    <w:rsid w:val="00803993"/>
    <w:rsid w:val="008043C4"/>
    <w:rsid w:val="00810E39"/>
    <w:rsid w:val="00816D0F"/>
    <w:rsid w:val="00822146"/>
    <w:rsid w:val="00831B1B"/>
    <w:rsid w:val="008502DD"/>
    <w:rsid w:val="00855FB3"/>
    <w:rsid w:val="00861D0E"/>
    <w:rsid w:val="00862FC6"/>
    <w:rsid w:val="00864090"/>
    <w:rsid w:val="008662BB"/>
    <w:rsid w:val="00867569"/>
    <w:rsid w:val="008A50CE"/>
    <w:rsid w:val="008A750A"/>
    <w:rsid w:val="008A7701"/>
    <w:rsid w:val="008B3970"/>
    <w:rsid w:val="008C384C"/>
    <w:rsid w:val="008C47BD"/>
    <w:rsid w:val="008D0F11"/>
    <w:rsid w:val="008D59A4"/>
    <w:rsid w:val="008F2F8A"/>
    <w:rsid w:val="008F73B4"/>
    <w:rsid w:val="0094465D"/>
    <w:rsid w:val="009476CE"/>
    <w:rsid w:val="00960D95"/>
    <w:rsid w:val="009621B3"/>
    <w:rsid w:val="009649FB"/>
    <w:rsid w:val="00965891"/>
    <w:rsid w:val="00986DD7"/>
    <w:rsid w:val="009974C9"/>
    <w:rsid w:val="009A3CA2"/>
    <w:rsid w:val="009B55B1"/>
    <w:rsid w:val="009B62C3"/>
    <w:rsid w:val="009E3F0B"/>
    <w:rsid w:val="00A0762A"/>
    <w:rsid w:val="00A265BE"/>
    <w:rsid w:val="00A4343D"/>
    <w:rsid w:val="00A502F1"/>
    <w:rsid w:val="00A70A83"/>
    <w:rsid w:val="00A81EB3"/>
    <w:rsid w:val="00A8491D"/>
    <w:rsid w:val="00A87CF6"/>
    <w:rsid w:val="00AA2B40"/>
    <w:rsid w:val="00AA6246"/>
    <w:rsid w:val="00AB3410"/>
    <w:rsid w:val="00AB4F10"/>
    <w:rsid w:val="00AC7D7A"/>
    <w:rsid w:val="00AD0492"/>
    <w:rsid w:val="00AE167E"/>
    <w:rsid w:val="00B00C1D"/>
    <w:rsid w:val="00B06B99"/>
    <w:rsid w:val="00B11401"/>
    <w:rsid w:val="00B2665E"/>
    <w:rsid w:val="00B529FE"/>
    <w:rsid w:val="00B54FEE"/>
    <w:rsid w:val="00B55375"/>
    <w:rsid w:val="00B632CC"/>
    <w:rsid w:val="00B832AA"/>
    <w:rsid w:val="00B85AB4"/>
    <w:rsid w:val="00BA12F1"/>
    <w:rsid w:val="00BA439F"/>
    <w:rsid w:val="00BA6370"/>
    <w:rsid w:val="00BB6ACC"/>
    <w:rsid w:val="00BF255B"/>
    <w:rsid w:val="00BF41C3"/>
    <w:rsid w:val="00BF7A82"/>
    <w:rsid w:val="00C01E43"/>
    <w:rsid w:val="00C049EA"/>
    <w:rsid w:val="00C06DB9"/>
    <w:rsid w:val="00C11932"/>
    <w:rsid w:val="00C269D4"/>
    <w:rsid w:val="00C37ADB"/>
    <w:rsid w:val="00C4160D"/>
    <w:rsid w:val="00C47B91"/>
    <w:rsid w:val="00C707CD"/>
    <w:rsid w:val="00C73599"/>
    <w:rsid w:val="00C7611F"/>
    <w:rsid w:val="00C814F2"/>
    <w:rsid w:val="00C8406E"/>
    <w:rsid w:val="00C843F8"/>
    <w:rsid w:val="00C93817"/>
    <w:rsid w:val="00CA6960"/>
    <w:rsid w:val="00CB2709"/>
    <w:rsid w:val="00CB2C15"/>
    <w:rsid w:val="00CB6F89"/>
    <w:rsid w:val="00CC0AE9"/>
    <w:rsid w:val="00CD0BC3"/>
    <w:rsid w:val="00CE228C"/>
    <w:rsid w:val="00CE71D9"/>
    <w:rsid w:val="00CF2B5F"/>
    <w:rsid w:val="00CF545B"/>
    <w:rsid w:val="00D209A7"/>
    <w:rsid w:val="00D27D69"/>
    <w:rsid w:val="00D3257F"/>
    <w:rsid w:val="00D33658"/>
    <w:rsid w:val="00D37489"/>
    <w:rsid w:val="00D37754"/>
    <w:rsid w:val="00D4299A"/>
    <w:rsid w:val="00D448C2"/>
    <w:rsid w:val="00D454CC"/>
    <w:rsid w:val="00D549A4"/>
    <w:rsid w:val="00D56E3F"/>
    <w:rsid w:val="00D5712A"/>
    <w:rsid w:val="00D666C3"/>
    <w:rsid w:val="00D735DE"/>
    <w:rsid w:val="00D73CF2"/>
    <w:rsid w:val="00D8143A"/>
    <w:rsid w:val="00D9189F"/>
    <w:rsid w:val="00DA2784"/>
    <w:rsid w:val="00DD461E"/>
    <w:rsid w:val="00DD59F6"/>
    <w:rsid w:val="00DF0F29"/>
    <w:rsid w:val="00DF34E3"/>
    <w:rsid w:val="00DF47FE"/>
    <w:rsid w:val="00E0156A"/>
    <w:rsid w:val="00E064C4"/>
    <w:rsid w:val="00E13C43"/>
    <w:rsid w:val="00E26704"/>
    <w:rsid w:val="00E31980"/>
    <w:rsid w:val="00E539F9"/>
    <w:rsid w:val="00E6423C"/>
    <w:rsid w:val="00E834D1"/>
    <w:rsid w:val="00E93830"/>
    <w:rsid w:val="00E93E0E"/>
    <w:rsid w:val="00EB1ED3"/>
    <w:rsid w:val="00EE313B"/>
    <w:rsid w:val="00EE4DB8"/>
    <w:rsid w:val="00EF5D4B"/>
    <w:rsid w:val="00EF5DFF"/>
    <w:rsid w:val="00EF7AED"/>
    <w:rsid w:val="00F23965"/>
    <w:rsid w:val="00F5224C"/>
    <w:rsid w:val="00F62ECC"/>
    <w:rsid w:val="00F75F2A"/>
    <w:rsid w:val="00F80FFC"/>
    <w:rsid w:val="00F832B0"/>
    <w:rsid w:val="00F9324E"/>
    <w:rsid w:val="00FA015E"/>
    <w:rsid w:val="00FA3DDE"/>
    <w:rsid w:val="00FA75AD"/>
    <w:rsid w:val="00FB3ECF"/>
    <w:rsid w:val="00FB687C"/>
    <w:rsid w:val="00FC0102"/>
    <w:rsid w:val="00FC7031"/>
    <w:rsid w:val="00FD662B"/>
    <w:rsid w:val="00FF4B08"/>
    <w:rsid w:val="00FF738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A6BAA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7A6BAA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6BAA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7A6BAA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A6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A6BAA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6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6BA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A6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6BAA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6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Nov&#225;%20&#353;ablona\28_1_2019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40A7-5EED-4CB3-BDD1-D4BAB508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 Pokorný</cp:lastModifiedBy>
  <cp:revision>4</cp:revision>
  <dcterms:created xsi:type="dcterms:W3CDTF">2019-04-04T14:00:00Z</dcterms:created>
  <dcterms:modified xsi:type="dcterms:W3CDTF">2019-04-08T08:52:00Z</dcterms:modified>
</cp:coreProperties>
</file>