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35" w:rsidRDefault="00C17FC2" w:rsidP="00770C35">
      <w:pPr>
        <w:pStyle w:val="Datum"/>
      </w:pPr>
      <w:r>
        <w:t>3</w:t>
      </w:r>
      <w:r w:rsidR="00CB2792">
        <w:t>1</w:t>
      </w:r>
      <w:r w:rsidR="00770C35">
        <w:t xml:space="preserve">. </w:t>
      </w:r>
      <w:r w:rsidR="00CB2792">
        <w:t>1</w:t>
      </w:r>
      <w:r w:rsidR="00770C35">
        <w:t>. 202</w:t>
      </w:r>
      <w:r>
        <w:t>3</w:t>
      </w:r>
    </w:p>
    <w:p w:rsidR="00C17FC2" w:rsidRDefault="00C17FC2" w:rsidP="00C17FC2">
      <w:pPr>
        <w:pStyle w:val="Nzev"/>
      </w:pPr>
      <w:r>
        <w:t>HDP v roce 2022 vzrostl o 2,5 %</w:t>
      </w:r>
    </w:p>
    <w:p w:rsidR="00C17FC2" w:rsidRPr="002E496D" w:rsidRDefault="00C17FC2" w:rsidP="00C17FC2">
      <w:pPr>
        <w:pStyle w:val="Podtitulek"/>
      </w:pPr>
      <w:r w:rsidRPr="002E496D">
        <w:t xml:space="preserve">Předběžný odhad HDP – </w:t>
      </w:r>
      <w:r>
        <w:t>4</w:t>
      </w:r>
      <w:r w:rsidRPr="002E496D">
        <w:t>. čtvrtletí 20</w:t>
      </w:r>
      <w:r>
        <w:t>22</w:t>
      </w:r>
    </w:p>
    <w:p w:rsidR="00C17FC2" w:rsidRPr="002E496D" w:rsidRDefault="00C17FC2" w:rsidP="00C17FC2">
      <w:pPr>
        <w:pStyle w:val="Perex"/>
      </w:pPr>
      <w:r w:rsidRPr="002E496D">
        <w:t xml:space="preserve">Hrubý domácí produkt </w:t>
      </w:r>
      <w:r>
        <w:t xml:space="preserve">vzrostl v roce 2022 </w:t>
      </w:r>
      <w:r w:rsidRPr="002E496D">
        <w:t>podle předběžného odhadu</w:t>
      </w:r>
      <w:r>
        <w:t xml:space="preserve"> o 2,5 %. V</w:t>
      </w:r>
      <w:r w:rsidRPr="002E496D">
        <w:t>e</w:t>
      </w:r>
      <w:r>
        <w:t> 4. </w:t>
      </w:r>
      <w:r w:rsidRPr="002E496D">
        <w:t xml:space="preserve">čtvrtletí </w:t>
      </w:r>
      <w:r>
        <w:t xml:space="preserve">HDP klesl </w:t>
      </w:r>
      <w:proofErr w:type="spellStart"/>
      <w:r>
        <w:t>mezičtvrtletně</w:t>
      </w:r>
      <w:proofErr w:type="spellEnd"/>
      <w:r>
        <w:t xml:space="preserve"> </w:t>
      </w:r>
      <w:r w:rsidRPr="002E496D">
        <w:t>o </w:t>
      </w:r>
      <w:r>
        <w:t>0,</w:t>
      </w:r>
      <w:r w:rsidR="00077584">
        <w:t>3</w:t>
      </w:r>
      <w:r w:rsidRPr="002E496D">
        <w:t> </w:t>
      </w:r>
      <w:r>
        <w:t xml:space="preserve">% a </w:t>
      </w:r>
      <w:r w:rsidRPr="002E496D">
        <w:t>meziročně</w:t>
      </w:r>
      <w:r>
        <w:t xml:space="preserve"> vzrostl o 0,</w:t>
      </w:r>
      <w:r w:rsidR="00077584">
        <w:t>4</w:t>
      </w:r>
      <w:r>
        <w:t xml:space="preserve"> %. </w:t>
      </w:r>
    </w:p>
    <w:p w:rsidR="00C17FC2" w:rsidRDefault="00C17FC2" w:rsidP="00C17FC2">
      <w:pPr>
        <w:spacing w:before="240" w:after="240"/>
      </w:pPr>
      <w:r w:rsidRPr="006C6198">
        <w:t xml:space="preserve">Hrubý domácí produkt </w:t>
      </w:r>
      <w:r>
        <w:t>(HDP) očištěný o cenové vlivy a </w:t>
      </w:r>
      <w:r w:rsidRPr="006C6198">
        <w:t>sezónnost</w:t>
      </w:r>
      <w:r w:rsidRPr="006C6198">
        <w:rPr>
          <w:rStyle w:val="Znakapoznpodarou"/>
        </w:rPr>
        <w:footnoteReference w:id="1"/>
      </w:r>
      <w:r w:rsidRPr="006C6198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byl v roce 202</w:t>
      </w:r>
      <w:r w:rsidR="004F37E1">
        <w:rPr>
          <w:rFonts w:cs="Arial"/>
          <w:bCs/>
          <w:szCs w:val="20"/>
        </w:rPr>
        <w:t>2</w:t>
      </w:r>
      <w:r w:rsidRPr="006C6198">
        <w:rPr>
          <w:rFonts w:cs="Arial"/>
          <w:bCs/>
          <w:szCs w:val="20"/>
        </w:rPr>
        <w:t xml:space="preserve"> podle předběžného odhadu o </w:t>
      </w:r>
      <w:r w:rsidR="004F37E1">
        <w:rPr>
          <w:rFonts w:cs="Arial"/>
          <w:bCs/>
          <w:szCs w:val="20"/>
        </w:rPr>
        <w:t>2</w:t>
      </w:r>
      <w:r w:rsidRPr="006C6198">
        <w:rPr>
          <w:rFonts w:cs="Arial"/>
          <w:bCs/>
          <w:szCs w:val="20"/>
        </w:rPr>
        <w:t>,</w:t>
      </w:r>
      <w:r w:rsidR="004F37E1">
        <w:rPr>
          <w:rFonts w:cs="Arial"/>
          <w:bCs/>
          <w:szCs w:val="20"/>
        </w:rPr>
        <w:t>5</w:t>
      </w:r>
      <w:r w:rsidRPr="006C6198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vyšší než v roce 20</w:t>
      </w:r>
      <w:r w:rsidR="004F37E1">
        <w:rPr>
          <w:rFonts w:cs="Arial"/>
          <w:bCs/>
          <w:szCs w:val="20"/>
        </w:rPr>
        <w:t>21</w:t>
      </w:r>
      <w:r w:rsidRPr="006C6198">
        <w:rPr>
          <w:rFonts w:cs="Arial"/>
          <w:bCs/>
          <w:szCs w:val="20"/>
        </w:rPr>
        <w:t xml:space="preserve">. </w:t>
      </w:r>
      <w:r>
        <w:rPr>
          <w:rFonts w:cs="Arial"/>
          <w:bCs/>
          <w:szCs w:val="20"/>
        </w:rPr>
        <w:t>Růst</w:t>
      </w:r>
      <w:r w:rsidRPr="006C6198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byl podpořen výdaji na </w:t>
      </w:r>
      <w:r w:rsidR="00DB3599">
        <w:rPr>
          <w:rFonts w:cs="Arial"/>
          <w:bCs/>
          <w:szCs w:val="20"/>
        </w:rPr>
        <w:t xml:space="preserve">tvorbu </w:t>
      </w:r>
      <w:r w:rsidR="00E64C1A">
        <w:rPr>
          <w:rFonts w:cs="Arial"/>
          <w:bCs/>
          <w:szCs w:val="20"/>
        </w:rPr>
        <w:t xml:space="preserve">hrubého </w:t>
      </w:r>
      <w:r w:rsidR="00DB3599">
        <w:rPr>
          <w:rFonts w:cs="Arial"/>
          <w:bCs/>
          <w:szCs w:val="20"/>
        </w:rPr>
        <w:t>kapitálu a z</w:t>
      </w:r>
      <w:r w:rsidRPr="006C6198">
        <w:rPr>
          <w:rFonts w:cs="Arial"/>
          <w:bCs/>
          <w:szCs w:val="20"/>
        </w:rPr>
        <w:t>ahraniční poptávk</w:t>
      </w:r>
      <w:r w:rsidR="00DB3599">
        <w:rPr>
          <w:rFonts w:cs="Arial"/>
          <w:bCs/>
          <w:szCs w:val="20"/>
        </w:rPr>
        <w:t>ou</w:t>
      </w:r>
      <w:r w:rsidRPr="006C6198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</w:t>
      </w:r>
      <w:r w:rsidR="00DB3599">
        <w:rPr>
          <w:rFonts w:cs="Arial"/>
          <w:bCs/>
          <w:szCs w:val="20"/>
        </w:rPr>
        <w:t xml:space="preserve">Naopak negativní vliv měly výdaje na konečnou spotřebu domácností. </w:t>
      </w:r>
      <w:r>
        <w:rPr>
          <w:rFonts w:cs="Arial"/>
          <w:bCs/>
          <w:szCs w:val="20"/>
        </w:rPr>
        <w:t>Růst</w:t>
      </w:r>
      <w:r>
        <w:t xml:space="preserve"> hrubé přidané hodnoty</w:t>
      </w:r>
      <w:r w:rsidRPr="001A6D9B">
        <w:t xml:space="preserve"> </w:t>
      </w:r>
      <w:r w:rsidR="008F592F">
        <w:t>byl podpořen zejména</w:t>
      </w:r>
      <w:r>
        <w:t xml:space="preserve"> </w:t>
      </w:r>
      <w:r w:rsidR="008F592F">
        <w:t xml:space="preserve">zpracovatelským </w:t>
      </w:r>
      <w:r>
        <w:t>průmysl</w:t>
      </w:r>
      <w:r w:rsidR="008F592F">
        <w:t>em a skupinou</w:t>
      </w:r>
      <w:r>
        <w:t xml:space="preserve"> odvětví obchodu, do</w:t>
      </w:r>
      <w:r w:rsidR="008F592F">
        <w:t>pravy, ubytování a pohostinství.</w:t>
      </w:r>
    </w:p>
    <w:p w:rsidR="00F148B2" w:rsidRDefault="00F148B2" w:rsidP="00C17FC2">
      <w:pPr>
        <w:spacing w:before="240" w:after="240"/>
      </w:pPr>
      <w:r>
        <w:rPr>
          <w:noProof/>
          <w:lang w:eastAsia="cs-CZ"/>
        </w:rPr>
        <w:drawing>
          <wp:inline distT="0" distB="0" distL="0" distR="0" wp14:anchorId="3FFE189A" wp14:editId="011643D9">
            <wp:extent cx="5400040" cy="2747010"/>
            <wp:effectExtent l="0" t="0" r="10160" b="1524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7C2C" w:rsidRDefault="00477C2C" w:rsidP="00477C2C">
      <w:pPr>
        <w:spacing w:before="240" w:after="240"/>
        <w:rPr>
          <w:rFonts w:cs="Arial"/>
          <w:szCs w:val="20"/>
        </w:rPr>
      </w:pPr>
      <w:r>
        <w:rPr>
          <w:rFonts w:cs="Arial"/>
          <w:i/>
          <w:szCs w:val="20"/>
        </w:rPr>
        <w:t>„</w:t>
      </w:r>
      <w:r w:rsidR="00FB606D">
        <w:rPr>
          <w:rFonts w:cs="Arial"/>
          <w:i/>
          <w:szCs w:val="20"/>
        </w:rPr>
        <w:t xml:space="preserve">V posledním čtvrtletí roku 2022 výkon české ekonomiky </w:t>
      </w:r>
      <w:proofErr w:type="spellStart"/>
      <w:r w:rsidR="00FB606D">
        <w:rPr>
          <w:rFonts w:cs="Arial"/>
          <w:i/>
          <w:szCs w:val="20"/>
        </w:rPr>
        <w:t>mezičtvrtletně</w:t>
      </w:r>
      <w:proofErr w:type="spellEnd"/>
      <w:r w:rsidR="00FB606D">
        <w:rPr>
          <w:rFonts w:cs="Arial"/>
          <w:i/>
          <w:szCs w:val="20"/>
        </w:rPr>
        <w:t xml:space="preserve"> klesl o 0,3 %. Hlavním důvodem byly zejména nižší výdaje na konečnou spotřebu domácností</w:t>
      </w:r>
      <w:r w:rsidR="008D178F">
        <w:rPr>
          <w:rFonts w:cs="Arial"/>
          <w:i/>
          <w:szCs w:val="20"/>
        </w:rPr>
        <w:t>,</w:t>
      </w:r>
      <w:r>
        <w:rPr>
          <w:rFonts w:cs="Arial"/>
          <w:i/>
          <w:szCs w:val="20"/>
        </w:rPr>
        <w:t>“</w:t>
      </w:r>
      <w:r w:rsidRPr="00742047">
        <w:t xml:space="preserve"> </w:t>
      </w:r>
      <w:r w:rsidRPr="00461C5D">
        <w:t>komentuje</w:t>
      </w:r>
      <w:r w:rsidRPr="00461C5D">
        <w:rPr>
          <w:rFonts w:cs="Arial"/>
          <w:szCs w:val="20"/>
        </w:rPr>
        <w:t xml:space="preserve"> údaje Vladimír Kermiet, ředitel odboru národních účtů ČSÚ.</w:t>
      </w:r>
    </w:p>
    <w:p w:rsidR="007F43B8" w:rsidRDefault="00FB606D" w:rsidP="00C17FC2">
      <w:pPr>
        <w:spacing w:before="240" w:after="240"/>
      </w:pPr>
      <w:r>
        <w:t>M</w:t>
      </w:r>
      <w:r w:rsidR="00C17FC2" w:rsidRPr="006C6198">
        <w:t xml:space="preserve">eziročně </w:t>
      </w:r>
      <w:r>
        <w:t xml:space="preserve">HDP ve 4. čtvrtletí </w:t>
      </w:r>
      <w:r w:rsidR="00077584">
        <w:t xml:space="preserve">vzrostl </w:t>
      </w:r>
      <w:r w:rsidR="00F148B2">
        <w:t>o </w:t>
      </w:r>
      <w:r w:rsidR="00077584">
        <w:t>0</w:t>
      </w:r>
      <w:r w:rsidR="00C17FC2" w:rsidRPr="006C6198">
        <w:t>,</w:t>
      </w:r>
      <w:r w:rsidR="00077584">
        <w:t>4</w:t>
      </w:r>
      <w:r w:rsidR="00F148B2">
        <w:t> </w:t>
      </w:r>
      <w:r w:rsidR="00C17FC2">
        <w:t>%.</w:t>
      </w:r>
      <w:r w:rsidR="00C17FC2" w:rsidRPr="006C6198">
        <w:t xml:space="preserve"> </w:t>
      </w:r>
      <w:r w:rsidR="00C17FC2">
        <w:t xml:space="preserve">Meziroční růst </w:t>
      </w:r>
      <w:r w:rsidR="00F148B2">
        <w:t>podpořily především</w:t>
      </w:r>
      <w:r w:rsidR="00C17FC2">
        <w:t xml:space="preserve"> výdaje na </w:t>
      </w:r>
      <w:r w:rsidR="00F148B2">
        <w:t>tvorbu</w:t>
      </w:r>
      <w:r w:rsidR="00C17FC2">
        <w:t xml:space="preserve"> hrubého kapitálu</w:t>
      </w:r>
      <w:r w:rsidR="00F148B2">
        <w:t xml:space="preserve"> a za</w:t>
      </w:r>
      <w:bookmarkStart w:id="0" w:name="_GoBack"/>
      <w:bookmarkEnd w:id="0"/>
      <w:r w:rsidR="00F148B2">
        <w:t>hraniční poptávka</w:t>
      </w:r>
      <w:r w:rsidR="00C17FC2">
        <w:t xml:space="preserve">. </w:t>
      </w:r>
      <w:r w:rsidR="00F148B2">
        <w:t xml:space="preserve">Naopak negativní vliv měly výdaje na konečnou spotřebu. </w:t>
      </w:r>
      <w:r w:rsidR="00C17FC2">
        <w:t xml:space="preserve">Na straně tvorby přidané hodnoty se </w:t>
      </w:r>
      <w:r w:rsidR="007F43B8">
        <w:t xml:space="preserve">v meziročním srovnání </w:t>
      </w:r>
      <w:r w:rsidR="00C17FC2">
        <w:t xml:space="preserve">dařilo především </w:t>
      </w:r>
      <w:r w:rsidR="007F43B8">
        <w:t xml:space="preserve">průmyslu, naopak pokles nastal ve </w:t>
      </w:r>
      <w:r w:rsidR="00C17FC2">
        <w:t>skupině odvětví obchodu, dopravy, ubytování a pohostinství.</w:t>
      </w:r>
    </w:p>
    <w:p w:rsidR="00C17FC2" w:rsidRPr="006C6198" w:rsidRDefault="00C17FC2" w:rsidP="00C17FC2">
      <w:pPr>
        <w:spacing w:before="240" w:after="240"/>
      </w:pPr>
      <w:r w:rsidRPr="006C6198">
        <w:rPr>
          <w:bCs/>
        </w:rPr>
        <w:lastRenderedPageBreak/>
        <w:t>Zaměstnanost</w:t>
      </w:r>
      <w:r w:rsidRPr="006C6198">
        <w:rPr>
          <w:rStyle w:val="Znakapoznpodarou"/>
        </w:rPr>
        <w:footnoteReference w:id="2"/>
      </w:r>
      <w:r>
        <w:rPr>
          <w:bCs/>
        </w:rPr>
        <w:t xml:space="preserve"> </w:t>
      </w:r>
      <w:r>
        <w:t>vzrostla</w:t>
      </w:r>
      <w:r w:rsidRPr="006C6198">
        <w:t xml:space="preserve"> v</w:t>
      </w:r>
      <w:r>
        <w:t xml:space="preserve"> minulém </w:t>
      </w:r>
      <w:r w:rsidRPr="006C6198">
        <w:t xml:space="preserve">roce o </w:t>
      </w:r>
      <w:r w:rsidR="008F592F">
        <w:t>1</w:t>
      </w:r>
      <w:r w:rsidRPr="006C6198">
        <w:t>,</w:t>
      </w:r>
      <w:r w:rsidR="008F592F">
        <w:t>8</w:t>
      </w:r>
      <w:r w:rsidRPr="006C6198">
        <w:t> %. Ve 4. čtvrtletí</w:t>
      </w:r>
      <w:r>
        <w:t xml:space="preserve"> </w:t>
      </w:r>
      <w:r w:rsidRPr="006C6198">
        <w:t xml:space="preserve">zaměstnanost </w:t>
      </w:r>
      <w:proofErr w:type="spellStart"/>
      <w:r w:rsidR="00077584">
        <w:t>mezičtvrtletně</w:t>
      </w:r>
      <w:proofErr w:type="spellEnd"/>
      <w:r w:rsidR="00077584">
        <w:t xml:space="preserve"> klesla o 0,3 % a meziročně vzrostla o 1,5</w:t>
      </w:r>
      <w:r>
        <w:t xml:space="preserve"> %.</w:t>
      </w:r>
    </w:p>
    <w:p w:rsidR="00770C35" w:rsidRPr="00304ECA" w:rsidRDefault="00770C35" w:rsidP="00770C35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>
        <w:rPr>
          <w:i/>
        </w:rPr>
        <w:t>Ing. Vladimír Kermiet</w:t>
      </w:r>
      <w:r w:rsidRPr="00304ECA">
        <w:rPr>
          <w:i/>
        </w:rPr>
        <w:t xml:space="preserve">, ředitel </w:t>
      </w:r>
      <w:r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11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770C35" w:rsidRDefault="00770C35" w:rsidP="00770C35">
      <w:pPr>
        <w:pStyle w:val="Poznamkytexty"/>
        <w:ind w:left="4253" w:hanging="4253"/>
        <w:jc w:val="left"/>
      </w:pPr>
      <w:r>
        <w:t>Kontaktní osoba:</w:t>
      </w:r>
      <w:r>
        <w:tab/>
        <w:t>Ing. Jan Benedikt</w:t>
      </w:r>
      <w:r w:rsidRPr="00315471">
        <w:t xml:space="preserve">, </w:t>
      </w:r>
      <w:r>
        <w:t xml:space="preserve">vedoucí oddělení čtvrtletních odhadů, </w:t>
      </w:r>
      <w:r w:rsidRPr="00315471">
        <w:t>tel.</w:t>
      </w:r>
      <w:r>
        <w:t> </w:t>
      </w:r>
      <w:r w:rsidRPr="00315471">
        <w:t>274 052 750, e</w:t>
      </w:r>
      <w:r w:rsidRPr="00315471">
        <w:noBreakHyphen/>
        <w:t>mail: </w:t>
      </w:r>
      <w:hyperlink r:id="rId12" w:history="1">
        <w:r w:rsidRPr="00D82385">
          <w:rPr>
            <w:rStyle w:val="Hypertextovodkaz"/>
          </w:rPr>
          <w:t>jan.benedikt@czso.cz</w:t>
        </w:r>
      </w:hyperlink>
      <w:r>
        <w:t xml:space="preserve"> </w:t>
      </w:r>
    </w:p>
    <w:p w:rsidR="00770C35" w:rsidRDefault="00770C35" w:rsidP="00770C35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C17FC2">
        <w:t>25</w:t>
      </w:r>
      <w:r>
        <w:t xml:space="preserve">. </w:t>
      </w:r>
      <w:r w:rsidR="00C17FC2">
        <w:t>ledna</w:t>
      </w:r>
      <w:r>
        <w:t xml:space="preserve"> 202</w:t>
      </w:r>
      <w:r w:rsidR="00C17FC2">
        <w:t>3</w:t>
      </w:r>
    </w:p>
    <w:p w:rsidR="00770C35" w:rsidRPr="00D9330E" w:rsidRDefault="00770C35" w:rsidP="00770C35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13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770C35" w:rsidRPr="004920AD" w:rsidRDefault="00770C35" w:rsidP="00770C35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C17FC2">
        <w:t>3</w:t>
      </w:r>
      <w:r>
        <w:t xml:space="preserve">. </w:t>
      </w:r>
      <w:r w:rsidR="00C17FC2">
        <w:t>března</w:t>
      </w:r>
      <w:r>
        <w:t xml:space="preserve"> 202</w:t>
      </w:r>
      <w:r w:rsidR="00C17FC2">
        <w:t>3</w:t>
      </w:r>
      <w:r>
        <w:t xml:space="preserve"> </w:t>
      </w:r>
      <w:r>
        <w:br/>
        <w:t xml:space="preserve">(Tvorba a užití HDP za </w:t>
      </w:r>
      <w:r w:rsidR="00C17FC2">
        <w:t>4</w:t>
      </w:r>
      <w:r>
        <w:t>. čtvrtletí 202</w:t>
      </w:r>
      <w:r w:rsidR="005E266F">
        <w:t>2</w:t>
      </w:r>
      <w:r>
        <w:t>)</w:t>
      </w:r>
    </w:p>
    <w:p w:rsidR="00D209A7" w:rsidRPr="00770C35" w:rsidRDefault="00D209A7" w:rsidP="00770C35"/>
    <w:sectPr w:rsidR="00D209A7" w:rsidRPr="00770C35" w:rsidSect="002F03BD">
      <w:headerReference w:type="default" r:id="rId14"/>
      <w:footerReference w:type="default" r:id="rId15"/>
      <w:pgSz w:w="11907" w:h="16839" w:code="9"/>
      <w:pgMar w:top="2836" w:right="1418" w:bottom="1843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17" w:rsidRDefault="009F3717" w:rsidP="00BA6370">
      <w:r>
        <w:separator/>
      </w:r>
    </w:p>
  </w:endnote>
  <w:endnote w:type="continuationSeparator" w:id="0">
    <w:p w:rsidR="009F3717" w:rsidRDefault="009F371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DCED1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D178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CED1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D178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117774D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E44D0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17" w:rsidRDefault="009F3717" w:rsidP="00BA6370">
      <w:r>
        <w:separator/>
      </w:r>
    </w:p>
  </w:footnote>
  <w:footnote w:type="continuationSeparator" w:id="0">
    <w:p w:rsidR="009F3717" w:rsidRDefault="009F3717" w:rsidP="00BA6370">
      <w:r>
        <w:continuationSeparator/>
      </w:r>
    </w:p>
  </w:footnote>
  <w:footnote w:id="1">
    <w:p w:rsidR="00C17FC2" w:rsidRPr="00F3629C" w:rsidRDefault="00C17FC2" w:rsidP="00C17FC2">
      <w:pPr>
        <w:pStyle w:val="Textpoznpodarou"/>
        <w:spacing w:before="120" w:after="120"/>
        <w:jc w:val="both"/>
        <w:rPr>
          <w:rFonts w:ascii="Arial" w:hAnsi="Arial" w:cs="Arial"/>
          <w:i/>
        </w:rPr>
      </w:pPr>
      <w:r w:rsidRPr="00F61F6A">
        <w:rPr>
          <w:rStyle w:val="Znakapoznpodarou"/>
          <w:rFonts w:ascii="Arial" w:hAnsi="Arial" w:cs="Arial"/>
          <w:i/>
        </w:rPr>
        <w:footnoteRef/>
      </w:r>
      <w:r w:rsidRPr="00F61F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 xml:space="preserve">šechny zde uváděné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>očištěny o změny cen, sezónní vlivy a nestejný počet pracovních dní.</w:t>
      </w:r>
    </w:p>
  </w:footnote>
  <w:footnote w:id="2">
    <w:p w:rsidR="00C17FC2" w:rsidRPr="00943006" w:rsidRDefault="00C17FC2" w:rsidP="00C17FC2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Zaměstnanost 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68A0BF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7515F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C"/>
    <w:rsid w:val="00007D21"/>
    <w:rsid w:val="00043BF4"/>
    <w:rsid w:val="000671A9"/>
    <w:rsid w:val="0007523D"/>
    <w:rsid w:val="000754C2"/>
    <w:rsid w:val="00077584"/>
    <w:rsid w:val="000843A5"/>
    <w:rsid w:val="000910DA"/>
    <w:rsid w:val="00096D6C"/>
    <w:rsid w:val="000B6F63"/>
    <w:rsid w:val="000D093F"/>
    <w:rsid w:val="000D3E39"/>
    <w:rsid w:val="000D6152"/>
    <w:rsid w:val="000E43CC"/>
    <w:rsid w:val="001378E6"/>
    <w:rsid w:val="001404AB"/>
    <w:rsid w:val="001511B3"/>
    <w:rsid w:val="00152BAF"/>
    <w:rsid w:val="0017231D"/>
    <w:rsid w:val="001810DC"/>
    <w:rsid w:val="00187632"/>
    <w:rsid w:val="001B607F"/>
    <w:rsid w:val="001C5FC8"/>
    <w:rsid w:val="001C6DDE"/>
    <w:rsid w:val="001D369A"/>
    <w:rsid w:val="001E480A"/>
    <w:rsid w:val="001F08B3"/>
    <w:rsid w:val="001F2FE0"/>
    <w:rsid w:val="00200854"/>
    <w:rsid w:val="002070FB"/>
    <w:rsid w:val="00213729"/>
    <w:rsid w:val="002301BF"/>
    <w:rsid w:val="002406FA"/>
    <w:rsid w:val="00244039"/>
    <w:rsid w:val="00254511"/>
    <w:rsid w:val="0026107B"/>
    <w:rsid w:val="00275DF8"/>
    <w:rsid w:val="00283787"/>
    <w:rsid w:val="00284C2C"/>
    <w:rsid w:val="0029654C"/>
    <w:rsid w:val="00297E12"/>
    <w:rsid w:val="002B2E47"/>
    <w:rsid w:val="002D2649"/>
    <w:rsid w:val="002D7F4F"/>
    <w:rsid w:val="002F03BD"/>
    <w:rsid w:val="002F72F8"/>
    <w:rsid w:val="003009A8"/>
    <w:rsid w:val="00311F84"/>
    <w:rsid w:val="00321A0B"/>
    <w:rsid w:val="00324416"/>
    <w:rsid w:val="003301A3"/>
    <w:rsid w:val="00355425"/>
    <w:rsid w:val="0036777B"/>
    <w:rsid w:val="003734EA"/>
    <w:rsid w:val="0038282A"/>
    <w:rsid w:val="0039257B"/>
    <w:rsid w:val="00397580"/>
    <w:rsid w:val="003A45C8"/>
    <w:rsid w:val="003C2DCF"/>
    <w:rsid w:val="003C4F7B"/>
    <w:rsid w:val="003C7FE7"/>
    <w:rsid w:val="003D0499"/>
    <w:rsid w:val="003D3576"/>
    <w:rsid w:val="003D529B"/>
    <w:rsid w:val="003F526A"/>
    <w:rsid w:val="00400D3E"/>
    <w:rsid w:val="00405244"/>
    <w:rsid w:val="004154C7"/>
    <w:rsid w:val="004436EE"/>
    <w:rsid w:val="0045547F"/>
    <w:rsid w:val="004569D5"/>
    <w:rsid w:val="00471DEF"/>
    <w:rsid w:val="00472310"/>
    <w:rsid w:val="004767C2"/>
    <w:rsid w:val="00477C2C"/>
    <w:rsid w:val="004920AD"/>
    <w:rsid w:val="0049316F"/>
    <w:rsid w:val="004B41C8"/>
    <w:rsid w:val="004B669F"/>
    <w:rsid w:val="004C1BBB"/>
    <w:rsid w:val="004D05B3"/>
    <w:rsid w:val="004E479E"/>
    <w:rsid w:val="004E7B34"/>
    <w:rsid w:val="004F134E"/>
    <w:rsid w:val="004F2EB1"/>
    <w:rsid w:val="004F37E1"/>
    <w:rsid w:val="004F686C"/>
    <w:rsid w:val="004F78E6"/>
    <w:rsid w:val="0050420E"/>
    <w:rsid w:val="00512D99"/>
    <w:rsid w:val="005211E4"/>
    <w:rsid w:val="00526271"/>
    <w:rsid w:val="00531644"/>
    <w:rsid w:val="00531DBB"/>
    <w:rsid w:val="00573994"/>
    <w:rsid w:val="0058024A"/>
    <w:rsid w:val="00585F13"/>
    <w:rsid w:val="005E007D"/>
    <w:rsid w:val="005E170B"/>
    <w:rsid w:val="005E266F"/>
    <w:rsid w:val="005E7011"/>
    <w:rsid w:val="005F79FB"/>
    <w:rsid w:val="00604406"/>
    <w:rsid w:val="00605F4A"/>
    <w:rsid w:val="00607822"/>
    <w:rsid w:val="006103AA"/>
    <w:rsid w:val="00613BBF"/>
    <w:rsid w:val="00620602"/>
    <w:rsid w:val="00622B80"/>
    <w:rsid w:val="0064139A"/>
    <w:rsid w:val="00680927"/>
    <w:rsid w:val="00683F5C"/>
    <w:rsid w:val="00692211"/>
    <w:rsid w:val="006931CF"/>
    <w:rsid w:val="006C05CC"/>
    <w:rsid w:val="006C0678"/>
    <w:rsid w:val="006D21EB"/>
    <w:rsid w:val="006E024F"/>
    <w:rsid w:val="006E4E81"/>
    <w:rsid w:val="007048E3"/>
    <w:rsid w:val="00707F7D"/>
    <w:rsid w:val="00717EC5"/>
    <w:rsid w:val="00734E3E"/>
    <w:rsid w:val="007368E3"/>
    <w:rsid w:val="00754C20"/>
    <w:rsid w:val="00770C35"/>
    <w:rsid w:val="007A2048"/>
    <w:rsid w:val="007A57F2"/>
    <w:rsid w:val="007B1333"/>
    <w:rsid w:val="007C771E"/>
    <w:rsid w:val="007D3C54"/>
    <w:rsid w:val="007D51A5"/>
    <w:rsid w:val="007D6941"/>
    <w:rsid w:val="007F43B8"/>
    <w:rsid w:val="007F4AEB"/>
    <w:rsid w:val="007F75B2"/>
    <w:rsid w:val="00803993"/>
    <w:rsid w:val="008043C4"/>
    <w:rsid w:val="00817ADC"/>
    <w:rsid w:val="00831B1B"/>
    <w:rsid w:val="00844154"/>
    <w:rsid w:val="00855FB3"/>
    <w:rsid w:val="00861D0E"/>
    <w:rsid w:val="00862A04"/>
    <w:rsid w:val="008662BB"/>
    <w:rsid w:val="00867569"/>
    <w:rsid w:val="00870B17"/>
    <w:rsid w:val="0087262D"/>
    <w:rsid w:val="00884917"/>
    <w:rsid w:val="0089071F"/>
    <w:rsid w:val="00892C82"/>
    <w:rsid w:val="00896680"/>
    <w:rsid w:val="008976A5"/>
    <w:rsid w:val="008A750A"/>
    <w:rsid w:val="008B3970"/>
    <w:rsid w:val="008C384C"/>
    <w:rsid w:val="008D0F11"/>
    <w:rsid w:val="008D178F"/>
    <w:rsid w:val="008D5290"/>
    <w:rsid w:val="008D7206"/>
    <w:rsid w:val="008F24E5"/>
    <w:rsid w:val="008F592F"/>
    <w:rsid w:val="008F7395"/>
    <w:rsid w:val="008F73B4"/>
    <w:rsid w:val="00904B72"/>
    <w:rsid w:val="00930BA9"/>
    <w:rsid w:val="009322A4"/>
    <w:rsid w:val="0094322B"/>
    <w:rsid w:val="00981D35"/>
    <w:rsid w:val="00986DD7"/>
    <w:rsid w:val="009A28EF"/>
    <w:rsid w:val="009B55B1"/>
    <w:rsid w:val="009B62A7"/>
    <w:rsid w:val="009E1715"/>
    <w:rsid w:val="009E6A7E"/>
    <w:rsid w:val="009E6C8D"/>
    <w:rsid w:val="009F3717"/>
    <w:rsid w:val="00A06AD5"/>
    <w:rsid w:val="00A0762A"/>
    <w:rsid w:val="00A1095E"/>
    <w:rsid w:val="00A128B1"/>
    <w:rsid w:val="00A15612"/>
    <w:rsid w:val="00A16A1F"/>
    <w:rsid w:val="00A25FB7"/>
    <w:rsid w:val="00A31C2D"/>
    <w:rsid w:val="00A4343D"/>
    <w:rsid w:val="00A502F1"/>
    <w:rsid w:val="00A70A83"/>
    <w:rsid w:val="00A81EB3"/>
    <w:rsid w:val="00A955BC"/>
    <w:rsid w:val="00AB3410"/>
    <w:rsid w:val="00AD04BF"/>
    <w:rsid w:val="00AD7489"/>
    <w:rsid w:val="00B00C1D"/>
    <w:rsid w:val="00B5330E"/>
    <w:rsid w:val="00B55375"/>
    <w:rsid w:val="00B632CC"/>
    <w:rsid w:val="00B82AB1"/>
    <w:rsid w:val="00B93527"/>
    <w:rsid w:val="00BA09FD"/>
    <w:rsid w:val="00BA12F1"/>
    <w:rsid w:val="00BA439F"/>
    <w:rsid w:val="00BA6370"/>
    <w:rsid w:val="00BC0246"/>
    <w:rsid w:val="00BC706A"/>
    <w:rsid w:val="00BF7B16"/>
    <w:rsid w:val="00C009CE"/>
    <w:rsid w:val="00C05309"/>
    <w:rsid w:val="00C17FC2"/>
    <w:rsid w:val="00C269D4"/>
    <w:rsid w:val="00C31C8E"/>
    <w:rsid w:val="00C35900"/>
    <w:rsid w:val="00C37ADB"/>
    <w:rsid w:val="00C4160D"/>
    <w:rsid w:val="00C50E8B"/>
    <w:rsid w:val="00C8406E"/>
    <w:rsid w:val="00CA2DB0"/>
    <w:rsid w:val="00CB1940"/>
    <w:rsid w:val="00CB2709"/>
    <w:rsid w:val="00CB2792"/>
    <w:rsid w:val="00CB4EF6"/>
    <w:rsid w:val="00CB6F89"/>
    <w:rsid w:val="00CC0AE9"/>
    <w:rsid w:val="00CC6BC1"/>
    <w:rsid w:val="00CD618A"/>
    <w:rsid w:val="00CE13A2"/>
    <w:rsid w:val="00CE228C"/>
    <w:rsid w:val="00CE71D9"/>
    <w:rsid w:val="00CF545B"/>
    <w:rsid w:val="00D209A7"/>
    <w:rsid w:val="00D271D6"/>
    <w:rsid w:val="00D27D69"/>
    <w:rsid w:val="00D33658"/>
    <w:rsid w:val="00D3597A"/>
    <w:rsid w:val="00D448C2"/>
    <w:rsid w:val="00D542D7"/>
    <w:rsid w:val="00D62B6D"/>
    <w:rsid w:val="00D666C3"/>
    <w:rsid w:val="00D67AAE"/>
    <w:rsid w:val="00D87917"/>
    <w:rsid w:val="00D9189F"/>
    <w:rsid w:val="00DA486E"/>
    <w:rsid w:val="00DB3599"/>
    <w:rsid w:val="00DC014F"/>
    <w:rsid w:val="00DD6F49"/>
    <w:rsid w:val="00DF0E94"/>
    <w:rsid w:val="00DF47FE"/>
    <w:rsid w:val="00E0156A"/>
    <w:rsid w:val="00E06E36"/>
    <w:rsid w:val="00E13264"/>
    <w:rsid w:val="00E256DA"/>
    <w:rsid w:val="00E26704"/>
    <w:rsid w:val="00E31980"/>
    <w:rsid w:val="00E325A5"/>
    <w:rsid w:val="00E6423C"/>
    <w:rsid w:val="00E64C1A"/>
    <w:rsid w:val="00E70E3A"/>
    <w:rsid w:val="00E933E6"/>
    <w:rsid w:val="00E93830"/>
    <w:rsid w:val="00E93E0E"/>
    <w:rsid w:val="00E960EF"/>
    <w:rsid w:val="00EB1ED3"/>
    <w:rsid w:val="00EB438E"/>
    <w:rsid w:val="00EC5116"/>
    <w:rsid w:val="00EC6CBB"/>
    <w:rsid w:val="00ED5A9F"/>
    <w:rsid w:val="00F04EC3"/>
    <w:rsid w:val="00F148B2"/>
    <w:rsid w:val="00F21A2B"/>
    <w:rsid w:val="00F35F8F"/>
    <w:rsid w:val="00F57875"/>
    <w:rsid w:val="00F60982"/>
    <w:rsid w:val="00F72DE7"/>
    <w:rsid w:val="00F73827"/>
    <w:rsid w:val="00F75F2A"/>
    <w:rsid w:val="00FB606D"/>
    <w:rsid w:val="00FB687C"/>
    <w:rsid w:val="00FE7386"/>
    <w:rsid w:val="00FF37CD"/>
    <w:rsid w:val="00FF55C0"/>
    <w:rsid w:val="00FF5D48"/>
    <w:rsid w:val="00FF79E3"/>
    <w:rsid w:val="5F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3E627ECD"/>
  <w15:docId w15:val="{E6155C0E-5F67-4EC3-A7EB-F374DDEE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981D3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981D35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81D35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981D3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770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ctvrtletni-narodni-ucty-tvorba-a-uziti-hdp-a-predbezny-odhad-hd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.benedikt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mir.kermiet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cova8495\Downloads\Rychl&#225;%20informace%20CZ_2022-02-08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BFS3\BARANNU\nu\QU\HDP\VYS\RI\2022\4Q\T30\Graf_HDP_T30_&#382;i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054117072575236E-2"/>
          <c:y val="0.14749411982623345"/>
          <c:w val="0.91732965970245384"/>
          <c:h val="0.6605133475398108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data!$D$5</c:f>
              <c:strCache>
                <c:ptCount val="1"/>
                <c:pt idx="0">
                  <c:v>Mezičtvrtletní reálná změna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data!$B$75:$C$114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  <c:pt idx="24">
                    <c:v>2019</c:v>
                  </c:pt>
                  <c:pt idx="28">
                    <c:v>2020</c:v>
                  </c:pt>
                  <c:pt idx="32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data!$D$75:$D$114</c:f>
              <c:numCache>
                <c:formatCode>#\ ##0.0</c:formatCode>
                <c:ptCount val="40"/>
                <c:pt idx="0">
                  <c:v>-0.42482600265117298</c:v>
                </c:pt>
                <c:pt idx="1">
                  <c:v>0.36715515438079649</c:v>
                </c:pt>
                <c:pt idx="2">
                  <c:v>0.42961534188827954</c:v>
                </c:pt>
                <c:pt idx="3">
                  <c:v>1.2077618620167812</c:v>
                </c:pt>
                <c:pt idx="4">
                  <c:v>-0.5477819651163145</c:v>
                </c:pt>
                <c:pt idx="5">
                  <c:v>0.93479105601741708</c:v>
                </c:pt>
                <c:pt idx="6">
                  <c:v>1.1887742298537773</c:v>
                </c:pt>
                <c:pt idx="7">
                  <c:v>1.1466265356773135</c:v>
                </c:pt>
                <c:pt idx="8">
                  <c:v>1.8941765185746391</c:v>
                </c:pt>
                <c:pt idx="9">
                  <c:v>1.3581142081280859</c:v>
                </c:pt>
                <c:pt idx="10">
                  <c:v>1.2103434128072337</c:v>
                </c:pt>
                <c:pt idx="11">
                  <c:v>0.59343042805642199</c:v>
                </c:pt>
                <c:pt idx="12">
                  <c:v>0.15745332359460917</c:v>
                </c:pt>
                <c:pt idx="13">
                  <c:v>0.33140206996473864</c:v>
                </c:pt>
                <c:pt idx="14">
                  <c:v>0.89640327202043579</c:v>
                </c:pt>
                <c:pt idx="15">
                  <c:v>0.77138224836943436</c:v>
                </c:pt>
                <c:pt idx="16">
                  <c:v>1.6501768420245781</c:v>
                </c:pt>
                <c:pt idx="17">
                  <c:v>2.4798258472657153</c:v>
                </c:pt>
                <c:pt idx="18">
                  <c:v>0.83559458693113697</c:v>
                </c:pt>
                <c:pt idx="19">
                  <c:v>0.81343215586227302</c:v>
                </c:pt>
                <c:pt idx="20">
                  <c:v>0.54160105647851253</c:v>
                </c:pt>
                <c:pt idx="21">
                  <c:v>0.60167090858045924</c:v>
                </c:pt>
                <c:pt idx="22">
                  <c:v>0.71259214422481421</c:v>
                </c:pt>
                <c:pt idx="23">
                  <c:v>0.73865794240386151</c:v>
                </c:pt>
                <c:pt idx="24">
                  <c:v>0.91207969856712623</c:v>
                </c:pt>
                <c:pt idx="25">
                  <c:v>0.67331582335634721</c:v>
                </c:pt>
                <c:pt idx="26">
                  <c:v>0.67154597277419725</c:v>
                </c:pt>
                <c:pt idx="27">
                  <c:v>0.4833658554360909</c:v>
                </c:pt>
                <c:pt idx="28">
                  <c:v>-3.2425707440500986</c:v>
                </c:pt>
                <c:pt idx="29">
                  <c:v>-8.8487042688318525</c:v>
                </c:pt>
                <c:pt idx="30">
                  <c:v>6.9532258277307903</c:v>
                </c:pt>
                <c:pt idx="31">
                  <c:v>1.1405152853573952</c:v>
                </c:pt>
                <c:pt idx="32">
                  <c:v>-0.49517222231260405</c:v>
                </c:pt>
                <c:pt idx="33">
                  <c:v>1.3898756783505632</c:v>
                </c:pt>
                <c:pt idx="34">
                  <c:v>1.6977481966623031</c:v>
                </c:pt>
                <c:pt idx="35">
                  <c:v>0.84991835957713135</c:v>
                </c:pt>
                <c:pt idx="36">
                  <c:v>0.61496138015793633</c:v>
                </c:pt>
                <c:pt idx="37">
                  <c:v>0.30258317681008862</c:v>
                </c:pt>
                <c:pt idx="38">
                  <c:v>-0.24825820893333628</c:v>
                </c:pt>
                <c:pt idx="39">
                  <c:v>-0.30318791388825161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AA-4547-8055-EBAB75D423CF}"/>
            </c:ext>
          </c:extLst>
        </c:ser>
        <c:ser>
          <c:idx val="0"/>
          <c:order val="1"/>
          <c:tx>
            <c:strRef>
              <c:f>data!$G$5</c:f>
              <c:strCache>
                <c:ptCount val="1"/>
                <c:pt idx="0">
                  <c:v>Meziroční reálná změna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data!$B$75:$C$114</c:f>
              <c:multiLvlStrCache>
                <c:ptCount val="4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  <c:pt idx="20">
                    <c:v>2018</c:v>
                  </c:pt>
                  <c:pt idx="24">
                    <c:v>2019</c:v>
                  </c:pt>
                  <c:pt idx="28">
                    <c:v>2020</c:v>
                  </c:pt>
                  <c:pt idx="32">
                    <c:v>2021</c:v>
                  </c:pt>
                  <c:pt idx="36">
                    <c:v>2022</c:v>
                  </c:pt>
                </c:lvl>
              </c:multiLvlStrCache>
            </c:multiLvlStrRef>
          </c:cat>
          <c:val>
            <c:numRef>
              <c:f>data!$G$75:$G$114</c:f>
              <c:numCache>
                <c:formatCode>#\ ##0.0</c:formatCode>
                <c:ptCount val="40"/>
                <c:pt idx="0">
                  <c:v>-1.4371188673953412</c:v>
                </c:pt>
                <c:pt idx="1">
                  <c:v>-0.54201759043044717</c:v>
                </c:pt>
                <c:pt idx="2">
                  <c:v>0.24722671302646404</c:v>
                </c:pt>
                <c:pt idx="3">
                  <c:v>1.5823624133539056</c:v>
                </c:pt>
                <c:pt idx="4">
                  <c:v>1.4569279637957351</c:v>
                </c:pt>
                <c:pt idx="5">
                  <c:v>2.0307271782242822</c:v>
                </c:pt>
                <c:pt idx="6">
                  <c:v>2.8019890527146316</c:v>
                </c:pt>
                <c:pt idx="7">
                  <c:v>2.7398907211888996</c:v>
                </c:pt>
                <c:pt idx="8">
                  <c:v>5.2625750083517033</c:v>
                </c:pt>
                <c:pt idx="9">
                  <c:v>5.7040489994861048</c:v>
                </c:pt>
                <c:pt idx="10">
                  <c:v>5.7265806487638855</c:v>
                </c:pt>
                <c:pt idx="11">
                  <c:v>5.1483356307124382</c:v>
                </c:pt>
                <c:pt idx="12">
                  <c:v>3.3561473070734138</c:v>
                </c:pt>
                <c:pt idx="13">
                  <c:v>2.3091959917000082</c:v>
                </c:pt>
                <c:pt idx="14">
                  <c:v>1.9918473659531628</c:v>
                </c:pt>
                <c:pt idx="15">
                  <c:v>2.1722730142149658</c:v>
                </c:pt>
                <c:pt idx="16">
                  <c:v>3.695024939296502</c:v>
                </c:pt>
                <c:pt idx="17">
                  <c:v>5.9154748938585584</c:v>
                </c:pt>
                <c:pt idx="18">
                  <c:v>5.8516412927584582</c:v>
                </c:pt>
                <c:pt idx="19">
                  <c:v>5.8958110920111153</c:v>
                </c:pt>
                <c:pt idx="20">
                  <c:v>4.7409332982438741</c:v>
                </c:pt>
                <c:pt idx="21">
                  <c:v>2.821338885097731</c:v>
                </c:pt>
                <c:pt idx="22">
                  <c:v>2.6959141687858903</c:v>
                </c:pt>
                <c:pt idx="23">
                  <c:v>2.6197437017841025</c:v>
                </c:pt>
                <c:pt idx="24">
                  <c:v>2.9978799448777949</c:v>
                </c:pt>
                <c:pt idx="25">
                  <c:v>3.0712313540949907</c:v>
                </c:pt>
                <c:pt idx="26">
                  <c:v>3.0292239015638387</c:v>
                </c:pt>
                <c:pt idx="27">
                  <c:v>2.7681270582493624</c:v>
                </c:pt>
                <c:pt idx="28">
                  <c:v>-1.4629386956710846</c:v>
                </c:pt>
                <c:pt idx="29">
                  <c:v>-10.78290466571336</c:v>
                </c:pt>
                <c:pt idx="30">
                  <c:v>-5.2159569739525011</c:v>
                </c:pt>
                <c:pt idx="31">
                  <c:v>-4.5960804470275178</c:v>
                </c:pt>
                <c:pt idx="32">
                  <c:v>-1.8871144320826687</c:v>
                </c:pt>
                <c:pt idx="33">
                  <c:v>9.1334269072149539</c:v>
                </c:pt>
                <c:pt idx="34">
                  <c:v>3.7708183512418287</c:v>
                </c:pt>
                <c:pt idx="35">
                  <c:v>3.4726640387638668</c:v>
                </c:pt>
                <c:pt idx="36">
                  <c:v>4.6270651251434316</c:v>
                </c:pt>
                <c:pt idx="37">
                  <c:v>3.5050574038829154</c:v>
                </c:pt>
                <c:pt idx="38">
                  <c:v>1.524467781288763</c:v>
                </c:pt>
                <c:pt idx="39">
                  <c:v>0.36364878794627487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AA-4547-8055-EBAB75D423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200844800"/>
        <c:axId val="44289984"/>
      </c:barChart>
      <c:catAx>
        <c:axId val="200844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ctr">
                  <a:defRPr/>
                </a:pPr>
                <a:r>
                  <a:rPr lang="cs-CZ" sz="600" b="1" i="0"/>
                  <a:t>Čtvrtletí</a:t>
                </a:r>
              </a:p>
            </c:rich>
          </c:tx>
          <c:layout>
            <c:manualLayout>
              <c:xMode val="edge"/>
              <c:yMode val="edge"/>
              <c:x val="0.47599321872045641"/>
              <c:y val="0.88230044181137623"/>
            </c:manualLayout>
          </c:layout>
          <c:overlay val="0"/>
        </c:title>
        <c:numFmt formatCode="General" sourceLinked="0"/>
        <c:majorTickMark val="out"/>
        <c:minorTickMark val="none"/>
        <c:tickLblPos val="low"/>
        <c:spPr>
          <a:ln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430" baseline="0"/>
            </a:pPr>
            <a:endParaRPr lang="cs-CZ"/>
          </a:p>
        </c:txPr>
        <c:crossAx val="44289984"/>
        <c:crossesAt val="0"/>
        <c:auto val="1"/>
        <c:lblAlgn val="ctr"/>
        <c:lblOffset val="100"/>
        <c:noMultiLvlLbl val="0"/>
      </c:catAx>
      <c:valAx>
        <c:axId val="44289984"/>
        <c:scaling>
          <c:orientation val="minMax"/>
          <c:max val="10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600" baseline="0"/>
                </a:pPr>
                <a:r>
                  <a:rPr lang="cs-CZ" sz="600" baseline="0"/>
                  <a:t>%</a:t>
                </a:r>
                <a:endParaRPr lang="cs-CZ" sz="600" b="0" i="1" baseline="0"/>
              </a:p>
            </c:rich>
          </c:tx>
          <c:layout>
            <c:manualLayout>
              <c:xMode val="edge"/>
              <c:yMode val="edge"/>
              <c:x val="1.800704635586178E-2"/>
              <c:y val="0.4228885496798504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430" baseline="0"/>
            </a:pPr>
            <a:endParaRPr lang="cs-CZ"/>
          </a:p>
        </c:txPr>
        <c:crossAx val="200844800"/>
        <c:crosses val="autoZero"/>
        <c:crossBetween val="between"/>
        <c:majorUnit val="2"/>
      </c:valAx>
      <c:spPr>
        <a:ln>
          <a:solidFill>
            <a:schemeClr val="bg1">
              <a:lumMod val="7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60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600"/>
            </a:pPr>
            <a:endParaRPr lang="cs-CZ"/>
          </a:p>
        </c:txPr>
      </c:legendEntry>
      <c:layout>
        <c:manualLayout>
          <c:xMode val="edge"/>
          <c:yMode val="edge"/>
          <c:x val="1.0071260017624607E-2"/>
          <c:y val="0.91938196784902826"/>
          <c:w val="0.97560887856009215"/>
          <c:h val="4.1594148140311635E-2"/>
        </c:manualLayout>
      </c:layout>
      <c:overlay val="0"/>
      <c:spPr>
        <a:solidFill>
          <a:schemeClr val="bg1">
            <a:lumMod val="95000"/>
          </a:schemeClr>
        </a:solidFill>
      </c:spPr>
    </c:legend>
    <c:plotVisOnly val="1"/>
    <c:dispBlanksAs val="gap"/>
    <c:showDLblsOverMax val="0"/>
  </c:chart>
  <c:spPr>
    <a:ln w="6350">
      <a:solidFill>
        <a:schemeClr val="bg1">
          <a:lumMod val="50000"/>
        </a:schemeClr>
      </a:solidFill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0.01172</cdr:x>
      <cdr:y>0.01536</cdr:y>
    </cdr:from>
    <cdr:to>
      <cdr:x>0.98783</cdr:x>
      <cdr:y>0.12092</cdr:y>
    </cdr:to>
    <cdr:sp macro="" textlink="">
      <cdr:nvSpPr>
        <cdr:cNvPr id="3" name="TextovéPole 1"/>
        <cdr:cNvSpPr txBox="1"/>
      </cdr:nvSpPr>
      <cdr:spPr>
        <a:xfrm xmlns:a="http://schemas.openxmlformats.org/drawingml/2006/main">
          <a:off x="114300" y="76201"/>
          <a:ext cx="9522637" cy="52387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95000"/>
          </a:schemeClr>
        </a:solidFill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1" i="0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Hrubý domácí produkt</a:t>
          </a:r>
        </a:p>
        <a:p xmlns:a="http://schemas.openxmlformats.org/drawingml/2006/main"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cs-CZ" sz="1000" b="0" i="1" baseline="0">
              <a:effectLst/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mezičtvrtletní a meziroční reálná změna, sezónně očištěno</a:t>
          </a:r>
          <a:endParaRPr lang="cs-CZ" sz="1000" b="0" i="1" cap="none" baseline="0">
            <a:latin typeface="Arial" pitchFamily="34" charset="0"/>
            <a:ea typeface="+mn-ea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5517-444A-402A-869E-D72527786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2978F-EF53-4151-9B9D-7492071612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048EA9-AFAE-4B01-8C12-15F6210F2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AF3A1C-E3EA-4777-8F0F-8209B679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74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svecova8495</dc:creator>
  <cp:lastModifiedBy>Benedikt Jan</cp:lastModifiedBy>
  <cp:revision>21</cp:revision>
  <dcterms:created xsi:type="dcterms:W3CDTF">2022-10-27T11:45:00Z</dcterms:created>
  <dcterms:modified xsi:type="dcterms:W3CDTF">2023-01-27T10:14:00Z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