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0BDD9" w14:textId="244C2384" w:rsidR="00E86FC7" w:rsidRDefault="002A04F6" w:rsidP="00D75F5F">
      <w:pPr>
        <w:pStyle w:val="Datum"/>
        <w:spacing w:line="360" w:lineRule="auto"/>
      </w:pPr>
      <w:r>
        <w:t>3</w:t>
      </w:r>
      <w:r w:rsidR="00645994">
        <w:t>. </w:t>
      </w:r>
      <w:r w:rsidR="00575358">
        <w:t>4</w:t>
      </w:r>
      <w:r w:rsidR="00D15313">
        <w:t>.</w:t>
      </w:r>
      <w:r w:rsidR="00645994">
        <w:t xml:space="preserve"> 20</w:t>
      </w:r>
      <w:r w:rsidR="00E86FC7">
        <w:t>2</w:t>
      </w:r>
      <w:r>
        <w:t>3</w:t>
      </w:r>
    </w:p>
    <w:p w14:paraId="000FF864" w14:textId="537AC611" w:rsidR="00D75F5F" w:rsidRPr="00D75F5F" w:rsidRDefault="006661F3" w:rsidP="00D75F5F">
      <w:pPr>
        <w:pStyle w:val="Podtitulek"/>
        <w:spacing w:line="240" w:lineRule="auto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 xml:space="preserve">Míra zadlužení </w:t>
      </w:r>
      <w:r w:rsidR="00615C60">
        <w:rPr>
          <w:color w:val="BD1B21"/>
          <w:sz w:val="32"/>
          <w:szCs w:val="32"/>
        </w:rPr>
        <w:t>vládních institucí</w:t>
      </w:r>
      <w:r w:rsidR="00D75F5F" w:rsidRPr="00D75F5F">
        <w:rPr>
          <w:color w:val="BD1B21"/>
          <w:sz w:val="32"/>
          <w:szCs w:val="32"/>
        </w:rPr>
        <w:t xml:space="preserve"> </w:t>
      </w:r>
      <w:r>
        <w:rPr>
          <w:color w:val="BD1B21"/>
          <w:sz w:val="32"/>
          <w:szCs w:val="32"/>
        </w:rPr>
        <w:t>v roce 2022 rostla</w:t>
      </w:r>
    </w:p>
    <w:p w14:paraId="7FB8BD89" w14:textId="0D94ECEA" w:rsidR="00D75F5F" w:rsidRPr="00D75F5F" w:rsidRDefault="00D75F5F" w:rsidP="00D75F5F">
      <w:pPr>
        <w:pStyle w:val="Nzev"/>
        <w:rPr>
          <w:color w:val="auto"/>
          <w:sz w:val="28"/>
          <w:szCs w:val="28"/>
        </w:rPr>
      </w:pPr>
      <w:r w:rsidRPr="00D75F5F">
        <w:rPr>
          <w:color w:val="auto"/>
          <w:sz w:val="28"/>
          <w:szCs w:val="28"/>
        </w:rPr>
        <w:t>Notifikace deficitu a dluhu vládních institucí – 20</w:t>
      </w:r>
      <w:r w:rsidR="00E86FC7">
        <w:rPr>
          <w:color w:val="auto"/>
          <w:sz w:val="28"/>
          <w:szCs w:val="28"/>
        </w:rPr>
        <w:t>2</w:t>
      </w:r>
      <w:r w:rsidR="002A04F6">
        <w:rPr>
          <w:color w:val="auto"/>
          <w:sz w:val="28"/>
          <w:szCs w:val="28"/>
        </w:rPr>
        <w:t>2</w:t>
      </w:r>
    </w:p>
    <w:p w14:paraId="6D4C2D39" w14:textId="77777777" w:rsidR="00D75F5F" w:rsidRDefault="00D75F5F" w:rsidP="00645994"/>
    <w:p w14:paraId="1E6FE64F" w14:textId="21177395" w:rsidR="00556B2C" w:rsidRPr="001227FF" w:rsidRDefault="00556B2C" w:rsidP="00556B2C">
      <w:pPr>
        <w:rPr>
          <w:b/>
        </w:rPr>
      </w:pPr>
      <w:r w:rsidRPr="001227FF">
        <w:rPr>
          <w:b/>
        </w:rPr>
        <w:t xml:space="preserve">Saldo hospodaření sektoru vládních institucí skončilo </w:t>
      </w:r>
      <w:r w:rsidR="00AE2068" w:rsidRPr="001227FF">
        <w:rPr>
          <w:b/>
        </w:rPr>
        <w:t>za rok</w:t>
      </w:r>
      <w:r w:rsidRPr="001227FF">
        <w:rPr>
          <w:b/>
        </w:rPr>
        <w:t xml:space="preserve"> 20</w:t>
      </w:r>
      <w:r w:rsidR="00F671C0">
        <w:rPr>
          <w:b/>
        </w:rPr>
        <w:t>2</w:t>
      </w:r>
      <w:r w:rsidR="002A04F6">
        <w:rPr>
          <w:b/>
        </w:rPr>
        <w:t>2</w:t>
      </w:r>
      <w:r w:rsidRPr="001227FF">
        <w:rPr>
          <w:b/>
        </w:rPr>
        <w:t xml:space="preserve"> </w:t>
      </w:r>
      <w:r w:rsidR="00F671C0">
        <w:rPr>
          <w:b/>
        </w:rPr>
        <w:t>schodkem</w:t>
      </w:r>
      <w:r w:rsidRPr="001227FF">
        <w:rPr>
          <w:b/>
        </w:rPr>
        <w:t xml:space="preserve"> ve výši </w:t>
      </w:r>
      <w:r w:rsidRPr="001227FF">
        <w:rPr>
          <w:b/>
        </w:rPr>
        <w:br/>
      </w:r>
      <w:r w:rsidR="00A4198E">
        <w:rPr>
          <w:b/>
        </w:rPr>
        <w:t>3,6</w:t>
      </w:r>
      <w:r w:rsidRPr="001227FF">
        <w:rPr>
          <w:b/>
        </w:rPr>
        <w:t xml:space="preserve"> % HDP</w:t>
      </w:r>
      <w:r w:rsidR="006D794D">
        <w:rPr>
          <w:b/>
        </w:rPr>
        <w:t xml:space="preserve">, což představuje meziroční pokles o 1,5 </w:t>
      </w:r>
      <w:r w:rsidR="006D794D" w:rsidRPr="001227FF">
        <w:rPr>
          <w:b/>
        </w:rPr>
        <w:t>procentního bodu (p. b.)</w:t>
      </w:r>
      <w:r w:rsidRPr="001227FF">
        <w:rPr>
          <w:b/>
        </w:rPr>
        <w:t>. Výše zadlužení sektoru dosáhla na konci roku 20</w:t>
      </w:r>
      <w:r w:rsidR="00F671C0">
        <w:rPr>
          <w:b/>
        </w:rPr>
        <w:t>2</w:t>
      </w:r>
      <w:r w:rsidR="002A04F6">
        <w:rPr>
          <w:b/>
        </w:rPr>
        <w:t>2</w:t>
      </w:r>
      <w:r w:rsidRPr="001227FF">
        <w:rPr>
          <w:b/>
        </w:rPr>
        <w:t xml:space="preserve"> úrovně </w:t>
      </w:r>
      <w:r w:rsidR="00700282">
        <w:rPr>
          <w:b/>
        </w:rPr>
        <w:t>4</w:t>
      </w:r>
      <w:r w:rsidR="00A4198E">
        <w:rPr>
          <w:b/>
        </w:rPr>
        <w:t>4</w:t>
      </w:r>
      <w:r w:rsidR="00700282">
        <w:rPr>
          <w:b/>
        </w:rPr>
        <w:t>,</w:t>
      </w:r>
      <w:r w:rsidR="00A4198E">
        <w:rPr>
          <w:b/>
        </w:rPr>
        <w:t>1</w:t>
      </w:r>
      <w:r w:rsidRPr="001227FF">
        <w:rPr>
          <w:b/>
        </w:rPr>
        <w:t xml:space="preserve"> % HDP, při meziročním </w:t>
      </w:r>
      <w:r w:rsidR="00F671C0">
        <w:rPr>
          <w:b/>
        </w:rPr>
        <w:t>nárůstu</w:t>
      </w:r>
      <w:r w:rsidRPr="001227FF">
        <w:rPr>
          <w:b/>
        </w:rPr>
        <w:t xml:space="preserve"> o</w:t>
      </w:r>
      <w:r w:rsidR="00147103">
        <w:rPr>
          <w:b/>
        </w:rPr>
        <w:t> </w:t>
      </w:r>
      <w:r w:rsidR="00A4198E">
        <w:rPr>
          <w:b/>
        </w:rPr>
        <w:t>2</w:t>
      </w:r>
      <w:r w:rsidR="00700282">
        <w:rPr>
          <w:b/>
        </w:rPr>
        <w:t>,</w:t>
      </w:r>
      <w:r w:rsidR="006661F3">
        <w:rPr>
          <w:b/>
        </w:rPr>
        <w:t>1</w:t>
      </w:r>
      <w:r w:rsidR="00147103">
        <w:rPr>
          <w:b/>
        </w:rPr>
        <w:t> </w:t>
      </w:r>
      <w:r w:rsidR="006D794D" w:rsidRPr="001227FF" w:rsidDel="006D794D">
        <w:rPr>
          <w:b/>
        </w:rPr>
        <w:t xml:space="preserve"> </w:t>
      </w:r>
      <w:r w:rsidRPr="001227FF">
        <w:rPr>
          <w:b/>
        </w:rPr>
        <w:t>p.</w:t>
      </w:r>
      <w:r w:rsidR="008D455B">
        <w:rPr>
          <w:b/>
        </w:rPr>
        <w:t> </w:t>
      </w:r>
      <w:r w:rsidRPr="001227FF">
        <w:rPr>
          <w:b/>
        </w:rPr>
        <w:t xml:space="preserve">b. </w:t>
      </w:r>
    </w:p>
    <w:p w14:paraId="45E32F41" w14:textId="15992782" w:rsidR="00645994" w:rsidRDefault="00645994" w:rsidP="00645994"/>
    <w:p w14:paraId="75F0C88D" w14:textId="637E0047" w:rsidR="001208D6" w:rsidRDefault="00F73156" w:rsidP="00645994">
      <w:r>
        <w:rPr>
          <w:i/>
        </w:rPr>
        <w:t>„</w:t>
      </w:r>
      <w:r w:rsidRPr="00957CDE">
        <w:rPr>
          <w:i/>
        </w:rPr>
        <w:t xml:space="preserve">Hospodaření vládních institucí </w:t>
      </w:r>
      <w:r w:rsidR="004D2CDF" w:rsidRPr="00957CDE">
        <w:rPr>
          <w:i/>
        </w:rPr>
        <w:t>za rok 202</w:t>
      </w:r>
      <w:r w:rsidR="00C45FD9" w:rsidRPr="00957CDE">
        <w:rPr>
          <w:i/>
        </w:rPr>
        <w:t>2, které</w:t>
      </w:r>
      <w:r w:rsidR="004D2CDF" w:rsidRPr="00957CDE">
        <w:rPr>
          <w:i/>
        </w:rPr>
        <w:t xml:space="preserve"> </w:t>
      </w:r>
      <w:r w:rsidRPr="00957CDE">
        <w:rPr>
          <w:i/>
        </w:rPr>
        <w:t xml:space="preserve">skončilo schodkem ve výši </w:t>
      </w:r>
      <w:r w:rsidR="00C45FD9" w:rsidRPr="00957CDE">
        <w:rPr>
          <w:i/>
        </w:rPr>
        <w:t>247,5</w:t>
      </w:r>
      <w:r w:rsidRPr="00957CDE">
        <w:rPr>
          <w:i/>
        </w:rPr>
        <w:t xml:space="preserve"> mld. Kč</w:t>
      </w:r>
      <w:r w:rsidR="00C45FD9" w:rsidRPr="00957CDE">
        <w:rPr>
          <w:i/>
        </w:rPr>
        <w:t>, se oproti přechozímu roku vylepšilo</w:t>
      </w:r>
      <w:r w:rsidR="00CC01AF" w:rsidRPr="00957CDE">
        <w:rPr>
          <w:i/>
        </w:rPr>
        <w:t xml:space="preserve"> o 63,1 mld. Kč</w:t>
      </w:r>
      <w:r w:rsidR="00C45FD9" w:rsidRPr="00957CDE">
        <w:rPr>
          <w:i/>
        </w:rPr>
        <w:t xml:space="preserve">. Míra zadlužení </w:t>
      </w:r>
      <w:r w:rsidR="00CC01AF" w:rsidRPr="00957CDE">
        <w:rPr>
          <w:i/>
        </w:rPr>
        <w:t xml:space="preserve">vládních institucí </w:t>
      </w:r>
      <w:r w:rsidR="00957CDE">
        <w:rPr>
          <w:i/>
        </w:rPr>
        <w:t>rostla</w:t>
      </w:r>
      <w:r w:rsidR="00CC01AF" w:rsidRPr="00957CDE">
        <w:rPr>
          <w:i/>
        </w:rPr>
        <w:t xml:space="preserve"> více než </w:t>
      </w:r>
      <w:r w:rsidR="007152A2" w:rsidRPr="00974456">
        <w:rPr>
          <w:i/>
        </w:rPr>
        <w:t>dosažený výsledek hospodaření</w:t>
      </w:r>
      <w:r w:rsidR="007152A2">
        <w:rPr>
          <w:i/>
          <w:iCs/>
          <w:color w:val="1F497D"/>
        </w:rPr>
        <w:t xml:space="preserve"> </w:t>
      </w:r>
      <w:r w:rsidR="00CC01AF" w:rsidRPr="00957CDE">
        <w:rPr>
          <w:i/>
        </w:rPr>
        <w:t>a</w:t>
      </w:r>
      <w:r w:rsidR="004D2CDF" w:rsidRPr="00957CDE">
        <w:rPr>
          <w:i/>
        </w:rPr>
        <w:t xml:space="preserve"> dosáhla </w:t>
      </w:r>
      <w:r w:rsidR="00CC01AF" w:rsidRPr="00957CDE">
        <w:rPr>
          <w:i/>
        </w:rPr>
        <w:t xml:space="preserve">úrovně </w:t>
      </w:r>
      <w:r w:rsidR="004D2CDF" w:rsidRPr="00957CDE">
        <w:rPr>
          <w:i/>
        </w:rPr>
        <w:t>4</w:t>
      </w:r>
      <w:r w:rsidR="00CC01AF" w:rsidRPr="00957CDE">
        <w:rPr>
          <w:i/>
        </w:rPr>
        <w:t>4</w:t>
      </w:r>
      <w:r w:rsidR="004D2CDF" w:rsidRPr="00957CDE">
        <w:rPr>
          <w:i/>
        </w:rPr>
        <w:t>,</w:t>
      </w:r>
      <w:r w:rsidR="00CC01AF" w:rsidRPr="00957CDE">
        <w:rPr>
          <w:i/>
        </w:rPr>
        <w:t>1</w:t>
      </w:r>
      <w:r w:rsidR="004D2CDF" w:rsidRPr="00957CDE">
        <w:rPr>
          <w:i/>
        </w:rPr>
        <w:t xml:space="preserve"> % HDP</w:t>
      </w:r>
      <w:r>
        <w:rPr>
          <w:i/>
        </w:rPr>
        <w:t>“</w:t>
      </w:r>
      <w:r>
        <w:t xml:space="preserve">, uvedla </w:t>
      </w:r>
      <w:r w:rsidRPr="00AC528C">
        <w:t>Helen</w:t>
      </w:r>
      <w:r w:rsidR="00FE3CAF">
        <w:t>a</w:t>
      </w:r>
      <w:r w:rsidRPr="00AC528C">
        <w:t xml:space="preserve"> Houžvičkov</w:t>
      </w:r>
      <w:r>
        <w:t>á</w:t>
      </w:r>
      <w:r w:rsidRPr="00AC528C">
        <w:t>, ředitelk</w:t>
      </w:r>
      <w:r>
        <w:t>a</w:t>
      </w:r>
      <w:r w:rsidRPr="00AC528C">
        <w:t xml:space="preserve"> odboru vládních a finančních účtů ČSÚ</w:t>
      </w:r>
      <w:r>
        <w:t>.</w:t>
      </w:r>
    </w:p>
    <w:p w14:paraId="0DD95477" w14:textId="77777777" w:rsidR="00D41D6C" w:rsidRPr="001227FF" w:rsidRDefault="00D41D6C" w:rsidP="00645994"/>
    <w:p w14:paraId="3798A030" w14:textId="1A1965BD" w:rsidR="00A9120D" w:rsidRPr="001227FF" w:rsidRDefault="000D0FD8" w:rsidP="00A9120D">
      <w:pPr>
        <w:rPr>
          <w:rFonts w:cs="Arial"/>
          <w:szCs w:val="20"/>
        </w:rPr>
      </w:pPr>
      <w:r>
        <w:rPr>
          <w:rFonts w:cs="Arial"/>
          <w:szCs w:val="20"/>
        </w:rPr>
        <w:t xml:space="preserve">Největší podíl na tomto </w:t>
      </w:r>
      <w:r w:rsidR="00DC52D1">
        <w:rPr>
          <w:rFonts w:cs="Arial"/>
          <w:szCs w:val="20"/>
        </w:rPr>
        <w:t>výsledku</w:t>
      </w:r>
      <w:r>
        <w:rPr>
          <w:rFonts w:cs="Arial"/>
          <w:szCs w:val="20"/>
        </w:rPr>
        <w:t xml:space="preserve"> mělo </w:t>
      </w:r>
      <w:r w:rsidR="00DC52D1">
        <w:rPr>
          <w:rFonts w:cs="Arial"/>
          <w:szCs w:val="20"/>
        </w:rPr>
        <w:t xml:space="preserve">i nadále především </w:t>
      </w:r>
      <w:r>
        <w:rPr>
          <w:rFonts w:cs="Arial"/>
          <w:szCs w:val="20"/>
        </w:rPr>
        <w:t>s</w:t>
      </w:r>
      <w:r w:rsidR="00A9120D" w:rsidRPr="001227FF">
        <w:rPr>
          <w:rFonts w:cs="Arial"/>
          <w:szCs w:val="20"/>
        </w:rPr>
        <w:t>aldo hospodaření ústředních vládních institucí</w:t>
      </w:r>
      <w:r>
        <w:rPr>
          <w:rFonts w:cs="Arial"/>
          <w:szCs w:val="20"/>
        </w:rPr>
        <w:t>, které</w:t>
      </w:r>
      <w:r w:rsidR="00A9120D" w:rsidRPr="001227FF">
        <w:rPr>
          <w:rFonts w:cs="Arial"/>
          <w:szCs w:val="20"/>
        </w:rPr>
        <w:t xml:space="preserve"> </w:t>
      </w:r>
      <w:r w:rsidR="00EE0B79">
        <w:rPr>
          <w:rFonts w:cs="Arial"/>
          <w:szCs w:val="20"/>
        </w:rPr>
        <w:t>dosáhlo deficitu</w:t>
      </w:r>
      <w:r w:rsidR="001227FF" w:rsidRPr="001227FF">
        <w:rPr>
          <w:rFonts w:cs="Arial"/>
          <w:szCs w:val="20"/>
        </w:rPr>
        <w:t xml:space="preserve"> </w:t>
      </w:r>
      <w:r w:rsidR="00D72F86">
        <w:rPr>
          <w:rFonts w:cs="Arial"/>
          <w:szCs w:val="20"/>
        </w:rPr>
        <w:t>298</w:t>
      </w:r>
      <w:r w:rsidR="00DC52D1">
        <w:rPr>
          <w:rFonts w:cs="Arial"/>
          <w:szCs w:val="20"/>
        </w:rPr>
        <w:t>,</w:t>
      </w:r>
      <w:r w:rsidR="00BD32C7">
        <w:rPr>
          <w:rFonts w:cs="Arial"/>
          <w:szCs w:val="20"/>
        </w:rPr>
        <w:t>0</w:t>
      </w:r>
      <w:r w:rsidR="00A9120D" w:rsidRPr="001227FF">
        <w:rPr>
          <w:rFonts w:cs="Arial"/>
          <w:szCs w:val="20"/>
        </w:rPr>
        <w:t xml:space="preserve"> mld. Kč</w:t>
      </w:r>
      <w:r w:rsidR="00EE0B79">
        <w:rPr>
          <w:rFonts w:cs="Arial"/>
          <w:szCs w:val="20"/>
        </w:rPr>
        <w:t xml:space="preserve">, </w:t>
      </w:r>
      <w:r w:rsidR="00EE0B79" w:rsidRPr="001227FF">
        <w:rPr>
          <w:rFonts w:cs="Arial"/>
          <w:szCs w:val="20"/>
        </w:rPr>
        <w:t>místní vládní instituc</w:t>
      </w:r>
      <w:r w:rsidR="00EE0B79">
        <w:rPr>
          <w:rFonts w:cs="Arial"/>
          <w:szCs w:val="20"/>
        </w:rPr>
        <w:t>e</w:t>
      </w:r>
      <w:r w:rsidR="00EE0B79" w:rsidRPr="001227FF">
        <w:rPr>
          <w:rFonts w:cs="Arial"/>
          <w:szCs w:val="20"/>
        </w:rPr>
        <w:t xml:space="preserve"> </w:t>
      </w:r>
      <w:r w:rsidR="00DC52D1">
        <w:rPr>
          <w:rFonts w:cs="Arial"/>
          <w:szCs w:val="20"/>
        </w:rPr>
        <w:t>skončily</w:t>
      </w:r>
      <w:r w:rsidR="009B69A8">
        <w:rPr>
          <w:rFonts w:cs="Arial"/>
          <w:szCs w:val="20"/>
        </w:rPr>
        <w:t xml:space="preserve"> </w:t>
      </w:r>
      <w:r w:rsidR="00EE0B79">
        <w:rPr>
          <w:rFonts w:cs="Arial"/>
          <w:szCs w:val="20"/>
        </w:rPr>
        <w:t xml:space="preserve">v přebytku </w:t>
      </w:r>
      <w:r w:rsidR="00D72F86">
        <w:rPr>
          <w:rFonts w:cs="Arial"/>
          <w:szCs w:val="20"/>
        </w:rPr>
        <w:t>52,</w:t>
      </w:r>
      <w:r w:rsidR="006D794D">
        <w:rPr>
          <w:rFonts w:cs="Arial"/>
          <w:szCs w:val="20"/>
        </w:rPr>
        <w:t>8</w:t>
      </w:r>
      <w:r w:rsidR="008D455B">
        <w:rPr>
          <w:rFonts w:cs="Arial"/>
          <w:szCs w:val="20"/>
        </w:rPr>
        <w:t> </w:t>
      </w:r>
      <w:r w:rsidR="00DC52D1">
        <w:rPr>
          <w:rFonts w:cs="Arial"/>
          <w:szCs w:val="20"/>
        </w:rPr>
        <w:t>mld.</w:t>
      </w:r>
      <w:r w:rsidR="008D455B">
        <w:rPr>
          <w:rFonts w:cs="Arial"/>
          <w:szCs w:val="20"/>
        </w:rPr>
        <w:t> </w:t>
      </w:r>
      <w:r w:rsidR="00EE0B79">
        <w:rPr>
          <w:rFonts w:cs="Arial"/>
          <w:szCs w:val="20"/>
        </w:rPr>
        <w:t xml:space="preserve">Kč a </w:t>
      </w:r>
      <w:proofErr w:type="spellStart"/>
      <w:r w:rsidR="00EE0B79" w:rsidRPr="00EE0B79">
        <w:rPr>
          <w:rFonts w:cs="Arial"/>
          <w:szCs w:val="20"/>
        </w:rPr>
        <w:t>subsektor</w:t>
      </w:r>
      <w:proofErr w:type="spellEnd"/>
      <w:r w:rsidR="00EE0B79" w:rsidRPr="00EE0B79">
        <w:rPr>
          <w:rFonts w:cs="Arial"/>
          <w:szCs w:val="20"/>
        </w:rPr>
        <w:t xml:space="preserve"> fondů sociálního zabezpečení (zdravotních pojišťoven) v deficitu </w:t>
      </w:r>
      <w:r w:rsidR="00D72F86">
        <w:rPr>
          <w:rFonts w:cs="Arial"/>
          <w:szCs w:val="20"/>
        </w:rPr>
        <w:t>2,2</w:t>
      </w:r>
      <w:r w:rsidR="008D455B">
        <w:rPr>
          <w:rFonts w:cs="Arial"/>
          <w:szCs w:val="20"/>
        </w:rPr>
        <w:t> </w:t>
      </w:r>
      <w:r w:rsidR="00EE0B79" w:rsidRPr="00EE0B79">
        <w:rPr>
          <w:rFonts w:cs="Arial"/>
          <w:szCs w:val="20"/>
        </w:rPr>
        <w:t>mld. Kč.</w:t>
      </w:r>
    </w:p>
    <w:p w14:paraId="75462787" w14:textId="77777777" w:rsidR="00A9120D" w:rsidRPr="001227FF" w:rsidRDefault="00A9120D" w:rsidP="00645994">
      <w:pPr>
        <w:pStyle w:val="TabulkaGraf"/>
      </w:pPr>
    </w:p>
    <w:p w14:paraId="1F675AEF" w14:textId="6A133727" w:rsidR="00645994" w:rsidRDefault="00E83005" w:rsidP="00645994">
      <w:pPr>
        <w:pStyle w:val="TabulkaGraf"/>
      </w:pPr>
      <w:r w:rsidRPr="001227FF">
        <w:t xml:space="preserve">Tab. 1: </w:t>
      </w:r>
      <w:r w:rsidR="00645994" w:rsidRPr="001227FF">
        <w:t>Notifikační tabulka deficitu</w:t>
      </w:r>
      <w:r w:rsidR="00645994" w:rsidRPr="00556B2C">
        <w:t xml:space="preserve"> a dluhu vládních institucí, Česká republika, 201</w:t>
      </w:r>
      <w:r w:rsidR="002A04F6">
        <w:t>9</w:t>
      </w:r>
      <w:r w:rsidR="00645994" w:rsidRPr="00556B2C">
        <w:t>-20</w:t>
      </w:r>
      <w:r w:rsidR="00BD2ACB">
        <w:t>2</w:t>
      </w:r>
      <w:r w:rsidR="002A04F6">
        <w:t>2</w:t>
      </w:r>
    </w:p>
    <w:tbl>
      <w:tblPr>
        <w:tblW w:w="84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03"/>
        <w:gridCol w:w="1042"/>
        <w:gridCol w:w="1043"/>
        <w:gridCol w:w="1042"/>
        <w:gridCol w:w="1043"/>
      </w:tblGrid>
      <w:tr w:rsidR="00645994" w:rsidRPr="00556B2C" w14:paraId="4463186A" w14:textId="77777777" w:rsidTr="00C57C62">
        <w:trPr>
          <w:cantSplit/>
        </w:trPr>
        <w:tc>
          <w:tcPr>
            <w:tcW w:w="3261" w:type="dxa"/>
            <w:vMerge w:val="restart"/>
            <w:vAlign w:val="center"/>
          </w:tcPr>
          <w:p w14:paraId="5B184416" w14:textId="77777777" w:rsidR="00645994" w:rsidRPr="00556B2C" w:rsidRDefault="00645994" w:rsidP="00C57C62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 w:val="restart"/>
            <w:vAlign w:val="center"/>
          </w:tcPr>
          <w:p w14:paraId="4CF8E1D9" w14:textId="77777777" w:rsidR="00645994" w:rsidRPr="00556B2C" w:rsidRDefault="00645994" w:rsidP="00C57C6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Jednotka</w:t>
            </w:r>
          </w:p>
        </w:tc>
        <w:tc>
          <w:tcPr>
            <w:tcW w:w="4170" w:type="dxa"/>
            <w:gridSpan w:val="4"/>
            <w:vAlign w:val="center"/>
          </w:tcPr>
          <w:p w14:paraId="02FD2438" w14:textId="77777777" w:rsidR="00645994" w:rsidRPr="00556B2C" w:rsidRDefault="00645994" w:rsidP="00C57C6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Rok</w:t>
            </w:r>
          </w:p>
        </w:tc>
      </w:tr>
      <w:tr w:rsidR="00D72F86" w:rsidRPr="00556B2C" w14:paraId="7D649C90" w14:textId="77777777" w:rsidTr="00C57C62">
        <w:trPr>
          <w:cantSplit/>
        </w:trPr>
        <w:tc>
          <w:tcPr>
            <w:tcW w:w="3261" w:type="dxa"/>
            <w:vMerge/>
            <w:vAlign w:val="center"/>
          </w:tcPr>
          <w:p w14:paraId="28AC6A76" w14:textId="77777777" w:rsidR="00D72F86" w:rsidRPr="00556B2C" w:rsidRDefault="00D72F86" w:rsidP="00D72F86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14:paraId="797CF413" w14:textId="77777777" w:rsidR="00D72F86" w:rsidRPr="00556B2C" w:rsidRDefault="00D72F86" w:rsidP="00D72F8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9AC7A7B" w14:textId="274DD133" w:rsidR="00D72F86" w:rsidRDefault="00D72F86" w:rsidP="00D72F86">
            <w:pPr>
              <w:spacing w:line="240" w:lineRule="auto"/>
              <w:jc w:val="center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>2019</w:t>
            </w:r>
          </w:p>
        </w:tc>
        <w:tc>
          <w:tcPr>
            <w:tcW w:w="1043" w:type="dxa"/>
            <w:vAlign w:val="center"/>
          </w:tcPr>
          <w:p w14:paraId="78E3AB01" w14:textId="398FF35E" w:rsidR="00D72F86" w:rsidRDefault="00D72F86" w:rsidP="00D72F8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</w:t>
            </w:r>
          </w:p>
        </w:tc>
        <w:tc>
          <w:tcPr>
            <w:tcW w:w="1042" w:type="dxa"/>
            <w:vAlign w:val="center"/>
          </w:tcPr>
          <w:p w14:paraId="51243BE6" w14:textId="357E40A4" w:rsidR="00D72F86" w:rsidRDefault="00D72F86" w:rsidP="00D72F8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</w:t>
            </w:r>
          </w:p>
        </w:tc>
        <w:tc>
          <w:tcPr>
            <w:tcW w:w="1043" w:type="dxa"/>
            <w:vAlign w:val="center"/>
          </w:tcPr>
          <w:p w14:paraId="761ACE2D" w14:textId="77FC594E" w:rsidR="00D72F86" w:rsidRDefault="00D72F86" w:rsidP="00D72F8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2022</w:t>
            </w:r>
          </w:p>
        </w:tc>
      </w:tr>
      <w:tr w:rsidR="00AE5F25" w:rsidRPr="00556B2C" w14:paraId="26A4E9F6" w14:textId="77777777" w:rsidTr="00C57C62">
        <w:tc>
          <w:tcPr>
            <w:tcW w:w="3261" w:type="dxa"/>
            <w:vAlign w:val="center"/>
          </w:tcPr>
          <w:p w14:paraId="17D74936" w14:textId="77777777" w:rsidR="00AE5F25" w:rsidRPr="00556B2C" w:rsidRDefault="00AE5F25" w:rsidP="00AE5F25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</w:t>
            </w:r>
          </w:p>
        </w:tc>
        <w:tc>
          <w:tcPr>
            <w:tcW w:w="1003" w:type="dxa"/>
            <w:vAlign w:val="center"/>
          </w:tcPr>
          <w:p w14:paraId="39204AB3" w14:textId="77777777" w:rsidR="00AE5F25" w:rsidRPr="00556B2C" w:rsidRDefault="00AE5F25" w:rsidP="00AE5F25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14:paraId="26DE83B4" w14:textId="5C28DC06" w:rsidR="00AE5F25" w:rsidRDefault="00AE5F25" w:rsidP="00AE5F25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16 709</w:t>
            </w:r>
          </w:p>
        </w:tc>
        <w:tc>
          <w:tcPr>
            <w:tcW w:w="1043" w:type="dxa"/>
            <w:vAlign w:val="center"/>
          </w:tcPr>
          <w:p w14:paraId="416F5F97" w14:textId="275467BA" w:rsidR="00AE5F25" w:rsidRDefault="00AE5F25" w:rsidP="00AE5F25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-329 216</w:t>
            </w:r>
          </w:p>
        </w:tc>
        <w:tc>
          <w:tcPr>
            <w:tcW w:w="1042" w:type="dxa"/>
            <w:vAlign w:val="center"/>
          </w:tcPr>
          <w:p w14:paraId="68B2FD78" w14:textId="0C7FFAE9" w:rsidR="00AE5F25" w:rsidRDefault="00AE5F25" w:rsidP="00AE5F25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-310 628</w:t>
            </w:r>
          </w:p>
        </w:tc>
        <w:tc>
          <w:tcPr>
            <w:tcW w:w="1043" w:type="dxa"/>
            <w:vAlign w:val="center"/>
          </w:tcPr>
          <w:p w14:paraId="35B2C7BA" w14:textId="5DE23250" w:rsidR="00AE5F25" w:rsidRDefault="00AE5F25" w:rsidP="00AE5F25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-247 489</w:t>
            </w:r>
          </w:p>
        </w:tc>
      </w:tr>
      <w:tr w:rsidR="00AE5F25" w:rsidRPr="00556B2C" w14:paraId="76B87F29" w14:textId="77777777" w:rsidTr="00C57C62">
        <w:tc>
          <w:tcPr>
            <w:tcW w:w="3261" w:type="dxa"/>
            <w:vAlign w:val="center"/>
          </w:tcPr>
          <w:p w14:paraId="1FB04F78" w14:textId="77777777" w:rsidR="00AE5F25" w:rsidRPr="00556B2C" w:rsidRDefault="00AE5F25" w:rsidP="00AE5F25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</w:t>
            </w:r>
          </w:p>
        </w:tc>
        <w:tc>
          <w:tcPr>
            <w:tcW w:w="1003" w:type="dxa"/>
            <w:vAlign w:val="center"/>
          </w:tcPr>
          <w:p w14:paraId="49E584E9" w14:textId="77777777" w:rsidR="00AE5F25" w:rsidRPr="00556B2C" w:rsidRDefault="00AE5F25" w:rsidP="00AE5F25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14:paraId="0528C214" w14:textId="2906125D" w:rsidR="00AE5F25" w:rsidRDefault="00AE5F25" w:rsidP="00AE5F25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1 740 263</w:t>
            </w:r>
          </w:p>
        </w:tc>
        <w:tc>
          <w:tcPr>
            <w:tcW w:w="1043" w:type="dxa"/>
            <w:vAlign w:val="center"/>
          </w:tcPr>
          <w:p w14:paraId="07AA2E2B" w14:textId="0B1A85F1" w:rsidR="00AE5F25" w:rsidRDefault="00AE5F25" w:rsidP="00AE5F25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2 149 822</w:t>
            </w:r>
          </w:p>
        </w:tc>
        <w:tc>
          <w:tcPr>
            <w:tcW w:w="1042" w:type="dxa"/>
            <w:vAlign w:val="center"/>
          </w:tcPr>
          <w:p w14:paraId="26B9E43D" w14:textId="412C7FB7" w:rsidR="00AE5F25" w:rsidRDefault="00AE5F25" w:rsidP="00AE5F25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2 566 731</w:t>
            </w:r>
          </w:p>
        </w:tc>
        <w:tc>
          <w:tcPr>
            <w:tcW w:w="1043" w:type="dxa"/>
            <w:vAlign w:val="center"/>
          </w:tcPr>
          <w:p w14:paraId="4475CFFA" w14:textId="3B1331FA" w:rsidR="00AE5F25" w:rsidRDefault="00AE5F25" w:rsidP="00AE5F25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2 997 083</w:t>
            </w:r>
          </w:p>
        </w:tc>
      </w:tr>
      <w:tr w:rsidR="00AE5F25" w:rsidRPr="00556B2C" w14:paraId="772E8A56" w14:textId="77777777" w:rsidTr="00C57C62">
        <w:tc>
          <w:tcPr>
            <w:tcW w:w="3261" w:type="dxa"/>
            <w:vAlign w:val="center"/>
          </w:tcPr>
          <w:p w14:paraId="54DECD17" w14:textId="77777777" w:rsidR="00AE5F25" w:rsidRPr="00556B2C" w:rsidRDefault="00AE5F25" w:rsidP="00AE5F25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 v % HDP</w:t>
            </w:r>
          </w:p>
        </w:tc>
        <w:tc>
          <w:tcPr>
            <w:tcW w:w="1003" w:type="dxa"/>
            <w:vAlign w:val="center"/>
          </w:tcPr>
          <w:p w14:paraId="026EC0B4" w14:textId="77777777" w:rsidR="00AE5F25" w:rsidRPr="00556B2C" w:rsidRDefault="00AE5F25" w:rsidP="00AE5F25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14:paraId="6DE36898" w14:textId="104C70EA" w:rsidR="00AE5F25" w:rsidRDefault="00AE5F25" w:rsidP="00AE5F25">
            <w:pPr>
              <w:spacing w:line="240" w:lineRule="auto"/>
              <w:jc w:val="center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>0,3</w:t>
            </w:r>
          </w:p>
        </w:tc>
        <w:tc>
          <w:tcPr>
            <w:tcW w:w="1043" w:type="dxa"/>
            <w:vAlign w:val="center"/>
          </w:tcPr>
          <w:p w14:paraId="483079B2" w14:textId="5F4AF370" w:rsidR="00AE5F25" w:rsidRDefault="00AE5F25" w:rsidP="00AE5F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-5,8</w:t>
            </w:r>
          </w:p>
        </w:tc>
        <w:tc>
          <w:tcPr>
            <w:tcW w:w="1042" w:type="dxa"/>
            <w:vAlign w:val="center"/>
          </w:tcPr>
          <w:p w14:paraId="06B9706B" w14:textId="52F0C685" w:rsidR="00AE5F25" w:rsidRDefault="00AE5F25" w:rsidP="00AE5F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-5,1</w:t>
            </w:r>
          </w:p>
        </w:tc>
        <w:tc>
          <w:tcPr>
            <w:tcW w:w="1043" w:type="dxa"/>
            <w:vAlign w:val="center"/>
          </w:tcPr>
          <w:p w14:paraId="131A68AE" w14:textId="6F85E6F5" w:rsidR="00AE5F25" w:rsidRDefault="00AE5F25" w:rsidP="00AE5F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-3,6</w:t>
            </w:r>
          </w:p>
        </w:tc>
      </w:tr>
      <w:tr w:rsidR="00AE5F25" w:rsidRPr="00AB45CA" w14:paraId="053D044F" w14:textId="77777777" w:rsidTr="00C57C62">
        <w:tc>
          <w:tcPr>
            <w:tcW w:w="3261" w:type="dxa"/>
            <w:vAlign w:val="center"/>
          </w:tcPr>
          <w:p w14:paraId="4F7E0F1C" w14:textId="77777777" w:rsidR="00AE5F25" w:rsidRPr="00556B2C" w:rsidRDefault="00AE5F25" w:rsidP="00AE5F25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 v % HDP</w:t>
            </w:r>
          </w:p>
        </w:tc>
        <w:tc>
          <w:tcPr>
            <w:tcW w:w="1003" w:type="dxa"/>
            <w:vAlign w:val="center"/>
          </w:tcPr>
          <w:p w14:paraId="32168767" w14:textId="77777777" w:rsidR="00AE5F25" w:rsidRPr="00556B2C" w:rsidRDefault="00AE5F25" w:rsidP="00AE5F25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14:paraId="25555947" w14:textId="621B558D" w:rsidR="00AE5F25" w:rsidRDefault="00AE5F25" w:rsidP="00AE5F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30,0</w:t>
            </w:r>
          </w:p>
        </w:tc>
        <w:tc>
          <w:tcPr>
            <w:tcW w:w="1043" w:type="dxa"/>
            <w:vAlign w:val="center"/>
          </w:tcPr>
          <w:p w14:paraId="564ED0FC" w14:textId="248684F7" w:rsidR="00AE5F25" w:rsidRDefault="00AE5F25" w:rsidP="00AE5F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37,7</w:t>
            </w:r>
          </w:p>
        </w:tc>
        <w:tc>
          <w:tcPr>
            <w:tcW w:w="1042" w:type="dxa"/>
            <w:vAlign w:val="center"/>
          </w:tcPr>
          <w:p w14:paraId="28B4255F" w14:textId="5A08F7C4" w:rsidR="00AE5F25" w:rsidRDefault="00AE5F25" w:rsidP="00AE5F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42,0</w:t>
            </w:r>
          </w:p>
        </w:tc>
        <w:tc>
          <w:tcPr>
            <w:tcW w:w="1043" w:type="dxa"/>
            <w:vAlign w:val="center"/>
          </w:tcPr>
          <w:p w14:paraId="220A6E7A" w14:textId="56121DBC" w:rsidR="00AE5F25" w:rsidRDefault="00AE5F25" w:rsidP="00AE5F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44,1</w:t>
            </w:r>
          </w:p>
        </w:tc>
      </w:tr>
    </w:tbl>
    <w:p w14:paraId="15E1BF65" w14:textId="77777777" w:rsidR="00567ADE" w:rsidRDefault="00567ADE" w:rsidP="00482F48">
      <w:pPr>
        <w:rPr>
          <w:rFonts w:cs="Arial"/>
          <w:szCs w:val="20"/>
        </w:rPr>
      </w:pPr>
    </w:p>
    <w:p w14:paraId="76424316" w14:textId="7CE63D9E" w:rsidR="003A42B4" w:rsidRDefault="00AE5F25" w:rsidP="00482F48">
      <w:pPr>
        <w:rPr>
          <w:rFonts w:cs="Arial"/>
          <w:szCs w:val="20"/>
        </w:rPr>
      </w:pPr>
      <w:r>
        <w:rPr>
          <w:rFonts w:cs="Arial"/>
          <w:szCs w:val="20"/>
        </w:rPr>
        <w:t xml:space="preserve">V rámci jarních notifikací bylo též </w:t>
      </w:r>
      <w:r w:rsidR="006D794D">
        <w:rPr>
          <w:rFonts w:cs="Arial"/>
          <w:szCs w:val="20"/>
        </w:rPr>
        <w:t xml:space="preserve">mírně </w:t>
      </w:r>
      <w:r>
        <w:rPr>
          <w:rFonts w:cs="Arial"/>
          <w:szCs w:val="20"/>
        </w:rPr>
        <w:t>revidováno s</w:t>
      </w:r>
      <w:r w:rsidR="00907513" w:rsidRPr="00160D3D">
        <w:rPr>
          <w:rFonts w:cs="Arial"/>
          <w:szCs w:val="20"/>
        </w:rPr>
        <w:t>aldo hospodaření vládních institucí za rok 202</w:t>
      </w:r>
      <w:r w:rsidR="00D72F86" w:rsidRPr="00160D3D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, které se vylepšilo </w:t>
      </w:r>
      <w:r w:rsidR="00567ADE" w:rsidRPr="00160D3D">
        <w:rPr>
          <w:rFonts w:cs="Arial"/>
          <w:szCs w:val="20"/>
        </w:rPr>
        <w:t xml:space="preserve">o </w:t>
      </w:r>
      <w:r w:rsidR="00D72F86" w:rsidRPr="00160D3D">
        <w:rPr>
          <w:rFonts w:cs="Arial"/>
          <w:szCs w:val="20"/>
        </w:rPr>
        <w:t>0,9</w:t>
      </w:r>
      <w:r w:rsidR="00567ADE" w:rsidRPr="00160D3D">
        <w:rPr>
          <w:rFonts w:cs="Arial"/>
          <w:szCs w:val="20"/>
        </w:rPr>
        <w:t xml:space="preserve"> mld. Kč</w:t>
      </w:r>
      <w:r w:rsidR="00907513" w:rsidRPr="00160D3D">
        <w:rPr>
          <w:rFonts w:cs="Arial"/>
          <w:szCs w:val="20"/>
        </w:rPr>
        <w:t xml:space="preserve"> </w:t>
      </w:r>
      <w:r w:rsidR="00141D21" w:rsidRPr="00160D3D">
        <w:rPr>
          <w:rFonts w:cs="Arial"/>
          <w:szCs w:val="20"/>
        </w:rPr>
        <w:t>z</w:t>
      </w:r>
      <w:r w:rsidR="00907513" w:rsidRPr="00160D3D">
        <w:rPr>
          <w:rFonts w:cs="Arial"/>
          <w:szCs w:val="20"/>
        </w:rPr>
        <w:t xml:space="preserve"> důvodu </w:t>
      </w:r>
      <w:r w:rsidR="00D72F86" w:rsidRPr="00160D3D">
        <w:rPr>
          <w:rFonts w:cs="Arial"/>
          <w:szCs w:val="20"/>
        </w:rPr>
        <w:t>aktualizace údajů za daně a přijaté sociální příspěvky</w:t>
      </w:r>
      <w:r w:rsidR="00907513" w:rsidRPr="00160D3D">
        <w:rPr>
          <w:rFonts w:cs="Arial"/>
          <w:szCs w:val="20"/>
        </w:rPr>
        <w:t xml:space="preserve">. </w:t>
      </w:r>
    </w:p>
    <w:p w14:paraId="4C8A0C5F" w14:textId="232C6899" w:rsidR="00907513" w:rsidRDefault="00907513" w:rsidP="00482F48">
      <w:pPr>
        <w:rPr>
          <w:rFonts w:cs="Arial"/>
          <w:szCs w:val="20"/>
        </w:rPr>
      </w:pPr>
    </w:p>
    <w:p w14:paraId="3A562D0A" w14:textId="5AE8ACC5" w:rsidR="00482F48" w:rsidRPr="00C071C3" w:rsidRDefault="00482F48" w:rsidP="00482F48">
      <w:pPr>
        <w:rPr>
          <w:rFonts w:cs="Arial"/>
          <w:szCs w:val="20"/>
        </w:rPr>
      </w:pPr>
      <w:r w:rsidRPr="00C071C3">
        <w:rPr>
          <w:rFonts w:cs="Arial"/>
          <w:szCs w:val="20"/>
        </w:rPr>
        <w:t xml:space="preserve">Celkové příjmy sektoru vládních institucí </w:t>
      </w:r>
      <w:r w:rsidR="00AB2EBD">
        <w:rPr>
          <w:rFonts w:cs="Arial"/>
          <w:szCs w:val="20"/>
        </w:rPr>
        <w:t>vzrostly</w:t>
      </w:r>
      <w:r w:rsidRPr="00C071C3">
        <w:rPr>
          <w:rFonts w:cs="Arial"/>
          <w:szCs w:val="20"/>
        </w:rPr>
        <w:t xml:space="preserve"> v roce 20</w:t>
      </w:r>
      <w:r w:rsidR="00B701EA">
        <w:rPr>
          <w:rFonts w:cs="Arial"/>
          <w:szCs w:val="20"/>
        </w:rPr>
        <w:t>2</w:t>
      </w:r>
      <w:r w:rsidR="002A04F6">
        <w:rPr>
          <w:rFonts w:cs="Arial"/>
          <w:szCs w:val="20"/>
        </w:rPr>
        <w:t>2</w:t>
      </w:r>
      <w:r w:rsidR="00DC62D6" w:rsidRPr="00C071C3">
        <w:rPr>
          <w:rFonts w:cs="Arial"/>
          <w:szCs w:val="20"/>
        </w:rPr>
        <w:t xml:space="preserve"> meziročně o </w:t>
      </w:r>
      <w:r w:rsidR="004F6ADE" w:rsidRPr="0098728E">
        <w:rPr>
          <w:rFonts w:cs="Arial"/>
          <w:szCs w:val="20"/>
        </w:rPr>
        <w:t>10,0</w:t>
      </w:r>
      <w:r w:rsidR="004F6ADE" w:rsidRPr="0098728E">
        <w:rPr>
          <w:rFonts w:cs="Arial"/>
          <w:szCs w:val="20"/>
          <w:vertAlign w:val="superscript"/>
        </w:rPr>
        <w:t>*</w:t>
      </w:r>
      <w:r w:rsidRPr="00C071C3">
        <w:rPr>
          <w:rFonts w:cs="Arial"/>
          <w:szCs w:val="20"/>
        </w:rPr>
        <w:t xml:space="preserve"> %, což </w:t>
      </w:r>
      <w:r w:rsidR="00AB2EBD">
        <w:rPr>
          <w:rFonts w:cs="Arial"/>
          <w:szCs w:val="20"/>
        </w:rPr>
        <w:t>v absolutním vyjádření představovalo nárůst</w:t>
      </w:r>
      <w:r w:rsidRPr="00C071C3">
        <w:rPr>
          <w:rFonts w:cs="Arial"/>
          <w:szCs w:val="20"/>
        </w:rPr>
        <w:t xml:space="preserve"> o </w:t>
      </w:r>
      <w:r w:rsidR="00D72F86">
        <w:rPr>
          <w:rFonts w:cs="Arial"/>
          <w:szCs w:val="20"/>
        </w:rPr>
        <w:t>252,3</w:t>
      </w:r>
      <w:r w:rsidRPr="00C071C3">
        <w:rPr>
          <w:rFonts w:cs="Arial"/>
          <w:szCs w:val="20"/>
        </w:rPr>
        <w:t xml:space="preserve"> mld. Kč. </w:t>
      </w:r>
      <w:r w:rsidR="00C60083">
        <w:rPr>
          <w:rFonts w:cs="Arial"/>
          <w:szCs w:val="20"/>
        </w:rPr>
        <w:t xml:space="preserve">Nejvíce </w:t>
      </w:r>
      <w:r w:rsidR="00AB2EBD">
        <w:rPr>
          <w:rFonts w:cs="Arial"/>
          <w:szCs w:val="20"/>
        </w:rPr>
        <w:t>rostly</w:t>
      </w:r>
      <w:r w:rsidR="00C60083">
        <w:rPr>
          <w:rFonts w:cs="Arial"/>
          <w:szCs w:val="20"/>
        </w:rPr>
        <w:t xml:space="preserve"> příjmy </w:t>
      </w:r>
      <w:r w:rsidR="00D72F86">
        <w:rPr>
          <w:rFonts w:cs="Arial"/>
          <w:szCs w:val="20"/>
        </w:rPr>
        <w:t>ze sociálních příspěvků</w:t>
      </w:r>
      <w:r w:rsidR="00AE5F25">
        <w:rPr>
          <w:rFonts w:cs="Arial"/>
          <w:szCs w:val="20"/>
        </w:rPr>
        <w:t xml:space="preserve"> a</w:t>
      </w:r>
      <w:r w:rsidR="00AB2EBD">
        <w:rPr>
          <w:rFonts w:cs="Arial"/>
          <w:szCs w:val="20"/>
        </w:rPr>
        <w:t xml:space="preserve"> </w:t>
      </w:r>
      <w:r w:rsidR="00C60083">
        <w:rPr>
          <w:rFonts w:cs="Arial"/>
          <w:szCs w:val="20"/>
        </w:rPr>
        <w:t>z daní z výroby a dovozu</w:t>
      </w:r>
      <w:r w:rsidR="00F03DBE" w:rsidRPr="00C071C3">
        <w:rPr>
          <w:rFonts w:cs="Arial"/>
          <w:szCs w:val="20"/>
        </w:rPr>
        <w:t>.</w:t>
      </w:r>
      <w:r w:rsidR="001716F1" w:rsidRPr="00C071C3">
        <w:rPr>
          <w:rFonts w:cs="Arial"/>
          <w:szCs w:val="20"/>
        </w:rPr>
        <w:t xml:space="preserve"> </w:t>
      </w:r>
    </w:p>
    <w:p w14:paraId="170AB6AC" w14:textId="77777777" w:rsidR="00482F48" w:rsidRPr="00C071C3" w:rsidRDefault="00482F48" w:rsidP="00482F48">
      <w:pPr>
        <w:rPr>
          <w:rFonts w:cs="Arial"/>
          <w:szCs w:val="20"/>
        </w:rPr>
      </w:pPr>
    </w:p>
    <w:p w14:paraId="77AC2CC0" w14:textId="3B307425" w:rsidR="00AE68C2" w:rsidRPr="00FF6590" w:rsidRDefault="00482F48" w:rsidP="00556B2C">
      <w:pPr>
        <w:rPr>
          <w:rFonts w:cs="Arial"/>
          <w:szCs w:val="20"/>
        </w:rPr>
      </w:pPr>
      <w:r w:rsidRPr="00C071C3">
        <w:rPr>
          <w:rFonts w:cs="Arial"/>
          <w:szCs w:val="20"/>
        </w:rPr>
        <w:t>Celkové výdaje sektoru vládních institucí meziročně vzrostly v roce 20</w:t>
      </w:r>
      <w:r w:rsidR="003B79DB">
        <w:rPr>
          <w:rFonts w:cs="Arial"/>
          <w:szCs w:val="20"/>
        </w:rPr>
        <w:t>2</w:t>
      </w:r>
      <w:r w:rsidR="002A04F6">
        <w:rPr>
          <w:rFonts w:cs="Arial"/>
          <w:szCs w:val="20"/>
        </w:rPr>
        <w:t>2</w:t>
      </w:r>
      <w:r w:rsidRPr="00C071C3">
        <w:rPr>
          <w:rFonts w:cs="Arial"/>
          <w:szCs w:val="20"/>
        </w:rPr>
        <w:t xml:space="preserve"> o </w:t>
      </w:r>
      <w:r w:rsidR="004F6ADE" w:rsidRPr="0098728E">
        <w:rPr>
          <w:rFonts w:cs="Arial"/>
          <w:szCs w:val="20"/>
        </w:rPr>
        <w:t>6,7</w:t>
      </w:r>
      <w:r w:rsidR="004F6ADE" w:rsidRPr="0098728E">
        <w:rPr>
          <w:rFonts w:cs="Arial"/>
          <w:szCs w:val="20"/>
          <w:vertAlign w:val="superscript"/>
        </w:rPr>
        <w:t>*</w:t>
      </w:r>
      <w:r w:rsidR="00437CEB" w:rsidRPr="00C071C3">
        <w:rPr>
          <w:rFonts w:cs="Arial"/>
          <w:szCs w:val="20"/>
        </w:rPr>
        <w:t xml:space="preserve"> %, resp. </w:t>
      </w:r>
      <w:r w:rsidR="002B007C">
        <w:rPr>
          <w:rFonts w:cs="Arial"/>
          <w:szCs w:val="20"/>
        </w:rPr>
        <w:t>189,2</w:t>
      </w:r>
      <w:r w:rsidRPr="00C071C3">
        <w:rPr>
          <w:rFonts w:cs="Arial"/>
          <w:szCs w:val="20"/>
        </w:rPr>
        <w:t xml:space="preserve"> mld. Kč. </w:t>
      </w:r>
      <w:r w:rsidR="003A42B4">
        <w:rPr>
          <w:rFonts w:cs="Arial"/>
          <w:szCs w:val="20"/>
        </w:rPr>
        <w:t>Největší nárůst byl zaznamenán u vyplacených sociálních dáve</w:t>
      </w:r>
      <w:r w:rsidR="002B007C">
        <w:rPr>
          <w:rFonts w:cs="Arial"/>
          <w:szCs w:val="20"/>
        </w:rPr>
        <w:t>k, výdajů</w:t>
      </w:r>
      <w:r w:rsidR="002B007C" w:rsidRPr="002B007C">
        <w:rPr>
          <w:rFonts w:cs="Arial"/>
          <w:szCs w:val="20"/>
        </w:rPr>
        <w:t xml:space="preserve"> na hrubou tvorbu kapitálu a vydané úroky. Pokles byl zaznamenán u dotací.</w:t>
      </w:r>
    </w:p>
    <w:p w14:paraId="4C64B093" w14:textId="00BC321D" w:rsidR="006F2BBD" w:rsidRPr="00B701EA" w:rsidRDefault="006F2BBD" w:rsidP="002758AD">
      <w:pPr>
        <w:rPr>
          <w:rFonts w:cs="Arial"/>
          <w:strike/>
          <w:szCs w:val="20"/>
        </w:rPr>
      </w:pPr>
    </w:p>
    <w:p w14:paraId="18A0DC8C" w14:textId="4CB893EF" w:rsidR="00EC1BF6" w:rsidRDefault="007F42AB" w:rsidP="007F42AB">
      <w:pPr>
        <w:rPr>
          <w:rFonts w:cs="Arial"/>
          <w:szCs w:val="20"/>
        </w:rPr>
      </w:pPr>
      <w:r w:rsidRPr="000F2C04">
        <w:rPr>
          <w:rFonts w:cs="Arial"/>
          <w:szCs w:val="20"/>
        </w:rPr>
        <w:lastRenderedPageBreak/>
        <w:t>Relativní výše dluhu vládních institucí na konci roku 20</w:t>
      </w:r>
      <w:r w:rsidR="00B701EA">
        <w:rPr>
          <w:rFonts w:cs="Arial"/>
          <w:szCs w:val="20"/>
        </w:rPr>
        <w:t>2</w:t>
      </w:r>
      <w:r w:rsidR="002A04F6">
        <w:rPr>
          <w:rFonts w:cs="Arial"/>
          <w:szCs w:val="20"/>
        </w:rPr>
        <w:t>2</w:t>
      </w:r>
      <w:r w:rsidRPr="000F2C04">
        <w:rPr>
          <w:rFonts w:cs="Arial"/>
          <w:szCs w:val="20"/>
        </w:rPr>
        <w:t xml:space="preserve"> dosáhla úrovně </w:t>
      </w:r>
      <w:r w:rsidR="00954F74">
        <w:rPr>
          <w:rFonts w:cs="Arial"/>
          <w:szCs w:val="20"/>
        </w:rPr>
        <w:t>44,1</w:t>
      </w:r>
      <w:r w:rsidRPr="000F2C04">
        <w:rPr>
          <w:rFonts w:cs="Arial"/>
          <w:szCs w:val="20"/>
        </w:rPr>
        <w:t xml:space="preserve"> % HDP. Meziročně došlo k </w:t>
      </w:r>
      <w:r w:rsidR="00B701EA">
        <w:rPr>
          <w:rFonts w:cs="Arial"/>
          <w:szCs w:val="20"/>
        </w:rPr>
        <w:t>nárůstu</w:t>
      </w:r>
      <w:r w:rsidRPr="000F2C04">
        <w:rPr>
          <w:rFonts w:cs="Arial"/>
          <w:szCs w:val="20"/>
        </w:rPr>
        <w:t xml:space="preserve"> výše relativní zadluženosti o </w:t>
      </w:r>
      <w:r w:rsidR="00954F74">
        <w:rPr>
          <w:rFonts w:cs="Arial"/>
          <w:szCs w:val="20"/>
        </w:rPr>
        <w:t>2,1</w:t>
      </w:r>
      <w:r w:rsidRPr="000F2C04">
        <w:rPr>
          <w:rFonts w:cs="Arial"/>
          <w:szCs w:val="20"/>
        </w:rPr>
        <w:t xml:space="preserve"> p. b. Ke </w:t>
      </w:r>
      <w:r w:rsidR="00097B2C">
        <w:rPr>
          <w:rFonts w:cs="Arial"/>
          <w:szCs w:val="20"/>
        </w:rPr>
        <w:t>snížen</w:t>
      </w:r>
      <w:r w:rsidR="00B701EA">
        <w:rPr>
          <w:rFonts w:cs="Arial"/>
          <w:szCs w:val="20"/>
        </w:rPr>
        <w:t>í</w:t>
      </w:r>
      <w:r w:rsidRPr="000F2C04">
        <w:rPr>
          <w:rFonts w:cs="Arial"/>
          <w:szCs w:val="20"/>
        </w:rPr>
        <w:t xml:space="preserve"> relativní výše zadlužení přispěl</w:t>
      </w:r>
      <w:r w:rsidR="00B701EA">
        <w:rPr>
          <w:rFonts w:cs="Arial"/>
          <w:szCs w:val="20"/>
        </w:rPr>
        <w:t xml:space="preserve"> </w:t>
      </w:r>
      <w:r w:rsidR="00097B2C">
        <w:rPr>
          <w:rFonts w:cs="Arial"/>
          <w:szCs w:val="20"/>
        </w:rPr>
        <w:t>nárůst</w:t>
      </w:r>
      <w:r w:rsidRPr="000F2C04">
        <w:rPr>
          <w:rFonts w:cs="Arial"/>
          <w:szCs w:val="20"/>
        </w:rPr>
        <w:t xml:space="preserve"> nominální</w:t>
      </w:r>
      <w:r w:rsidR="00B701EA">
        <w:rPr>
          <w:rFonts w:cs="Arial"/>
          <w:szCs w:val="20"/>
        </w:rPr>
        <w:t>ho</w:t>
      </w:r>
      <w:r w:rsidRPr="000F2C04">
        <w:rPr>
          <w:rFonts w:cs="Arial"/>
          <w:szCs w:val="20"/>
        </w:rPr>
        <w:t xml:space="preserve"> HDP (</w:t>
      </w:r>
      <w:r w:rsidR="00097B2C">
        <w:rPr>
          <w:rFonts w:cs="Arial"/>
          <w:szCs w:val="20"/>
        </w:rPr>
        <w:t xml:space="preserve">- </w:t>
      </w:r>
      <w:r w:rsidR="00954F74">
        <w:rPr>
          <w:rFonts w:cs="Arial"/>
          <w:szCs w:val="20"/>
        </w:rPr>
        <w:t>4,2</w:t>
      </w:r>
      <w:r w:rsidRPr="000F2C04">
        <w:rPr>
          <w:rFonts w:cs="Arial"/>
          <w:szCs w:val="20"/>
        </w:rPr>
        <w:t xml:space="preserve"> p. b.), zatímco nominální </w:t>
      </w:r>
      <w:r w:rsidR="00FC6D23">
        <w:rPr>
          <w:rFonts w:cs="Arial"/>
          <w:szCs w:val="20"/>
        </w:rPr>
        <w:t>růst</w:t>
      </w:r>
      <w:r w:rsidR="00FC6D23" w:rsidRPr="000F2C04">
        <w:rPr>
          <w:rFonts w:cs="Arial"/>
          <w:szCs w:val="20"/>
        </w:rPr>
        <w:t xml:space="preserve"> </w:t>
      </w:r>
      <w:r w:rsidRPr="000F2C04">
        <w:rPr>
          <w:rFonts w:cs="Arial"/>
          <w:szCs w:val="20"/>
        </w:rPr>
        <w:t xml:space="preserve">dluhu </w:t>
      </w:r>
      <w:r w:rsidR="00FC6D23">
        <w:rPr>
          <w:rFonts w:cs="Arial"/>
          <w:szCs w:val="20"/>
        </w:rPr>
        <w:t xml:space="preserve">přispěl </w:t>
      </w:r>
      <w:r w:rsidR="00EC1BF6">
        <w:rPr>
          <w:rFonts w:cs="Arial"/>
          <w:szCs w:val="20"/>
        </w:rPr>
        <w:t xml:space="preserve">ve vztahu k HDP </w:t>
      </w:r>
      <w:r w:rsidR="00FC6D23">
        <w:rPr>
          <w:rFonts w:cs="Arial"/>
          <w:szCs w:val="20"/>
        </w:rPr>
        <w:t xml:space="preserve">ke zvýšení </w:t>
      </w:r>
      <w:r w:rsidR="00EC1BF6">
        <w:rPr>
          <w:rFonts w:cs="Arial"/>
          <w:szCs w:val="20"/>
        </w:rPr>
        <w:t xml:space="preserve">o </w:t>
      </w:r>
      <w:r w:rsidR="00856B8D">
        <w:rPr>
          <w:rFonts w:cs="Arial"/>
          <w:szCs w:val="20"/>
        </w:rPr>
        <w:t>6,</w:t>
      </w:r>
      <w:r w:rsidR="00954F74">
        <w:rPr>
          <w:rFonts w:cs="Arial"/>
          <w:szCs w:val="20"/>
        </w:rPr>
        <w:t>3</w:t>
      </w:r>
      <w:r w:rsidR="00EC1BF6">
        <w:rPr>
          <w:rFonts w:cs="Arial"/>
          <w:szCs w:val="20"/>
        </w:rPr>
        <w:t xml:space="preserve"> p. b.</w:t>
      </w:r>
      <w:r w:rsidRPr="000F2C04">
        <w:rPr>
          <w:rFonts w:cs="Arial"/>
          <w:szCs w:val="20"/>
        </w:rPr>
        <w:t xml:space="preserve"> </w:t>
      </w:r>
    </w:p>
    <w:p w14:paraId="4DE89B3E" w14:textId="70CF848E" w:rsidR="00EC1BF6" w:rsidRDefault="00EC1BF6" w:rsidP="007F42AB">
      <w:pPr>
        <w:rPr>
          <w:rFonts w:cs="Arial"/>
          <w:szCs w:val="20"/>
        </w:rPr>
      </w:pPr>
    </w:p>
    <w:p w14:paraId="62871DF8" w14:textId="165453C3" w:rsidR="00C74C9C" w:rsidRDefault="00954F74" w:rsidP="007F42AB">
      <w:pPr>
        <w:rPr>
          <w:rFonts w:cs="Arial"/>
          <w:szCs w:val="20"/>
        </w:rPr>
      </w:pPr>
      <w:r>
        <w:rPr>
          <w:noProof/>
          <w:lang w:eastAsia="cs-CZ"/>
        </w:rPr>
        <w:drawing>
          <wp:inline distT="0" distB="0" distL="0" distR="0" wp14:anchorId="3C1E285F" wp14:editId="583979E1">
            <wp:extent cx="5257800" cy="2867025"/>
            <wp:effectExtent l="0" t="0" r="0" b="952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2B2AD04" w14:textId="77777777" w:rsidR="00097B2C" w:rsidRDefault="00097B2C" w:rsidP="007F42AB">
      <w:pPr>
        <w:rPr>
          <w:rFonts w:cs="Arial"/>
          <w:szCs w:val="20"/>
        </w:rPr>
      </w:pPr>
    </w:p>
    <w:p w14:paraId="4DD6D5A9" w14:textId="7EEB75D0" w:rsidR="007F42AB" w:rsidRDefault="007F42AB" w:rsidP="007F42AB">
      <w:pPr>
        <w:rPr>
          <w:rFonts w:cs="Arial"/>
          <w:szCs w:val="20"/>
        </w:rPr>
      </w:pPr>
      <w:r w:rsidRPr="000F2C04">
        <w:rPr>
          <w:rFonts w:cs="Arial"/>
          <w:szCs w:val="20"/>
        </w:rPr>
        <w:t>Dluh na konci roku 20</w:t>
      </w:r>
      <w:r w:rsidR="0047318D">
        <w:rPr>
          <w:rFonts w:cs="Arial"/>
          <w:szCs w:val="20"/>
        </w:rPr>
        <w:t>2</w:t>
      </w:r>
      <w:r w:rsidR="002A04F6">
        <w:rPr>
          <w:rFonts w:cs="Arial"/>
          <w:szCs w:val="20"/>
        </w:rPr>
        <w:t>2</w:t>
      </w:r>
      <w:r w:rsidRPr="000F2C04">
        <w:rPr>
          <w:rFonts w:cs="Arial"/>
          <w:szCs w:val="20"/>
        </w:rPr>
        <w:t xml:space="preserve"> dosáhl </w:t>
      </w:r>
      <w:r w:rsidR="0047318D">
        <w:rPr>
          <w:rFonts w:cs="Arial"/>
          <w:szCs w:val="20"/>
        </w:rPr>
        <w:t>2</w:t>
      </w:r>
      <w:r w:rsidR="00954F74">
        <w:rPr>
          <w:rFonts w:cs="Arial"/>
          <w:szCs w:val="20"/>
        </w:rPr>
        <w:t> 997,1</w:t>
      </w:r>
      <w:r w:rsidR="00C82C4F" w:rsidRPr="000F2C04">
        <w:rPr>
          <w:rFonts w:cs="Arial"/>
          <w:szCs w:val="20"/>
        </w:rPr>
        <w:t xml:space="preserve"> </w:t>
      </w:r>
      <w:r w:rsidRPr="000F2C04">
        <w:rPr>
          <w:rFonts w:cs="Arial"/>
          <w:szCs w:val="20"/>
        </w:rPr>
        <w:t xml:space="preserve">mld. Kč, z čehož </w:t>
      </w:r>
      <w:r w:rsidR="00BD3403">
        <w:rPr>
          <w:rFonts w:cs="Arial"/>
          <w:szCs w:val="20"/>
        </w:rPr>
        <w:t>převážná část je</w:t>
      </w:r>
      <w:r w:rsidRPr="000F2C04">
        <w:rPr>
          <w:rFonts w:cs="Arial"/>
          <w:szCs w:val="20"/>
        </w:rPr>
        <w:t xml:space="preserve"> tvořen</w:t>
      </w:r>
      <w:r w:rsidR="00BD3403">
        <w:rPr>
          <w:rFonts w:cs="Arial"/>
          <w:szCs w:val="20"/>
        </w:rPr>
        <w:t>a</w:t>
      </w:r>
      <w:r w:rsidRPr="000F2C04">
        <w:rPr>
          <w:rFonts w:cs="Arial"/>
          <w:szCs w:val="20"/>
        </w:rPr>
        <w:t xml:space="preserve"> emitovanými dluhovými cennými papíry, jejichž objem meziročně vzrostl o </w:t>
      </w:r>
      <w:r w:rsidR="00160D3D">
        <w:rPr>
          <w:rFonts w:cs="Arial"/>
          <w:szCs w:val="20"/>
        </w:rPr>
        <w:t>239,3</w:t>
      </w:r>
      <w:r w:rsidR="00C82C4F" w:rsidRPr="000F2C04">
        <w:rPr>
          <w:rFonts w:cs="Arial"/>
          <w:szCs w:val="20"/>
        </w:rPr>
        <w:t xml:space="preserve"> </w:t>
      </w:r>
      <w:r w:rsidRPr="000F2C04">
        <w:rPr>
          <w:rFonts w:cs="Arial"/>
          <w:szCs w:val="20"/>
        </w:rPr>
        <w:t xml:space="preserve">mld. Kč </w:t>
      </w:r>
      <w:r w:rsidR="00160D3D" w:rsidRPr="00160D3D">
        <w:rPr>
          <w:rFonts w:cs="Arial"/>
          <w:szCs w:val="20"/>
        </w:rPr>
        <w:t xml:space="preserve">a nově </w:t>
      </w:r>
      <w:r w:rsidR="00160D3D">
        <w:rPr>
          <w:rFonts w:cs="Arial"/>
          <w:szCs w:val="20"/>
        </w:rPr>
        <w:t xml:space="preserve">došlo k výraznému nárůstu </w:t>
      </w:r>
      <w:r w:rsidR="00160D3D" w:rsidRPr="00160D3D">
        <w:rPr>
          <w:rFonts w:cs="Arial"/>
          <w:szCs w:val="20"/>
        </w:rPr>
        <w:t>i u přijatých půjček (+</w:t>
      </w:r>
      <w:r w:rsidR="00160D3D">
        <w:rPr>
          <w:rFonts w:cs="Arial"/>
          <w:szCs w:val="20"/>
        </w:rPr>
        <w:t>184,9</w:t>
      </w:r>
      <w:r w:rsidR="00160D3D" w:rsidRPr="00160D3D">
        <w:rPr>
          <w:rFonts w:cs="Arial"/>
          <w:szCs w:val="20"/>
        </w:rPr>
        <w:t xml:space="preserve"> mld. Kč)</w:t>
      </w:r>
      <w:r w:rsidR="00C45FD9">
        <w:rPr>
          <w:rFonts w:cs="Arial"/>
          <w:szCs w:val="20"/>
        </w:rPr>
        <w:t>.</w:t>
      </w:r>
    </w:p>
    <w:p w14:paraId="2A139623" w14:textId="147776BC" w:rsidR="00C45FD9" w:rsidRDefault="00C45FD9" w:rsidP="007F42AB">
      <w:pPr>
        <w:rPr>
          <w:rFonts w:cs="Arial"/>
          <w:szCs w:val="20"/>
        </w:rPr>
      </w:pPr>
    </w:p>
    <w:p w14:paraId="4612CB8F" w14:textId="796217C6" w:rsidR="00C45FD9" w:rsidRDefault="00C45FD9" w:rsidP="007F42AB">
      <w:pPr>
        <w:rPr>
          <w:rFonts w:cs="Arial"/>
          <w:szCs w:val="20"/>
        </w:rPr>
      </w:pPr>
      <w:r>
        <w:rPr>
          <w:rFonts w:cs="Arial"/>
          <w:szCs w:val="20"/>
        </w:rPr>
        <w:t>Za celý rok</w:t>
      </w:r>
      <w:r w:rsidRPr="00C45FD9">
        <w:rPr>
          <w:rFonts w:cs="Arial"/>
          <w:szCs w:val="20"/>
        </w:rPr>
        <w:t xml:space="preserve"> 2022 byl nárůst dluhu (</w:t>
      </w:r>
      <w:r>
        <w:rPr>
          <w:rFonts w:cs="Arial"/>
          <w:szCs w:val="20"/>
        </w:rPr>
        <w:t>430,</w:t>
      </w:r>
      <w:r w:rsidR="00FC6D23">
        <w:rPr>
          <w:rFonts w:cs="Arial"/>
          <w:szCs w:val="20"/>
        </w:rPr>
        <w:t>4</w:t>
      </w:r>
      <w:r w:rsidRPr="00C45FD9">
        <w:rPr>
          <w:rFonts w:cs="Arial"/>
          <w:szCs w:val="20"/>
        </w:rPr>
        <w:t xml:space="preserve"> mld. Kč) výrazně vyšší než výsledek hospodaření (-</w:t>
      </w:r>
      <w:r>
        <w:rPr>
          <w:rFonts w:cs="Arial"/>
          <w:szCs w:val="20"/>
        </w:rPr>
        <w:t> 247,5</w:t>
      </w:r>
      <w:r w:rsidRPr="00C45FD9">
        <w:rPr>
          <w:rFonts w:cs="Arial"/>
          <w:szCs w:val="20"/>
        </w:rPr>
        <w:t xml:space="preserve"> mld. Kč) sektoru vládních institucí. Vládní instituce si vypůjčily o </w:t>
      </w:r>
      <w:r>
        <w:rPr>
          <w:rFonts w:cs="Arial"/>
          <w:szCs w:val="20"/>
        </w:rPr>
        <w:t>182,</w:t>
      </w:r>
      <w:r w:rsidR="00FC6D23">
        <w:rPr>
          <w:rFonts w:cs="Arial"/>
          <w:szCs w:val="20"/>
        </w:rPr>
        <w:t>9</w:t>
      </w:r>
      <w:r w:rsidRPr="00C45FD9">
        <w:rPr>
          <w:rFonts w:cs="Arial"/>
          <w:szCs w:val="20"/>
        </w:rPr>
        <w:t xml:space="preserve"> mld. Kč více, než byla jejich potřeba financování, což se projevilo na straně aktiv zejména nárůstem hodnoty poskytnutých půjček</w:t>
      </w:r>
      <w:r w:rsidR="00FC6D23">
        <w:rPr>
          <w:rFonts w:cs="Arial"/>
          <w:szCs w:val="20"/>
        </w:rPr>
        <w:t>, vkladů a ostatních pohledávek</w:t>
      </w:r>
      <w:r w:rsidRPr="00C45FD9">
        <w:rPr>
          <w:rFonts w:cs="Arial"/>
          <w:szCs w:val="20"/>
        </w:rPr>
        <w:t>.</w:t>
      </w:r>
    </w:p>
    <w:p w14:paraId="2C47D41C" w14:textId="77777777" w:rsidR="000A3FB6" w:rsidRDefault="000A3FB6" w:rsidP="000A3FB6"/>
    <w:p w14:paraId="45CFA191" w14:textId="7F79D433" w:rsidR="002422E4" w:rsidRDefault="00A4198E" w:rsidP="00FA290B">
      <w:pPr>
        <w:rPr>
          <w:rFonts w:cs="Arial"/>
          <w:szCs w:val="20"/>
          <w:highlight w:val="yellow"/>
        </w:rPr>
      </w:pPr>
      <w:r w:rsidRPr="00A4198E">
        <w:rPr>
          <w:rFonts w:cs="Arial"/>
          <w:szCs w:val="20"/>
        </w:rPr>
        <w:t>Na výsledek hospodaření vládních institucí v roce 202</w:t>
      </w:r>
      <w:r>
        <w:rPr>
          <w:rFonts w:cs="Arial"/>
          <w:szCs w:val="20"/>
        </w:rPr>
        <w:t>2</w:t>
      </w:r>
      <w:r w:rsidRPr="00A4198E">
        <w:rPr>
          <w:rFonts w:cs="Arial"/>
          <w:szCs w:val="20"/>
        </w:rPr>
        <w:t xml:space="preserve"> </w:t>
      </w:r>
      <w:r w:rsidR="00160D3D">
        <w:rPr>
          <w:rFonts w:cs="Arial"/>
          <w:szCs w:val="20"/>
        </w:rPr>
        <w:t xml:space="preserve">měly </w:t>
      </w:r>
      <w:r w:rsidR="00FC6D23">
        <w:rPr>
          <w:rFonts w:cs="Arial"/>
          <w:szCs w:val="20"/>
        </w:rPr>
        <w:t xml:space="preserve">významný </w:t>
      </w:r>
      <w:r w:rsidR="00160D3D">
        <w:rPr>
          <w:rFonts w:cs="Arial"/>
          <w:szCs w:val="20"/>
        </w:rPr>
        <w:t xml:space="preserve">vliv </w:t>
      </w:r>
      <w:r w:rsidR="00160D3D" w:rsidRPr="00160D3D">
        <w:rPr>
          <w:rFonts w:cs="Arial"/>
          <w:szCs w:val="20"/>
        </w:rPr>
        <w:t>dv</w:t>
      </w:r>
      <w:r w:rsidR="00160D3D">
        <w:rPr>
          <w:rFonts w:cs="Arial"/>
          <w:szCs w:val="20"/>
        </w:rPr>
        <w:t>ě</w:t>
      </w:r>
      <w:r w:rsidR="00AE5F25">
        <w:rPr>
          <w:rFonts w:cs="Arial"/>
          <w:szCs w:val="20"/>
        </w:rPr>
        <w:t xml:space="preserve"> mimořádné</w:t>
      </w:r>
      <w:r w:rsidR="00AE5F25" w:rsidRPr="00AE5F25">
        <w:rPr>
          <w:rFonts w:cs="Arial"/>
          <w:szCs w:val="20"/>
        </w:rPr>
        <w:t xml:space="preserve"> okolnost</w:t>
      </w:r>
      <w:r w:rsidR="00AE5F25">
        <w:rPr>
          <w:rFonts w:cs="Arial"/>
          <w:szCs w:val="20"/>
        </w:rPr>
        <w:t>i</w:t>
      </w:r>
      <w:r w:rsidR="00AE5F25" w:rsidRPr="00AE5F25">
        <w:rPr>
          <w:rFonts w:cs="Arial"/>
          <w:szCs w:val="20"/>
        </w:rPr>
        <w:t>,</w:t>
      </w:r>
      <w:r w:rsidR="006E2BB2">
        <w:rPr>
          <w:rFonts w:cs="Arial"/>
          <w:szCs w:val="20"/>
        </w:rPr>
        <w:t xml:space="preserve"> </w:t>
      </w:r>
      <w:r w:rsidR="00FC6D23">
        <w:rPr>
          <w:rFonts w:cs="Arial"/>
          <w:szCs w:val="20"/>
        </w:rPr>
        <w:t xml:space="preserve">prudký </w:t>
      </w:r>
      <w:r w:rsidR="006E2BB2" w:rsidRPr="006E2BB2">
        <w:rPr>
          <w:rFonts w:cs="Arial"/>
          <w:szCs w:val="20"/>
        </w:rPr>
        <w:t>růst cen energií</w:t>
      </w:r>
      <w:r w:rsidR="006E2BB2">
        <w:rPr>
          <w:rFonts w:cs="Arial"/>
          <w:szCs w:val="20"/>
        </w:rPr>
        <w:t xml:space="preserve"> a </w:t>
      </w:r>
      <w:r w:rsidR="006E2BB2" w:rsidRPr="006E2BB2">
        <w:rPr>
          <w:rFonts w:cs="Arial"/>
          <w:szCs w:val="20"/>
        </w:rPr>
        <w:t>válečný konflikt na Ukrajině</w:t>
      </w:r>
      <w:r w:rsidR="00160D3D">
        <w:rPr>
          <w:rFonts w:cs="Arial"/>
          <w:szCs w:val="20"/>
        </w:rPr>
        <w:t>.</w:t>
      </w:r>
      <w:r w:rsidRPr="00A4198E">
        <w:rPr>
          <w:rFonts w:cs="Arial"/>
          <w:szCs w:val="20"/>
        </w:rPr>
        <w:t xml:space="preserve"> </w:t>
      </w:r>
      <w:r w:rsidR="00AE5F25">
        <w:rPr>
          <w:rFonts w:cs="Arial"/>
          <w:szCs w:val="20"/>
        </w:rPr>
        <w:t>Popis a d</w:t>
      </w:r>
      <w:r w:rsidR="00160D3D">
        <w:rPr>
          <w:rFonts w:cs="Arial"/>
          <w:szCs w:val="20"/>
        </w:rPr>
        <w:t>opad těchto okolností</w:t>
      </w:r>
      <w:r w:rsidRPr="00A4198E">
        <w:rPr>
          <w:rFonts w:cs="Arial"/>
          <w:szCs w:val="20"/>
        </w:rPr>
        <w:t xml:space="preserve"> na vládní finanční statistiku je popsán v </w:t>
      </w:r>
      <w:hyperlink r:id="rId9" w:history="1">
        <w:r w:rsidRPr="0098728E">
          <w:rPr>
            <w:rStyle w:val="Hypertextovodkaz"/>
            <w:rFonts w:cs="Arial"/>
            <w:szCs w:val="20"/>
          </w:rPr>
          <w:t>metodické poznámce</w:t>
        </w:r>
      </w:hyperlink>
      <w:bookmarkStart w:id="0" w:name="_GoBack"/>
      <w:bookmarkEnd w:id="0"/>
      <w:r w:rsidRPr="00A4198E">
        <w:rPr>
          <w:rFonts w:cs="Arial"/>
          <w:szCs w:val="20"/>
        </w:rPr>
        <w:t>.</w:t>
      </w:r>
    </w:p>
    <w:p w14:paraId="2441D84A" w14:textId="77777777" w:rsidR="00A4198E" w:rsidRDefault="00A4198E" w:rsidP="00FA290B">
      <w:pPr>
        <w:rPr>
          <w:rFonts w:cs="Arial"/>
          <w:szCs w:val="20"/>
          <w:highlight w:val="yellow"/>
        </w:rPr>
      </w:pPr>
    </w:p>
    <w:p w14:paraId="4976041A" w14:textId="085D01C0" w:rsidR="00556B2C" w:rsidRDefault="00556B2C" w:rsidP="00556B2C">
      <w:r w:rsidRPr="00E155B6">
        <w:rPr>
          <w:rFonts w:cs="Arial"/>
          <w:szCs w:val="20"/>
        </w:rPr>
        <w:t xml:space="preserve">Ukazatele uvedené v tabulce </w:t>
      </w:r>
      <w:r w:rsidR="00C87A51">
        <w:rPr>
          <w:rFonts w:cs="Arial"/>
          <w:szCs w:val="20"/>
        </w:rPr>
        <w:t xml:space="preserve">1 </w:t>
      </w:r>
      <w:r w:rsidRPr="00E155B6">
        <w:rPr>
          <w:rFonts w:cs="Arial"/>
          <w:szCs w:val="20"/>
        </w:rPr>
        <w:t xml:space="preserve">byly zaslány </w:t>
      </w:r>
      <w:r w:rsidR="00E02CF5">
        <w:rPr>
          <w:rFonts w:cs="Arial"/>
          <w:szCs w:val="20"/>
        </w:rPr>
        <w:t>31</w:t>
      </w:r>
      <w:r w:rsidRPr="00FA08BC">
        <w:rPr>
          <w:rFonts w:cs="Arial"/>
          <w:szCs w:val="20"/>
        </w:rPr>
        <w:t xml:space="preserve">. </w:t>
      </w:r>
      <w:r w:rsidR="00E02CF5">
        <w:rPr>
          <w:rFonts w:cs="Arial"/>
          <w:szCs w:val="20"/>
        </w:rPr>
        <w:t>března</w:t>
      </w:r>
      <w:r>
        <w:rPr>
          <w:rFonts w:cs="Arial"/>
          <w:szCs w:val="20"/>
        </w:rPr>
        <w:t xml:space="preserve"> 20</w:t>
      </w:r>
      <w:r w:rsidR="00E02CF5">
        <w:rPr>
          <w:rFonts w:cs="Arial"/>
          <w:szCs w:val="20"/>
        </w:rPr>
        <w:t>2</w:t>
      </w:r>
      <w:r w:rsidR="002A04F6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Eurostatu</w:t>
      </w:r>
      <w:proofErr w:type="spellEnd"/>
      <w:r>
        <w:rPr>
          <w:rFonts w:cs="Arial"/>
          <w:szCs w:val="20"/>
        </w:rPr>
        <w:t>.</w:t>
      </w:r>
    </w:p>
    <w:p w14:paraId="38B6B716" w14:textId="1248DEDC" w:rsidR="00611533" w:rsidRPr="00CA15B7" w:rsidRDefault="00611533" w:rsidP="002A04F6">
      <w:pPr>
        <w:pStyle w:val="Poznmky0"/>
        <w:rPr>
          <w:rFonts w:cs="Arial"/>
          <w:i w:val="0"/>
        </w:rPr>
      </w:pPr>
      <w:proofErr w:type="spellStart"/>
      <w:r>
        <w:t>Poznámky:</w:t>
      </w:r>
      <w:r w:rsidRPr="00CA15B7">
        <w:rPr>
          <w:rFonts w:cs="Arial"/>
        </w:rPr>
        <w:t>Notifikaci</w:t>
      </w:r>
      <w:proofErr w:type="spellEnd"/>
      <w:r w:rsidRPr="00CA15B7">
        <w:rPr>
          <w:rFonts w:cs="Arial"/>
        </w:rPr>
        <w:t xml:space="preserve"> deficitu a dluhu vládních institucí sestavuje a předkládá Evropské komisi každá členská země Evropské unie vždy za čtyři uplynulé roky a formou projekce </w:t>
      </w:r>
      <w:r>
        <w:rPr>
          <w:rFonts w:cs="Arial"/>
        </w:rPr>
        <w:t>za</w:t>
      </w:r>
      <w:r w:rsidRPr="00CA15B7">
        <w:rPr>
          <w:rFonts w:cs="Arial"/>
        </w:rPr>
        <w:t xml:space="preserve"> běžný rok, a to vždy ke konci března a září. Projekci běžného roku sestavuje a publikuje Ministerstvo financí. Kvantifikace fiskálních ukazatelů je založena na metodice Evropského systému národních účtů (ESA 2010)</w:t>
      </w:r>
      <w:r w:rsidR="0081303A">
        <w:rPr>
          <w:rFonts w:cs="Arial"/>
        </w:rPr>
        <w:t xml:space="preserve"> a slouží k  hodnocení plnění maastrichtských konvergenčních kritérií</w:t>
      </w:r>
      <w:r w:rsidRPr="00CA15B7">
        <w:rPr>
          <w:rFonts w:cs="Arial"/>
        </w:rPr>
        <w:t xml:space="preserve">. Podle maastrichtských kritérií výše deficitu </w:t>
      </w:r>
      <w:r w:rsidR="006C19EE">
        <w:rPr>
          <w:rFonts w:cs="Arial"/>
        </w:rPr>
        <w:t>nesmí</w:t>
      </w:r>
      <w:r w:rsidRPr="00CA15B7">
        <w:rPr>
          <w:rFonts w:cs="Arial"/>
        </w:rPr>
        <w:t xml:space="preserve"> překročit 3 % a úroveň kumulovaného dluhu 60 % HDP.</w:t>
      </w:r>
    </w:p>
    <w:p w14:paraId="549A9EE2" w14:textId="77777777" w:rsidR="00611533" w:rsidRPr="00CA15B7" w:rsidRDefault="00611533" w:rsidP="00611533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</w:p>
    <w:p w14:paraId="4ACE206A" w14:textId="77777777" w:rsidR="00611533" w:rsidRPr="00CA15B7" w:rsidRDefault="00611533" w:rsidP="00611533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Přebytek/deficit vládních institucí</w:t>
      </w:r>
      <w:r w:rsidRPr="00CA15B7">
        <w:rPr>
          <w:rFonts w:cs="Arial"/>
          <w:i/>
          <w:sz w:val="18"/>
          <w:szCs w:val="18"/>
        </w:rPr>
        <w:t xml:space="preserve"> je výše čistých půjček (+) nebo výpůjček (</w:t>
      </w:r>
      <w:r>
        <w:rPr>
          <w:rFonts w:cs="Arial"/>
          <w:i/>
          <w:sz w:val="18"/>
          <w:szCs w:val="18"/>
        </w:rPr>
        <w:t>−</w:t>
      </w:r>
      <w:r w:rsidRPr="00CA15B7">
        <w:rPr>
          <w:rFonts w:cs="Arial"/>
          <w:i/>
          <w:sz w:val="18"/>
          <w:szCs w:val="18"/>
        </w:rPr>
        <w:t>) v systému národního účetnictví. Ukazatel vyjadřuje schopnost sektoru v daném roce financovat (+) jiné sektory ekonomiky nebo potřebu tohoto sektoru být ostatními sektory financován (</w:t>
      </w:r>
      <w:r>
        <w:rPr>
          <w:rFonts w:cs="Arial"/>
          <w:i/>
          <w:sz w:val="18"/>
          <w:szCs w:val="18"/>
        </w:rPr>
        <w:t>−</w:t>
      </w:r>
      <w:r w:rsidRPr="00CA15B7">
        <w:rPr>
          <w:rFonts w:cs="Arial"/>
          <w:i/>
          <w:sz w:val="18"/>
          <w:szCs w:val="18"/>
        </w:rPr>
        <w:t>).</w:t>
      </w:r>
    </w:p>
    <w:p w14:paraId="60BE53F4" w14:textId="77777777" w:rsidR="00611533" w:rsidRPr="00CA15B7" w:rsidRDefault="00611533" w:rsidP="00611533">
      <w:pPr>
        <w:rPr>
          <w:rFonts w:cs="Arial"/>
          <w:i/>
          <w:sz w:val="18"/>
          <w:szCs w:val="18"/>
        </w:rPr>
      </w:pPr>
    </w:p>
    <w:p w14:paraId="00A7A27E" w14:textId="3DFAA751" w:rsidR="00611533" w:rsidRDefault="00611533" w:rsidP="00611533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Dluh vládních institucí</w:t>
      </w:r>
      <w:r w:rsidRPr="00CA15B7">
        <w:rPr>
          <w:rFonts w:cs="Arial"/>
          <w:i/>
          <w:sz w:val="18"/>
          <w:szCs w:val="18"/>
        </w:rPr>
        <w:t xml:space="preserve"> představuje nominální výši konsolidovaných závazků sektoru vládních institucí vyplývající z emitovaného oběživa, přijatých vkladů, emitovaných dluhových cenných papírů a přijatých půjček. U </w:t>
      </w:r>
      <w:proofErr w:type="spellStart"/>
      <w:r w:rsidRPr="00CA15B7">
        <w:rPr>
          <w:rFonts w:cs="Arial"/>
          <w:i/>
          <w:sz w:val="18"/>
          <w:szCs w:val="18"/>
        </w:rPr>
        <w:t>cizoměnových</w:t>
      </w:r>
      <w:proofErr w:type="spellEnd"/>
      <w:r w:rsidRPr="00CA15B7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14:paraId="53F1B0A8" w14:textId="29DB8F35" w:rsidR="004F6ADE" w:rsidRDefault="004F6ADE" w:rsidP="00611533">
      <w:pPr>
        <w:rPr>
          <w:rFonts w:cs="Arial"/>
          <w:i/>
          <w:sz w:val="18"/>
          <w:szCs w:val="18"/>
        </w:rPr>
      </w:pPr>
    </w:p>
    <w:p w14:paraId="4203C18D" w14:textId="13DEEED2" w:rsidR="004F6ADE" w:rsidRPr="004F6ADE" w:rsidRDefault="004F6ADE" w:rsidP="004F6ADE">
      <w:pPr>
        <w:rPr>
          <w:rFonts w:cs="Arial"/>
          <w:i/>
          <w:sz w:val="18"/>
          <w:szCs w:val="18"/>
        </w:rPr>
      </w:pPr>
      <w:r w:rsidRPr="0098728E">
        <w:rPr>
          <w:rFonts w:cs="Arial"/>
          <w:i/>
          <w:sz w:val="18"/>
          <w:szCs w:val="18"/>
          <w:vertAlign w:val="superscript"/>
        </w:rPr>
        <w:t>*</w:t>
      </w:r>
      <w:r w:rsidRPr="0098728E">
        <w:rPr>
          <w:rFonts w:cs="Arial"/>
          <w:i/>
          <w:sz w:val="18"/>
          <w:szCs w:val="18"/>
        </w:rPr>
        <w:t xml:space="preserve"> Oprava chybného údaje provedená 5. 4. 2023</w:t>
      </w:r>
    </w:p>
    <w:p w14:paraId="3A117000" w14:textId="77777777" w:rsidR="00645994" w:rsidRDefault="00645994" w:rsidP="00645994">
      <w:pPr>
        <w:pStyle w:val="Poznmky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5197"/>
      </w:tblGrid>
      <w:tr w:rsidR="000D1F29" w14:paraId="3EB094E9" w14:textId="77777777" w:rsidTr="00A3199C">
        <w:tc>
          <w:tcPr>
            <w:tcW w:w="3369" w:type="dxa"/>
            <w:shd w:val="clear" w:color="auto" w:fill="auto"/>
          </w:tcPr>
          <w:p w14:paraId="4A027AA1" w14:textId="77777777" w:rsidR="000D1F29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  <w:shd w:val="clear" w:color="auto" w:fill="auto"/>
          </w:tcPr>
          <w:p w14:paraId="5C27547E" w14:textId="77777777" w:rsidR="000A2DDA" w:rsidRPr="00A3199C" w:rsidRDefault="00DC2887" w:rsidP="00586D73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Ing.</w:t>
            </w:r>
            <w:r w:rsidR="00586D73" w:rsidRPr="00A3199C">
              <w:rPr>
                <w:i/>
                <w:iCs/>
                <w:sz w:val="18"/>
                <w:szCs w:val="18"/>
              </w:rPr>
              <w:t xml:space="preserve"> Helena Houžvičková</w:t>
            </w:r>
            <w:r w:rsidRPr="00A3199C">
              <w:rPr>
                <w:i/>
                <w:iCs/>
                <w:sz w:val="18"/>
                <w:szCs w:val="18"/>
              </w:rPr>
              <w:t>, ředitel</w:t>
            </w:r>
            <w:r w:rsidR="00586D73" w:rsidRPr="00A3199C">
              <w:rPr>
                <w:i/>
                <w:iCs/>
                <w:sz w:val="18"/>
                <w:szCs w:val="18"/>
              </w:rPr>
              <w:t>ka</w:t>
            </w:r>
            <w:r w:rsidRPr="00A3199C">
              <w:rPr>
                <w:i/>
                <w:iCs/>
                <w:sz w:val="18"/>
                <w:szCs w:val="18"/>
              </w:rPr>
              <w:t xml:space="preserve"> odboru vládních a finančních účtů, </w:t>
            </w:r>
          </w:p>
          <w:p w14:paraId="6BE15617" w14:textId="77777777" w:rsidR="000D1F29" w:rsidRPr="00A3199C" w:rsidRDefault="00DC2887" w:rsidP="00586D73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tel.:</w:t>
            </w:r>
            <w:r w:rsidR="00586D73" w:rsidRPr="00A3199C">
              <w:rPr>
                <w:i/>
                <w:iCs/>
                <w:sz w:val="18"/>
                <w:szCs w:val="18"/>
              </w:rPr>
              <w:t xml:space="preserve"> 704 688 734</w:t>
            </w:r>
            <w:r w:rsidRPr="00A3199C">
              <w:rPr>
                <w:i/>
                <w:iCs/>
                <w:sz w:val="18"/>
                <w:szCs w:val="18"/>
              </w:rPr>
              <w:t xml:space="preserve">, e-mail: </w:t>
            </w:r>
            <w:hyperlink r:id="rId10" w:history="1">
              <w:r w:rsidR="00586D73" w:rsidRPr="00A3199C">
                <w:rPr>
                  <w:rStyle w:val="Hypertextovodkaz"/>
                  <w:sz w:val="18"/>
                </w:rPr>
                <w:t>helena.houzvickova@czso.cz</w:t>
              </w:r>
            </w:hyperlink>
            <w:r w:rsidR="000D1F29" w:rsidRPr="00A3199C">
              <w:rPr>
                <w:sz w:val="18"/>
              </w:rPr>
              <w:t xml:space="preserve"> </w:t>
            </w:r>
          </w:p>
        </w:tc>
      </w:tr>
      <w:tr w:rsidR="000D1F29" w14:paraId="2AA5ABA8" w14:textId="77777777" w:rsidTr="00A3199C">
        <w:tc>
          <w:tcPr>
            <w:tcW w:w="3369" w:type="dxa"/>
            <w:shd w:val="clear" w:color="auto" w:fill="auto"/>
          </w:tcPr>
          <w:p w14:paraId="174D7F7F" w14:textId="77777777" w:rsidR="000D1F29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  <w:shd w:val="clear" w:color="auto" w:fill="auto"/>
          </w:tcPr>
          <w:p w14:paraId="1320DE3E" w14:textId="77777777" w:rsidR="000A2DDA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Ing. Jaroslav Kahoun,</w:t>
            </w:r>
            <w:r w:rsidR="00874492" w:rsidRPr="00A3199C">
              <w:rPr>
                <w:i/>
                <w:iCs/>
                <w:sz w:val="18"/>
                <w:szCs w:val="18"/>
              </w:rPr>
              <w:t xml:space="preserve"> vedoucí oddělení vládních účtů,</w:t>
            </w:r>
            <w:r w:rsidRPr="00A3199C">
              <w:rPr>
                <w:i/>
                <w:iCs/>
                <w:sz w:val="18"/>
                <w:szCs w:val="18"/>
              </w:rPr>
              <w:t xml:space="preserve"> </w:t>
            </w:r>
          </w:p>
          <w:p w14:paraId="6EFA9F5A" w14:textId="77777777" w:rsidR="000D1F29" w:rsidRPr="00A3199C" w:rsidRDefault="000D1F29" w:rsidP="00C57C62">
            <w:pPr>
              <w:rPr>
                <w:sz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tel.: 274</w:t>
            </w:r>
            <w:r w:rsidR="001F63B0" w:rsidRPr="00A3199C">
              <w:rPr>
                <w:i/>
                <w:iCs/>
                <w:sz w:val="18"/>
                <w:szCs w:val="18"/>
              </w:rPr>
              <w:t> </w:t>
            </w:r>
            <w:r w:rsidRPr="00A3199C">
              <w:rPr>
                <w:i/>
                <w:iCs/>
                <w:sz w:val="18"/>
                <w:szCs w:val="18"/>
              </w:rPr>
              <w:t>054</w:t>
            </w:r>
            <w:r w:rsidR="001F63B0" w:rsidRPr="00A3199C">
              <w:rPr>
                <w:i/>
                <w:iCs/>
                <w:sz w:val="18"/>
                <w:szCs w:val="18"/>
              </w:rPr>
              <w:t xml:space="preserve"> </w:t>
            </w:r>
            <w:r w:rsidRPr="00A3199C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11" w:history="1">
              <w:r w:rsidRPr="00A3199C">
                <w:rPr>
                  <w:rStyle w:val="Hypertextovodkaz"/>
                  <w:sz w:val="18"/>
                </w:rPr>
                <w:t>jaroslav.kahoun@czso.cz</w:t>
              </w:r>
            </w:hyperlink>
            <w:r w:rsidRPr="00A3199C">
              <w:rPr>
                <w:sz w:val="18"/>
              </w:rPr>
              <w:t xml:space="preserve"> </w:t>
            </w:r>
          </w:p>
          <w:p w14:paraId="1FC02DB1" w14:textId="77777777" w:rsidR="000D1F29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D1F29" w14:paraId="1B1194CF" w14:textId="77777777" w:rsidTr="00A3199C">
        <w:tc>
          <w:tcPr>
            <w:tcW w:w="3369" w:type="dxa"/>
            <w:shd w:val="clear" w:color="auto" w:fill="auto"/>
          </w:tcPr>
          <w:p w14:paraId="30B70308" w14:textId="77777777" w:rsidR="000D1F29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  <w:shd w:val="clear" w:color="auto" w:fill="auto"/>
          </w:tcPr>
          <w:p w14:paraId="77FC09D1" w14:textId="685A3C10" w:rsidR="000D1F29" w:rsidRPr="00A3199C" w:rsidRDefault="003303B1" w:rsidP="00034546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2</w:t>
            </w:r>
            <w:r w:rsidR="00034546">
              <w:rPr>
                <w:i/>
                <w:iCs/>
                <w:sz w:val="18"/>
                <w:szCs w:val="18"/>
              </w:rPr>
              <w:t>1</w:t>
            </w:r>
            <w:r w:rsidR="000D1F29" w:rsidRPr="00A3199C">
              <w:rPr>
                <w:i/>
                <w:iCs/>
                <w:sz w:val="18"/>
                <w:szCs w:val="18"/>
              </w:rPr>
              <w:t xml:space="preserve">. </w:t>
            </w:r>
            <w:r w:rsidR="006E053D" w:rsidRPr="00A3199C">
              <w:rPr>
                <w:i/>
                <w:iCs/>
                <w:sz w:val="18"/>
                <w:szCs w:val="18"/>
              </w:rPr>
              <w:t>04</w:t>
            </w:r>
            <w:r w:rsidR="000D1F29" w:rsidRPr="00A3199C">
              <w:rPr>
                <w:i/>
                <w:iCs/>
                <w:sz w:val="18"/>
                <w:szCs w:val="18"/>
              </w:rPr>
              <w:t>. 20</w:t>
            </w:r>
            <w:r w:rsidR="006E053D" w:rsidRPr="00A3199C">
              <w:rPr>
                <w:i/>
                <w:iCs/>
                <w:sz w:val="18"/>
                <w:szCs w:val="18"/>
              </w:rPr>
              <w:t>2</w:t>
            </w:r>
            <w:r w:rsidR="00034546">
              <w:rPr>
                <w:i/>
                <w:iCs/>
                <w:sz w:val="18"/>
                <w:szCs w:val="18"/>
              </w:rPr>
              <w:t>3</w:t>
            </w:r>
          </w:p>
        </w:tc>
      </w:tr>
    </w:tbl>
    <w:p w14:paraId="0C8682AC" w14:textId="77777777" w:rsidR="00CA15B7" w:rsidRPr="00645994" w:rsidRDefault="00CA15B7" w:rsidP="00C87A51"/>
    <w:sectPr w:rsidR="00CA15B7" w:rsidRPr="00645994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77B67" w14:textId="77777777" w:rsidR="008537CE" w:rsidRDefault="008537CE" w:rsidP="00BA6370">
      <w:r>
        <w:separator/>
      </w:r>
    </w:p>
  </w:endnote>
  <w:endnote w:type="continuationSeparator" w:id="0">
    <w:p w14:paraId="7F1BB6F5" w14:textId="77777777" w:rsidR="008537CE" w:rsidRDefault="008537C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D358" w14:textId="66EA650F" w:rsidR="00D16A21" w:rsidRDefault="00E21DB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A377CB" wp14:editId="24C2F980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1FAB8" w14:textId="77777777" w:rsidR="00D16A21" w:rsidRPr="001404AB" w:rsidRDefault="00D16A21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F3C5803" w14:textId="371DA3EC" w:rsidR="00D16A21" w:rsidRPr="00A81EB3" w:rsidRDefault="00D16A21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8728E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377C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6541FAB8" w14:textId="77777777" w:rsidR="00D16A21" w:rsidRPr="001404AB" w:rsidRDefault="00D16A21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F3C5803" w14:textId="371DA3EC" w:rsidR="00D16A21" w:rsidRPr="00A81EB3" w:rsidRDefault="00D16A21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8728E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137659D" wp14:editId="1F2E7560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7489D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35934" w14:textId="77777777" w:rsidR="008537CE" w:rsidRDefault="008537CE" w:rsidP="00BA6370">
      <w:r>
        <w:separator/>
      </w:r>
    </w:p>
  </w:footnote>
  <w:footnote w:type="continuationSeparator" w:id="0">
    <w:p w14:paraId="5AA519AF" w14:textId="77777777" w:rsidR="008537CE" w:rsidRDefault="008537C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A2C50" w14:textId="7F3334DB" w:rsidR="00D16A21" w:rsidRDefault="00E21DB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3D59435" wp14:editId="1902102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DDB04B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36A"/>
    <w:multiLevelType w:val="hybridMultilevel"/>
    <w:tmpl w:val="ED78CD52"/>
    <w:lvl w:ilvl="0" w:tplc="D6DEC13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5A2A"/>
    <w:multiLevelType w:val="hybridMultilevel"/>
    <w:tmpl w:val="D046A9CE"/>
    <w:lvl w:ilvl="0" w:tplc="2C4495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12A88"/>
    <w:multiLevelType w:val="hybridMultilevel"/>
    <w:tmpl w:val="0FEAE66A"/>
    <w:lvl w:ilvl="0" w:tplc="F7003B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3611F"/>
    <w:multiLevelType w:val="hybridMultilevel"/>
    <w:tmpl w:val="0D2462C4"/>
    <w:lvl w:ilvl="0" w:tplc="4944110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1532B"/>
    <w:multiLevelType w:val="hybridMultilevel"/>
    <w:tmpl w:val="46D4A988"/>
    <w:lvl w:ilvl="0" w:tplc="9A08B0E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BD"/>
    <w:rsid w:val="00003C41"/>
    <w:rsid w:val="00003F55"/>
    <w:rsid w:val="00016240"/>
    <w:rsid w:val="00016649"/>
    <w:rsid w:val="00030F1C"/>
    <w:rsid w:val="000337D8"/>
    <w:rsid w:val="00034546"/>
    <w:rsid w:val="00034D6A"/>
    <w:rsid w:val="00043BF4"/>
    <w:rsid w:val="000843A5"/>
    <w:rsid w:val="00084DC3"/>
    <w:rsid w:val="000910DA"/>
    <w:rsid w:val="00096D6C"/>
    <w:rsid w:val="00097B2C"/>
    <w:rsid w:val="000A05E1"/>
    <w:rsid w:val="000A2DDA"/>
    <w:rsid w:val="000A3FB6"/>
    <w:rsid w:val="000B6F63"/>
    <w:rsid w:val="000D093F"/>
    <w:rsid w:val="000D0FD8"/>
    <w:rsid w:val="000D1F29"/>
    <w:rsid w:val="000D65AB"/>
    <w:rsid w:val="000E421E"/>
    <w:rsid w:val="000E43CC"/>
    <w:rsid w:val="000F02BD"/>
    <w:rsid w:val="000F2C04"/>
    <w:rsid w:val="001011A9"/>
    <w:rsid w:val="00104F61"/>
    <w:rsid w:val="001208D6"/>
    <w:rsid w:val="001227FF"/>
    <w:rsid w:val="0012549E"/>
    <w:rsid w:val="00132653"/>
    <w:rsid w:val="001404AB"/>
    <w:rsid w:val="00141D21"/>
    <w:rsid w:val="00147103"/>
    <w:rsid w:val="001561A8"/>
    <w:rsid w:val="00160D3D"/>
    <w:rsid w:val="001716F1"/>
    <w:rsid w:val="0017231D"/>
    <w:rsid w:val="001810DC"/>
    <w:rsid w:val="00181A94"/>
    <w:rsid w:val="00193555"/>
    <w:rsid w:val="001B287C"/>
    <w:rsid w:val="001B607F"/>
    <w:rsid w:val="001C3D47"/>
    <w:rsid w:val="001D06AD"/>
    <w:rsid w:val="001D32E6"/>
    <w:rsid w:val="001D369A"/>
    <w:rsid w:val="001E3461"/>
    <w:rsid w:val="001E766B"/>
    <w:rsid w:val="001F08B3"/>
    <w:rsid w:val="001F2FE0"/>
    <w:rsid w:val="001F63B0"/>
    <w:rsid w:val="00200854"/>
    <w:rsid w:val="002070FB"/>
    <w:rsid w:val="00212293"/>
    <w:rsid w:val="002131C8"/>
    <w:rsid w:val="00213729"/>
    <w:rsid w:val="00227706"/>
    <w:rsid w:val="0023387E"/>
    <w:rsid w:val="002406FA"/>
    <w:rsid w:val="00241133"/>
    <w:rsid w:val="002422E4"/>
    <w:rsid w:val="0026107B"/>
    <w:rsid w:val="00261650"/>
    <w:rsid w:val="00271439"/>
    <w:rsid w:val="002758AD"/>
    <w:rsid w:val="00275D2D"/>
    <w:rsid w:val="00276E77"/>
    <w:rsid w:val="00281845"/>
    <w:rsid w:val="00284F52"/>
    <w:rsid w:val="00285C5F"/>
    <w:rsid w:val="0029704E"/>
    <w:rsid w:val="00297098"/>
    <w:rsid w:val="002A04F6"/>
    <w:rsid w:val="002B007C"/>
    <w:rsid w:val="002B2E47"/>
    <w:rsid w:val="002C0333"/>
    <w:rsid w:val="003301A3"/>
    <w:rsid w:val="003303B1"/>
    <w:rsid w:val="00331BA8"/>
    <w:rsid w:val="0033580D"/>
    <w:rsid w:val="00352D67"/>
    <w:rsid w:val="003627CD"/>
    <w:rsid w:val="0036777B"/>
    <w:rsid w:val="00374289"/>
    <w:rsid w:val="00375C07"/>
    <w:rsid w:val="00377E16"/>
    <w:rsid w:val="0038282A"/>
    <w:rsid w:val="00383EDA"/>
    <w:rsid w:val="00395AA1"/>
    <w:rsid w:val="00397580"/>
    <w:rsid w:val="00397C80"/>
    <w:rsid w:val="00397F16"/>
    <w:rsid w:val="003A2F2D"/>
    <w:rsid w:val="003A42B4"/>
    <w:rsid w:val="003A45C8"/>
    <w:rsid w:val="003A54D1"/>
    <w:rsid w:val="003A7B1D"/>
    <w:rsid w:val="003B79DB"/>
    <w:rsid w:val="003C0389"/>
    <w:rsid w:val="003C0C61"/>
    <w:rsid w:val="003C2DCF"/>
    <w:rsid w:val="003C3AC3"/>
    <w:rsid w:val="003C7FE7"/>
    <w:rsid w:val="003D0499"/>
    <w:rsid w:val="003D3576"/>
    <w:rsid w:val="003F48B5"/>
    <w:rsid w:val="003F526A"/>
    <w:rsid w:val="00404035"/>
    <w:rsid w:val="00405244"/>
    <w:rsid w:val="00407946"/>
    <w:rsid w:val="00412292"/>
    <w:rsid w:val="004154C7"/>
    <w:rsid w:val="00425763"/>
    <w:rsid w:val="00437CEB"/>
    <w:rsid w:val="004436EE"/>
    <w:rsid w:val="00450749"/>
    <w:rsid w:val="004507D6"/>
    <w:rsid w:val="00452C7E"/>
    <w:rsid w:val="0045547F"/>
    <w:rsid w:val="00464A9E"/>
    <w:rsid w:val="00466977"/>
    <w:rsid w:val="00471DEF"/>
    <w:rsid w:val="0047318D"/>
    <w:rsid w:val="00482F48"/>
    <w:rsid w:val="00486D60"/>
    <w:rsid w:val="0049092A"/>
    <w:rsid w:val="004920AD"/>
    <w:rsid w:val="0049766F"/>
    <w:rsid w:val="004D05B3"/>
    <w:rsid w:val="004D0E20"/>
    <w:rsid w:val="004D2CDF"/>
    <w:rsid w:val="004E479E"/>
    <w:rsid w:val="004F23AD"/>
    <w:rsid w:val="004F623F"/>
    <w:rsid w:val="004F686C"/>
    <w:rsid w:val="004F6ADE"/>
    <w:rsid w:val="004F78E6"/>
    <w:rsid w:val="0050188C"/>
    <w:rsid w:val="0050241E"/>
    <w:rsid w:val="0050420E"/>
    <w:rsid w:val="005045A9"/>
    <w:rsid w:val="00512D99"/>
    <w:rsid w:val="005160F0"/>
    <w:rsid w:val="00527D38"/>
    <w:rsid w:val="00531DBB"/>
    <w:rsid w:val="0055156B"/>
    <w:rsid w:val="00553C9E"/>
    <w:rsid w:val="00556B2C"/>
    <w:rsid w:val="00566875"/>
    <w:rsid w:val="00567ADE"/>
    <w:rsid w:val="00573994"/>
    <w:rsid w:val="00575358"/>
    <w:rsid w:val="00586ADA"/>
    <w:rsid w:val="00586D73"/>
    <w:rsid w:val="005871B4"/>
    <w:rsid w:val="005A1616"/>
    <w:rsid w:val="005D6E56"/>
    <w:rsid w:val="005F79FB"/>
    <w:rsid w:val="0060018A"/>
    <w:rsid w:val="00604406"/>
    <w:rsid w:val="00605F4A"/>
    <w:rsid w:val="006077B7"/>
    <w:rsid w:val="00607822"/>
    <w:rsid w:val="00607CF6"/>
    <w:rsid w:val="006103AA"/>
    <w:rsid w:val="00611533"/>
    <w:rsid w:val="00613BBF"/>
    <w:rsid w:val="00615C60"/>
    <w:rsid w:val="00616D99"/>
    <w:rsid w:val="00622B80"/>
    <w:rsid w:val="00630374"/>
    <w:rsid w:val="0064139A"/>
    <w:rsid w:val="00645994"/>
    <w:rsid w:val="00662569"/>
    <w:rsid w:val="006649BF"/>
    <w:rsid w:val="006661F3"/>
    <w:rsid w:val="00673D82"/>
    <w:rsid w:val="006931CF"/>
    <w:rsid w:val="006933D1"/>
    <w:rsid w:val="00695B43"/>
    <w:rsid w:val="006A2A76"/>
    <w:rsid w:val="006B13ED"/>
    <w:rsid w:val="006B3916"/>
    <w:rsid w:val="006C0ACA"/>
    <w:rsid w:val="006C19EE"/>
    <w:rsid w:val="006D794D"/>
    <w:rsid w:val="006E024F"/>
    <w:rsid w:val="006E053D"/>
    <w:rsid w:val="006E0858"/>
    <w:rsid w:val="006E2BB2"/>
    <w:rsid w:val="006E4E81"/>
    <w:rsid w:val="006E5AE5"/>
    <w:rsid w:val="006F2BBD"/>
    <w:rsid w:val="00700282"/>
    <w:rsid w:val="00702415"/>
    <w:rsid w:val="007071D6"/>
    <w:rsid w:val="00707AF5"/>
    <w:rsid w:val="00707F7D"/>
    <w:rsid w:val="007152A2"/>
    <w:rsid w:val="00717EC5"/>
    <w:rsid w:val="0072054C"/>
    <w:rsid w:val="0073500C"/>
    <w:rsid w:val="007372D8"/>
    <w:rsid w:val="0074068B"/>
    <w:rsid w:val="00753A1B"/>
    <w:rsid w:val="00754C20"/>
    <w:rsid w:val="00764001"/>
    <w:rsid w:val="00774497"/>
    <w:rsid w:val="00774594"/>
    <w:rsid w:val="00786FE2"/>
    <w:rsid w:val="00787EB7"/>
    <w:rsid w:val="007A2048"/>
    <w:rsid w:val="007A33E9"/>
    <w:rsid w:val="007A3BBF"/>
    <w:rsid w:val="007A57F2"/>
    <w:rsid w:val="007B1333"/>
    <w:rsid w:val="007B78C9"/>
    <w:rsid w:val="007D6FD2"/>
    <w:rsid w:val="007E2C5C"/>
    <w:rsid w:val="007E43B4"/>
    <w:rsid w:val="007F42AB"/>
    <w:rsid w:val="007F4AEB"/>
    <w:rsid w:val="007F75B2"/>
    <w:rsid w:val="0080002D"/>
    <w:rsid w:val="00802D06"/>
    <w:rsid w:val="00803993"/>
    <w:rsid w:val="008043C4"/>
    <w:rsid w:val="008111C0"/>
    <w:rsid w:val="0081303A"/>
    <w:rsid w:val="008142C0"/>
    <w:rsid w:val="00816BCE"/>
    <w:rsid w:val="0082157A"/>
    <w:rsid w:val="0082246F"/>
    <w:rsid w:val="008262BE"/>
    <w:rsid w:val="00830F41"/>
    <w:rsid w:val="00831B1B"/>
    <w:rsid w:val="008517C1"/>
    <w:rsid w:val="008537CE"/>
    <w:rsid w:val="008539A2"/>
    <w:rsid w:val="00855FB3"/>
    <w:rsid w:val="00856B8D"/>
    <w:rsid w:val="00861D0E"/>
    <w:rsid w:val="008662BB"/>
    <w:rsid w:val="00867569"/>
    <w:rsid w:val="00871FEC"/>
    <w:rsid w:val="00874492"/>
    <w:rsid w:val="008775F4"/>
    <w:rsid w:val="008908F5"/>
    <w:rsid w:val="0089796E"/>
    <w:rsid w:val="008A750A"/>
    <w:rsid w:val="008B3970"/>
    <w:rsid w:val="008B7AA0"/>
    <w:rsid w:val="008C384C"/>
    <w:rsid w:val="008D0F11"/>
    <w:rsid w:val="008D2693"/>
    <w:rsid w:val="008D3EAB"/>
    <w:rsid w:val="008D455B"/>
    <w:rsid w:val="008F73B4"/>
    <w:rsid w:val="00907513"/>
    <w:rsid w:val="009157E9"/>
    <w:rsid w:val="009431A0"/>
    <w:rsid w:val="00954F74"/>
    <w:rsid w:val="00957CDE"/>
    <w:rsid w:val="00967D65"/>
    <w:rsid w:val="00974456"/>
    <w:rsid w:val="00986DD7"/>
    <w:rsid w:val="0098728E"/>
    <w:rsid w:val="009931F2"/>
    <w:rsid w:val="009A27E6"/>
    <w:rsid w:val="009B55B1"/>
    <w:rsid w:val="009B69A8"/>
    <w:rsid w:val="009C14C8"/>
    <w:rsid w:val="009E4BBD"/>
    <w:rsid w:val="00A0762A"/>
    <w:rsid w:val="00A27C22"/>
    <w:rsid w:val="00A30E97"/>
    <w:rsid w:val="00A3199C"/>
    <w:rsid w:val="00A352EC"/>
    <w:rsid w:val="00A361E6"/>
    <w:rsid w:val="00A4198E"/>
    <w:rsid w:val="00A4343D"/>
    <w:rsid w:val="00A4354E"/>
    <w:rsid w:val="00A502F1"/>
    <w:rsid w:val="00A540DA"/>
    <w:rsid w:val="00A646CE"/>
    <w:rsid w:val="00A70A83"/>
    <w:rsid w:val="00A71AA1"/>
    <w:rsid w:val="00A81E2E"/>
    <w:rsid w:val="00A81EB3"/>
    <w:rsid w:val="00A86597"/>
    <w:rsid w:val="00A9120D"/>
    <w:rsid w:val="00AA13A4"/>
    <w:rsid w:val="00AB2EBD"/>
    <w:rsid w:val="00AB3410"/>
    <w:rsid w:val="00AB45CA"/>
    <w:rsid w:val="00AB52BB"/>
    <w:rsid w:val="00AE2068"/>
    <w:rsid w:val="00AE40ED"/>
    <w:rsid w:val="00AE4222"/>
    <w:rsid w:val="00AE5F25"/>
    <w:rsid w:val="00AE68C2"/>
    <w:rsid w:val="00AF03B1"/>
    <w:rsid w:val="00AF5D7E"/>
    <w:rsid w:val="00B00C1D"/>
    <w:rsid w:val="00B20B20"/>
    <w:rsid w:val="00B22A45"/>
    <w:rsid w:val="00B34234"/>
    <w:rsid w:val="00B418A1"/>
    <w:rsid w:val="00B45CF2"/>
    <w:rsid w:val="00B507CA"/>
    <w:rsid w:val="00B52F6C"/>
    <w:rsid w:val="00B55375"/>
    <w:rsid w:val="00B6057E"/>
    <w:rsid w:val="00B632CC"/>
    <w:rsid w:val="00B64A6F"/>
    <w:rsid w:val="00B701EA"/>
    <w:rsid w:val="00BA12F1"/>
    <w:rsid w:val="00BA23CC"/>
    <w:rsid w:val="00BA439F"/>
    <w:rsid w:val="00BA6370"/>
    <w:rsid w:val="00BB3541"/>
    <w:rsid w:val="00BD2ACB"/>
    <w:rsid w:val="00BD32C7"/>
    <w:rsid w:val="00BD3403"/>
    <w:rsid w:val="00BD5CE7"/>
    <w:rsid w:val="00BD5DED"/>
    <w:rsid w:val="00C038F2"/>
    <w:rsid w:val="00C071C3"/>
    <w:rsid w:val="00C269D4"/>
    <w:rsid w:val="00C37ADB"/>
    <w:rsid w:val="00C4160D"/>
    <w:rsid w:val="00C45FD9"/>
    <w:rsid w:val="00C57C62"/>
    <w:rsid w:val="00C60083"/>
    <w:rsid w:val="00C62738"/>
    <w:rsid w:val="00C74C9C"/>
    <w:rsid w:val="00C76652"/>
    <w:rsid w:val="00C82A6E"/>
    <w:rsid w:val="00C82C4F"/>
    <w:rsid w:val="00C8406E"/>
    <w:rsid w:val="00C87A51"/>
    <w:rsid w:val="00C91C72"/>
    <w:rsid w:val="00C931BC"/>
    <w:rsid w:val="00CA15B7"/>
    <w:rsid w:val="00CB2709"/>
    <w:rsid w:val="00CB6D72"/>
    <w:rsid w:val="00CB6F89"/>
    <w:rsid w:val="00CC01AF"/>
    <w:rsid w:val="00CC0AE9"/>
    <w:rsid w:val="00CC4044"/>
    <w:rsid w:val="00CC63B6"/>
    <w:rsid w:val="00CD1AD0"/>
    <w:rsid w:val="00CD2268"/>
    <w:rsid w:val="00CE228C"/>
    <w:rsid w:val="00CE71D9"/>
    <w:rsid w:val="00CF399F"/>
    <w:rsid w:val="00CF4EF8"/>
    <w:rsid w:val="00CF545B"/>
    <w:rsid w:val="00D06B30"/>
    <w:rsid w:val="00D15313"/>
    <w:rsid w:val="00D16A21"/>
    <w:rsid w:val="00D209A7"/>
    <w:rsid w:val="00D22D55"/>
    <w:rsid w:val="00D27D69"/>
    <w:rsid w:val="00D33658"/>
    <w:rsid w:val="00D41D6C"/>
    <w:rsid w:val="00D448C2"/>
    <w:rsid w:val="00D4511E"/>
    <w:rsid w:val="00D54072"/>
    <w:rsid w:val="00D56856"/>
    <w:rsid w:val="00D61D6D"/>
    <w:rsid w:val="00D63A35"/>
    <w:rsid w:val="00D666C3"/>
    <w:rsid w:val="00D6716C"/>
    <w:rsid w:val="00D72F86"/>
    <w:rsid w:val="00D75F5F"/>
    <w:rsid w:val="00D85281"/>
    <w:rsid w:val="00D9050C"/>
    <w:rsid w:val="00D9189F"/>
    <w:rsid w:val="00DA449D"/>
    <w:rsid w:val="00DC2887"/>
    <w:rsid w:val="00DC52D1"/>
    <w:rsid w:val="00DC62D6"/>
    <w:rsid w:val="00DC7074"/>
    <w:rsid w:val="00DC7310"/>
    <w:rsid w:val="00DD31B7"/>
    <w:rsid w:val="00DF45B4"/>
    <w:rsid w:val="00DF47FE"/>
    <w:rsid w:val="00E0156A"/>
    <w:rsid w:val="00E02CF5"/>
    <w:rsid w:val="00E02F43"/>
    <w:rsid w:val="00E06C88"/>
    <w:rsid w:val="00E151CC"/>
    <w:rsid w:val="00E20C1C"/>
    <w:rsid w:val="00E21DB6"/>
    <w:rsid w:val="00E22E2E"/>
    <w:rsid w:val="00E26704"/>
    <w:rsid w:val="00E31980"/>
    <w:rsid w:val="00E3444E"/>
    <w:rsid w:val="00E616AA"/>
    <w:rsid w:val="00E6423C"/>
    <w:rsid w:val="00E644A3"/>
    <w:rsid w:val="00E83005"/>
    <w:rsid w:val="00E848B3"/>
    <w:rsid w:val="00E86FC7"/>
    <w:rsid w:val="00E93830"/>
    <w:rsid w:val="00E93E0E"/>
    <w:rsid w:val="00E97904"/>
    <w:rsid w:val="00EA114E"/>
    <w:rsid w:val="00EB1ED3"/>
    <w:rsid w:val="00EB313B"/>
    <w:rsid w:val="00EC1BF6"/>
    <w:rsid w:val="00EE0B79"/>
    <w:rsid w:val="00EE2CBA"/>
    <w:rsid w:val="00EE5CC1"/>
    <w:rsid w:val="00EF186D"/>
    <w:rsid w:val="00F02334"/>
    <w:rsid w:val="00F03DBE"/>
    <w:rsid w:val="00F04366"/>
    <w:rsid w:val="00F21980"/>
    <w:rsid w:val="00F2386D"/>
    <w:rsid w:val="00F2569D"/>
    <w:rsid w:val="00F44088"/>
    <w:rsid w:val="00F65D7E"/>
    <w:rsid w:val="00F671C0"/>
    <w:rsid w:val="00F73156"/>
    <w:rsid w:val="00F75F2A"/>
    <w:rsid w:val="00F82E56"/>
    <w:rsid w:val="00F85BD8"/>
    <w:rsid w:val="00F876A3"/>
    <w:rsid w:val="00F924DD"/>
    <w:rsid w:val="00F945FE"/>
    <w:rsid w:val="00F961A1"/>
    <w:rsid w:val="00F961EA"/>
    <w:rsid w:val="00FA08BC"/>
    <w:rsid w:val="00FA290B"/>
    <w:rsid w:val="00FA4F6A"/>
    <w:rsid w:val="00FA56ED"/>
    <w:rsid w:val="00FB3845"/>
    <w:rsid w:val="00FB452D"/>
    <w:rsid w:val="00FB687C"/>
    <w:rsid w:val="00FC4CC1"/>
    <w:rsid w:val="00FC6D23"/>
    <w:rsid w:val="00FD165A"/>
    <w:rsid w:val="00FD204D"/>
    <w:rsid w:val="00FE3CAF"/>
    <w:rsid w:val="00FF659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3783F4A"/>
  <w15:docId w15:val="{95EA4F0B-1416-4B79-9796-D47EF2F8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645994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rsid w:val="00CA15B7"/>
    <w:pPr>
      <w:spacing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CA15B7"/>
    <w:rPr>
      <w:rFonts w:ascii="Times New Roman" w:eastAsia="Times New Roman" w:hAnsi="Times New Roman"/>
      <w:szCs w:val="24"/>
    </w:rPr>
  </w:style>
  <w:style w:type="table" w:styleId="Mkatabulky">
    <w:name w:val="Table Grid"/>
    <w:basedOn w:val="Normlntabulka"/>
    <w:uiPriority w:val="59"/>
    <w:rsid w:val="0070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22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A45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22A4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A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2A45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BA23CC"/>
    <w:rPr>
      <w:rFonts w:ascii="Arial" w:hAnsi="Arial"/>
      <w:szCs w:val="22"/>
      <w:lang w:eastAsia="en-US"/>
    </w:rPr>
  </w:style>
  <w:style w:type="paragraph" w:styleId="Odstavecseseznamem">
    <w:name w:val="List Paragraph"/>
    <w:basedOn w:val="Normln"/>
    <w:uiPriority w:val="34"/>
    <w:rsid w:val="00A6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v.kahoun@czs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lena.houzvicko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documents/11350/190464167/cndv040323_komentar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%20-%20vzory\Rychl&#225;%20informace%20CZ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NOTIFIKACE\internet\2023\DATA\data_040323_&#382;iv&#28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Meziroční relativní změna zadlužení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stacked"/>
        <c:varyColors val="0"/>
        <c:ser>
          <c:idx val="2"/>
          <c:order val="1"/>
          <c:tx>
            <c:strRef>
              <c:f>'RI '!$A$22</c:f>
              <c:strCache>
                <c:ptCount val="1"/>
                <c:pt idx="0">
                  <c:v>vliv změny HDP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'RI '!$C$20:$F$20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'RI '!$C$22:$F$22</c:f>
              <c:numCache>
                <c:formatCode>0.0</c:formatCode>
                <c:ptCount val="4"/>
                <c:pt idx="0">
                  <c:v>-2.1491651728102141</c:v>
                </c:pt>
                <c:pt idx="1">
                  <c:v>0.48209964003278216</c:v>
                </c:pt>
                <c:pt idx="2">
                  <c:v>-2.5073073282000138</c:v>
                </c:pt>
                <c:pt idx="3">
                  <c:v>-4.2189528533788661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81-44F0-AAA1-EAB43B09455E}"/>
            </c:ext>
          </c:extLst>
        </c:ser>
        <c:ser>
          <c:idx val="3"/>
          <c:order val="2"/>
          <c:tx>
            <c:strRef>
              <c:f>'RI '!$A$23</c:f>
              <c:strCache>
                <c:ptCount val="1"/>
                <c:pt idx="0">
                  <c:v>vliv změny dluhu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'RI '!$C$20:$F$20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'RI '!$C$23:$F$23</c:f>
              <c:numCache>
                <c:formatCode>0.0</c:formatCode>
                <c:ptCount val="4"/>
                <c:pt idx="0">
                  <c:v>4.9165172810212709E-2</c:v>
                </c:pt>
                <c:pt idx="1">
                  <c:v>7.2179003599672207</c:v>
                </c:pt>
                <c:pt idx="2">
                  <c:v>6.8073073282000109</c:v>
                </c:pt>
                <c:pt idx="3">
                  <c:v>6.3189528533788675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81-44F0-AAA1-EAB43B0945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515520352"/>
        <c:axId val="1515512032"/>
      </c:barChart>
      <c:scatterChart>
        <c:scatterStyle val="lineMarker"/>
        <c:varyColors val="0"/>
        <c:ser>
          <c:idx val="1"/>
          <c:order val="0"/>
          <c:tx>
            <c:strRef>
              <c:f>'RI '!$A$21</c:f>
              <c:strCache>
                <c:ptCount val="1"/>
                <c:pt idx="0">
                  <c:v>celková změna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25400">
                <a:solidFill>
                  <a:srgbClr val="FF0000"/>
                </a:solidFill>
              </a:ln>
              <a:effectLst/>
            </c:spPr>
          </c:marker>
          <c:dPt>
            <c:idx val="3"/>
            <c:marker>
              <c:symbol val="circle"/>
              <c:size val="5"/>
              <c:spPr>
                <a:solidFill>
                  <a:srgbClr val="FF0000"/>
                </a:solidFill>
                <a:ln w="25400">
                  <a:solidFill>
                    <a:srgbClr val="FF0000"/>
                  </a:solidFill>
                </a:ln>
                <a:effectLst>
                  <a:outerShdw blurRad="88900" dist="76200" dir="8400000" sx="103000" sy="103000" algn="ctr" rotWithShape="0">
                    <a:srgbClr val="000000">
                      <a:alpha val="43137"/>
                    </a:srgbClr>
                  </a:outerShdw>
                </a:effectLst>
              </c:spPr>
            </c:marker>
            <c:bubble3D val="0"/>
            <c:spPr>
              <a:ln w="25400" cap="rnd">
                <a:noFill/>
                <a:round/>
              </a:ln>
              <a:effectLst>
                <a:outerShdw blurRad="88900" dist="76200" dir="8400000" sx="103000" sy="103000" algn="ctr" rotWithShape="0">
                  <a:srgbClr val="000000">
                    <a:alpha val="43137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281-44F0-AAA1-EAB43B09455E}"/>
              </c:ext>
            </c:extLst>
          </c:dPt>
          <c:dLbls>
            <c:dLbl>
              <c:idx val="0"/>
              <c:layout>
                <c:manualLayout>
                  <c:x val="-4.7222321029173224E-2"/>
                  <c:y val="4.2451464833555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281-44F0-AAA1-EAB43B09455E}"/>
                </c:ext>
              </c:extLst>
            </c:dLbl>
            <c:dLbl>
              <c:idx val="1"/>
              <c:layout>
                <c:manualLayout>
                  <c:x val="-3.888888888888889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281-44F0-AAA1-EAB43B09455E}"/>
                </c:ext>
              </c:extLst>
            </c:dLbl>
            <c:dLbl>
              <c:idx val="2"/>
              <c:layout>
                <c:manualLayout>
                  <c:x val="-3.8888957777915553E-2"/>
                  <c:y val="6.5599505386736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281-44F0-AAA1-EAB43B09455E}"/>
                </c:ext>
              </c:extLst>
            </c:dLbl>
            <c:dLbl>
              <c:idx val="3"/>
              <c:layout>
                <c:manualLayout>
                  <c:x val="-3.6417219501105672E-2"/>
                  <c:y val="6.4991543250234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281-44F0-AAA1-EAB43B0945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yVal>
            <c:numRef>
              <c:f>'RI '!$C$21:$F$21</c:f>
              <c:numCache>
                <c:formatCode>0.0</c:formatCode>
                <c:ptCount val="4"/>
                <c:pt idx="0">
                  <c:v>-2.1000000000000014</c:v>
                </c:pt>
                <c:pt idx="1">
                  <c:v>7.7000000000000028</c:v>
                </c:pt>
                <c:pt idx="2">
                  <c:v>4.2999999999999972</c:v>
                </c:pt>
                <c:pt idx="3">
                  <c:v>2.1000000000000014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4281-44F0-AAA1-EAB43B0945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5520352"/>
        <c:axId val="1515512032"/>
      </c:scatterChart>
      <c:catAx>
        <c:axId val="151552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5512032"/>
        <c:crosses val="autoZero"/>
        <c:auto val="1"/>
        <c:lblAlgn val="ctr"/>
        <c:lblOffset val="100"/>
        <c:noMultiLvlLbl val="0"/>
      </c:catAx>
      <c:valAx>
        <c:axId val="151551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p. b.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552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4200-C56E-4BFB-9CFE-B3079A18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62</TotalTime>
  <Pages>3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5082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Rybáček</dc:creator>
  <cp:keywords/>
  <dc:description/>
  <cp:lastModifiedBy>Kogan Jurij</cp:lastModifiedBy>
  <cp:revision>5</cp:revision>
  <cp:lastPrinted>2022-03-30T14:08:00Z</cp:lastPrinted>
  <dcterms:created xsi:type="dcterms:W3CDTF">2023-04-05T07:53:00Z</dcterms:created>
  <dcterms:modified xsi:type="dcterms:W3CDTF">2023-04-05T09:30:00Z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