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4E5B3" w14:textId="632066AA" w:rsidR="00F06A54" w:rsidRDefault="003317AB" w:rsidP="00194517">
      <w:pPr>
        <w:pStyle w:val="Datum"/>
        <w:rPr>
          <w:lang w:val="en-US"/>
        </w:rPr>
      </w:pPr>
      <w:r>
        <w:rPr>
          <w:lang w:val="en-US"/>
        </w:rPr>
        <w:t>December 27,</w:t>
      </w:r>
      <w:r w:rsidR="00C97018">
        <w:rPr>
          <w:lang w:val="en-US"/>
        </w:rPr>
        <w:t xml:space="preserve"> 202</w:t>
      </w:r>
      <w:r w:rsidR="003C1D43">
        <w:rPr>
          <w:lang w:val="en-US"/>
        </w:rPr>
        <w:t>3</w:t>
      </w:r>
    </w:p>
    <w:p w14:paraId="6715B48A" w14:textId="77777777" w:rsidR="00194517" w:rsidRPr="00194517" w:rsidRDefault="00194517" w:rsidP="00194517">
      <w:pPr>
        <w:pStyle w:val="Datum"/>
        <w:rPr>
          <w:lang w:val="en-US"/>
        </w:rPr>
      </w:pPr>
    </w:p>
    <w:p w14:paraId="6358F3F7" w14:textId="74CC1041" w:rsidR="005113CB" w:rsidRDefault="005113CB" w:rsidP="000941C7">
      <w:pPr>
        <w:spacing w:line="360" w:lineRule="exact"/>
        <w:outlineLvl w:val="0"/>
        <w:rPr>
          <w:rFonts w:eastAsia="Times New Roman"/>
          <w:b/>
          <w:bCs/>
          <w:color w:val="BD1B21"/>
          <w:sz w:val="32"/>
          <w:szCs w:val="32"/>
        </w:rPr>
      </w:pPr>
      <w:r w:rsidRPr="005113CB">
        <w:rPr>
          <w:rFonts w:eastAsia="Times New Roman"/>
          <w:b/>
          <w:bCs/>
          <w:color w:val="BD1B21"/>
          <w:sz w:val="32"/>
          <w:szCs w:val="32"/>
        </w:rPr>
        <w:t xml:space="preserve">Entrepreneurs believe more in the economy at the end of the year, while consumers, on the other hand, are </w:t>
      </w:r>
      <w:r>
        <w:rPr>
          <w:rFonts w:eastAsia="Times New Roman"/>
          <w:b/>
          <w:bCs/>
          <w:color w:val="BD1B21"/>
          <w:sz w:val="32"/>
          <w:szCs w:val="32"/>
        </w:rPr>
        <w:t>sceptical</w:t>
      </w:r>
    </w:p>
    <w:p w14:paraId="7C075273" w14:textId="63738F9A" w:rsidR="00F304C3" w:rsidRPr="000941C7" w:rsidRDefault="00C97018" w:rsidP="000941C7">
      <w:pPr>
        <w:spacing w:line="360" w:lineRule="exact"/>
        <w:outlineLvl w:val="0"/>
        <w:rPr>
          <w:rFonts w:eastAsia="Times New Roman"/>
          <w:b/>
          <w:bCs/>
          <w:color w:val="BD1B21"/>
          <w:sz w:val="32"/>
          <w:szCs w:val="32"/>
        </w:rPr>
      </w:pPr>
      <w:r w:rsidRPr="007C7F82">
        <w:rPr>
          <w:rFonts w:eastAsia="Times New Roman"/>
          <w:b/>
          <w:bCs/>
          <w:sz w:val="28"/>
          <w:szCs w:val="28"/>
        </w:rPr>
        <w:t xml:space="preserve">Additional information to NR Business cycle survey – </w:t>
      </w:r>
      <w:r w:rsidR="003317AB">
        <w:rPr>
          <w:rFonts w:eastAsia="Times New Roman"/>
          <w:b/>
          <w:bCs/>
          <w:sz w:val="28"/>
          <w:szCs w:val="28"/>
        </w:rPr>
        <w:t>December</w:t>
      </w:r>
      <w:r w:rsidR="008D03A2">
        <w:rPr>
          <w:rFonts w:eastAsia="Times New Roman"/>
          <w:b/>
          <w:bCs/>
          <w:sz w:val="28"/>
          <w:szCs w:val="28"/>
        </w:rPr>
        <w:t xml:space="preserve"> </w:t>
      </w:r>
      <w:r w:rsidR="003C1D43">
        <w:rPr>
          <w:rFonts w:eastAsia="Times New Roman"/>
          <w:b/>
          <w:bCs/>
          <w:sz w:val="28"/>
          <w:szCs w:val="28"/>
        </w:rPr>
        <w:t>2023</w:t>
      </w:r>
      <w:r w:rsidR="00F304C3">
        <w:rPr>
          <w:rFonts w:eastAsia="Times New Roman"/>
          <w:b/>
          <w:bCs/>
          <w:sz w:val="28"/>
          <w:szCs w:val="28"/>
        </w:rPr>
        <w:br/>
      </w:r>
    </w:p>
    <w:p w14:paraId="11023E8F" w14:textId="37A17D5A" w:rsidR="00DD2977" w:rsidRPr="005113CB" w:rsidRDefault="00C334FC" w:rsidP="00DD2977">
      <w:pPr>
        <w:rPr>
          <w:rFonts w:cs="Arial"/>
          <w:b/>
          <w:szCs w:val="18"/>
        </w:rPr>
      </w:pPr>
      <w:r w:rsidRPr="005C1DA8">
        <w:rPr>
          <w:rFonts w:cs="Arial"/>
          <w:b/>
          <w:szCs w:val="18"/>
        </w:rPr>
        <w:t>The composite confidence indicator (economic sentiment indicator) – in the b</w:t>
      </w:r>
      <w:r>
        <w:rPr>
          <w:rFonts w:cs="Arial"/>
          <w:b/>
          <w:szCs w:val="18"/>
        </w:rPr>
        <w:t>asis index form –</w:t>
      </w:r>
      <w:r w:rsidR="005113CB">
        <w:rPr>
          <w:rFonts w:cs="Arial"/>
          <w:b/>
          <w:szCs w:val="18"/>
        </w:rPr>
        <w:t xml:space="preserve"> slightly</w:t>
      </w:r>
      <w:r>
        <w:rPr>
          <w:rFonts w:cs="Arial"/>
          <w:b/>
          <w:szCs w:val="18"/>
        </w:rPr>
        <w:t xml:space="preserve"> increased </w:t>
      </w:r>
      <w:r w:rsidR="005113CB">
        <w:rPr>
          <w:rFonts w:cs="Arial"/>
          <w:b/>
          <w:szCs w:val="18"/>
        </w:rPr>
        <w:t>again by 0.3 points to 93.4</w:t>
      </w:r>
      <w:r>
        <w:rPr>
          <w:rFonts w:cs="Arial"/>
          <w:b/>
          <w:szCs w:val="18"/>
        </w:rPr>
        <w:t xml:space="preserve"> m-o-m, </w:t>
      </w:r>
      <w:r w:rsidRPr="00250900">
        <w:rPr>
          <w:rFonts w:cs="Arial"/>
          <w:b/>
          <w:szCs w:val="18"/>
        </w:rPr>
        <w:t>reflecting different</w:t>
      </w:r>
      <w:r>
        <w:rPr>
          <w:rFonts w:cs="Arial"/>
          <w:b/>
          <w:szCs w:val="18"/>
        </w:rPr>
        <w:t xml:space="preserve"> developments in its components. The b</w:t>
      </w:r>
      <w:r w:rsidRPr="005C1DA8">
        <w:rPr>
          <w:rFonts w:cs="Arial"/>
          <w:b/>
          <w:szCs w:val="18"/>
        </w:rPr>
        <w:t>usiness confi</w:t>
      </w:r>
      <w:r w:rsidR="005113CB">
        <w:rPr>
          <w:rFonts w:cs="Arial"/>
          <w:b/>
          <w:szCs w:val="18"/>
        </w:rPr>
        <w:t>dence indicator rose by 1</w:t>
      </w:r>
      <w:r>
        <w:rPr>
          <w:rFonts w:cs="Arial"/>
          <w:b/>
          <w:szCs w:val="18"/>
        </w:rPr>
        <w:t xml:space="preserve">.7 percentage points </w:t>
      </w:r>
      <w:r w:rsidR="005113CB">
        <w:rPr>
          <w:rFonts w:cs="Arial"/>
          <w:b/>
          <w:szCs w:val="18"/>
        </w:rPr>
        <w:t>to 95.2</w:t>
      </w:r>
      <w:r w:rsidRPr="00250900">
        <w:t xml:space="preserve"> </w:t>
      </w:r>
      <w:r w:rsidRPr="00250900">
        <w:rPr>
          <w:rFonts w:cs="Arial"/>
          <w:b/>
          <w:szCs w:val="18"/>
        </w:rPr>
        <w:t>while the consumer confi</w:t>
      </w:r>
      <w:r w:rsidR="005113CB">
        <w:rPr>
          <w:rFonts w:cs="Arial"/>
          <w:b/>
          <w:szCs w:val="18"/>
        </w:rPr>
        <w:t xml:space="preserve">dence indicator decreased by 5.8 points to 84.9. </w:t>
      </w:r>
      <w:r w:rsidR="00F85A3F">
        <w:rPr>
          <w:rFonts w:cs="Arial"/>
          <w:b/>
          <w:szCs w:val="18"/>
        </w:rPr>
        <w:t xml:space="preserve">Compared to </w:t>
      </w:r>
      <w:r w:rsidR="005113CB">
        <w:rPr>
          <w:rFonts w:cs="Arial"/>
          <w:b/>
          <w:szCs w:val="18"/>
        </w:rPr>
        <w:t>December</w:t>
      </w:r>
      <w:r w:rsidR="007643EB" w:rsidRPr="007643EB">
        <w:rPr>
          <w:rFonts w:cs="Arial"/>
          <w:b/>
          <w:szCs w:val="18"/>
        </w:rPr>
        <w:t xml:space="preserve"> last year, the </w:t>
      </w:r>
      <w:r w:rsidR="00F85A3F">
        <w:rPr>
          <w:rFonts w:cs="Arial"/>
          <w:b/>
          <w:szCs w:val="18"/>
        </w:rPr>
        <w:t>composite</w:t>
      </w:r>
      <w:r>
        <w:rPr>
          <w:rFonts w:cs="Arial"/>
          <w:b/>
          <w:szCs w:val="18"/>
        </w:rPr>
        <w:t xml:space="preserve"> indicator, the </w:t>
      </w:r>
      <w:r w:rsidRPr="007643EB">
        <w:rPr>
          <w:rFonts w:cs="Arial"/>
          <w:b/>
          <w:szCs w:val="18"/>
        </w:rPr>
        <w:t>business</w:t>
      </w:r>
      <w:r>
        <w:rPr>
          <w:rFonts w:cs="Arial"/>
          <w:b/>
          <w:szCs w:val="18"/>
        </w:rPr>
        <w:t xml:space="preserve"> indicator</w:t>
      </w:r>
      <w:r w:rsidR="00BB246D">
        <w:rPr>
          <w:rFonts w:cs="Arial"/>
          <w:b/>
          <w:szCs w:val="18"/>
        </w:rPr>
        <w:t xml:space="preserve"> </w:t>
      </w:r>
      <w:r>
        <w:rPr>
          <w:rFonts w:cs="Arial"/>
          <w:b/>
          <w:szCs w:val="18"/>
        </w:rPr>
        <w:t xml:space="preserve">and </w:t>
      </w:r>
      <w:r w:rsidR="007643EB" w:rsidRPr="007643EB">
        <w:rPr>
          <w:rFonts w:cs="Arial"/>
          <w:b/>
          <w:szCs w:val="18"/>
        </w:rPr>
        <w:t xml:space="preserve">the </w:t>
      </w:r>
      <w:r w:rsidR="00A33FE8">
        <w:rPr>
          <w:rFonts w:cs="Arial"/>
          <w:b/>
          <w:szCs w:val="18"/>
        </w:rPr>
        <w:t>consumer</w:t>
      </w:r>
      <w:r w:rsidR="00A33FE8" w:rsidRPr="007643EB">
        <w:rPr>
          <w:rFonts w:cs="Arial"/>
          <w:b/>
          <w:szCs w:val="18"/>
        </w:rPr>
        <w:t xml:space="preserve"> </w:t>
      </w:r>
      <w:r w:rsidR="007643EB" w:rsidRPr="007643EB">
        <w:rPr>
          <w:rFonts w:cs="Arial"/>
          <w:b/>
          <w:szCs w:val="18"/>
        </w:rPr>
        <w:t xml:space="preserve">indicator </w:t>
      </w:r>
      <w:r w:rsidR="00A33FE8">
        <w:rPr>
          <w:rFonts w:cs="Arial"/>
          <w:b/>
          <w:szCs w:val="18"/>
        </w:rPr>
        <w:t>are at a higher</w:t>
      </w:r>
      <w:r>
        <w:rPr>
          <w:rFonts w:cs="Arial"/>
          <w:b/>
          <w:szCs w:val="18"/>
        </w:rPr>
        <w:t xml:space="preserve"> level</w:t>
      </w:r>
      <w:r w:rsidR="00A50D78">
        <w:rPr>
          <w:rFonts w:cs="Arial"/>
          <w:b/>
          <w:szCs w:val="18"/>
        </w:rPr>
        <w:t xml:space="preserve">. </w:t>
      </w:r>
    </w:p>
    <w:p w14:paraId="64D37317" w14:textId="20B5D5A4" w:rsidR="005113CB" w:rsidRDefault="005113CB" w:rsidP="00F60DE6"/>
    <w:p w14:paraId="75A9ECE1" w14:textId="77777777" w:rsidR="00811B2E" w:rsidRDefault="00811B2E" w:rsidP="00F60DE6">
      <w:r>
        <w:t>Among entrepreneurs in</w:t>
      </w:r>
      <w:r w:rsidR="005113CB" w:rsidRPr="005113CB">
        <w:t xml:space="preserve"> </w:t>
      </w:r>
      <w:r w:rsidR="005113CB" w:rsidRPr="005113CB">
        <w:rPr>
          <w:b/>
        </w:rPr>
        <w:t>industry</w:t>
      </w:r>
      <w:r w:rsidR="005113CB" w:rsidRPr="005113CB">
        <w:t xml:space="preserve"> sector, confidence in </w:t>
      </w:r>
      <w:r>
        <w:t xml:space="preserve">the economy increased on </w:t>
      </w:r>
      <w:r w:rsidR="005113CB">
        <w:t>m-o-m</w:t>
      </w:r>
      <w:r w:rsidR="005113CB" w:rsidRPr="005113CB">
        <w:t xml:space="preserve"> basis. The confidence indicator rose by 2.3 points to a value of 95.1. The proportion of entrepreneurs negatively assessing </w:t>
      </w:r>
      <w:r w:rsidR="005113CB" w:rsidRPr="005113CB">
        <w:rPr>
          <w:i/>
        </w:rPr>
        <w:t>their current demand</w:t>
      </w:r>
      <w:r w:rsidR="005113CB" w:rsidRPr="005113CB">
        <w:t xml:space="preserve"> remained unchanged compared to November. The percentage of entrepreneurs expecting an increase in the </w:t>
      </w:r>
      <w:r w:rsidR="005113CB" w:rsidRPr="00811B2E">
        <w:rPr>
          <w:i/>
        </w:rPr>
        <w:t>pace of production</w:t>
      </w:r>
      <w:r w:rsidR="005113CB" w:rsidRPr="005113CB">
        <w:t xml:space="preserve"> </w:t>
      </w:r>
      <w:r w:rsidR="005113CB" w:rsidRPr="00811B2E">
        <w:rPr>
          <w:i/>
        </w:rPr>
        <w:t>activity</w:t>
      </w:r>
      <w:r w:rsidR="005113CB" w:rsidRPr="005113CB">
        <w:t xml:space="preserve"> over the next three mo</w:t>
      </w:r>
      <w:r>
        <w:t>nths increased on m-o-m</w:t>
      </w:r>
      <w:r w:rsidR="005113CB" w:rsidRPr="005113CB">
        <w:t xml:space="preserve"> basis. The inventory of </w:t>
      </w:r>
      <w:r>
        <w:rPr>
          <w:i/>
        </w:rPr>
        <w:t>finished good</w:t>
      </w:r>
      <w:r w:rsidR="005113CB" w:rsidRPr="00811B2E">
        <w:rPr>
          <w:i/>
        </w:rPr>
        <w:t>s</w:t>
      </w:r>
      <w:r w:rsidR="005113CB" w:rsidRPr="005113CB">
        <w:t xml:space="preserve"> decreased slightly. Unlike the previous month, in December, the proportion of entrepreneurs expecting further price increases prevailed once again. Compared to December 2022, confidence among entrepreneurs in the industry sector is higher</w:t>
      </w:r>
    </w:p>
    <w:p w14:paraId="279DF334" w14:textId="1EB99C48" w:rsidR="00811B2E" w:rsidRDefault="00811B2E" w:rsidP="00780A22">
      <w:r>
        <w:br/>
        <w:t>In</w:t>
      </w:r>
      <w:r w:rsidRPr="00811B2E">
        <w:t xml:space="preserve"> </w:t>
      </w:r>
      <w:r w:rsidRPr="00811B2E">
        <w:rPr>
          <w:b/>
        </w:rPr>
        <w:t>construction</w:t>
      </w:r>
      <w:r w:rsidRPr="00811B2E">
        <w:t xml:space="preserve"> industry, entrepreneurs' confidence decreased compared to November. The confidence indicator </w:t>
      </w:r>
      <w:r>
        <w:t>dropped by 5.4 points on m-o-m</w:t>
      </w:r>
      <w:r w:rsidRPr="00811B2E">
        <w:t xml:space="preserve"> basis to a value of 101.4. The proportion of entrepreneurs assessing their </w:t>
      </w:r>
      <w:r w:rsidRPr="00811B2E">
        <w:rPr>
          <w:i/>
        </w:rPr>
        <w:t>current demand</w:t>
      </w:r>
      <w:r w:rsidRPr="00811B2E">
        <w:t xml:space="preserve"> for construction work</w:t>
      </w:r>
      <w:r>
        <w:t xml:space="preserve"> as insufficient increased m-o-m</w:t>
      </w:r>
      <w:r w:rsidRPr="00811B2E">
        <w:t>. More entrepreneurs, compared to November, anticipate a decrease in the current number of employees over the next three months. The proportion of entrepreneurs expecting an increase in construction work prices in the next three months has re</w:t>
      </w:r>
      <w:r>
        <w:t>mained almost unchanged. In y-o-y</w:t>
      </w:r>
      <w:r w:rsidRPr="00811B2E">
        <w:t xml:space="preserve"> comparison, confidence among entrepreneurs in the construction industry is lower.</w:t>
      </w:r>
    </w:p>
    <w:p w14:paraId="51AD4189" w14:textId="77777777" w:rsidR="00811B2E" w:rsidRDefault="00811B2E" w:rsidP="00780A22"/>
    <w:p w14:paraId="611EAD65" w14:textId="63265CCB" w:rsidR="00811B2E" w:rsidRDefault="00811B2E" w:rsidP="00780A22">
      <w:r>
        <w:t>Entrepreneurs' confidence in</w:t>
      </w:r>
      <w:r w:rsidRPr="00811B2E">
        <w:t xml:space="preserve"> </w:t>
      </w:r>
      <w:r w:rsidRPr="00811B2E">
        <w:rPr>
          <w:b/>
        </w:rPr>
        <w:t>trade</w:t>
      </w:r>
      <w:r w:rsidRPr="00811B2E">
        <w:t xml:space="preserve"> sector increased. The confidence in</w:t>
      </w:r>
      <w:r>
        <w:t>dicator rose by 2.6 points on m-o-m</w:t>
      </w:r>
      <w:r w:rsidRPr="00811B2E">
        <w:t xml:space="preserve"> basis to a value of 91.8. The proportion of traders evaluating their </w:t>
      </w:r>
      <w:r w:rsidRPr="00811B2E">
        <w:rPr>
          <w:i/>
        </w:rPr>
        <w:t>overall economic</w:t>
      </w:r>
      <w:r w:rsidRPr="00811B2E">
        <w:t xml:space="preserve"> situation positively increased compared to November. However, the percentage of respondents expecting an improvement in their economic situation over the next three months decreased. The inventory of </w:t>
      </w:r>
      <w:r>
        <w:t>goods on shelves decreased m-o-m</w:t>
      </w:r>
      <w:r w:rsidRPr="00811B2E">
        <w:t>, although it remains relatively high. The proportion of traders expecting price increases in the coming months has remained nearly unchanged. Compared to December of last year, confidence in the trade sector is lower.</w:t>
      </w:r>
    </w:p>
    <w:p w14:paraId="298E40B3" w14:textId="3D4E57D0" w:rsidR="00811B2E" w:rsidRDefault="00811B2E" w:rsidP="00780A22"/>
    <w:p w14:paraId="00E213B1" w14:textId="16DF5679" w:rsidR="00811B2E" w:rsidRDefault="00811B2E" w:rsidP="00780A22">
      <w:r w:rsidRPr="00811B2E">
        <w:t xml:space="preserve">Entrepreneurs' confidence in </w:t>
      </w:r>
      <w:r w:rsidRPr="00811B2E">
        <w:rPr>
          <w:b/>
        </w:rPr>
        <w:t>selected service</w:t>
      </w:r>
      <w:r w:rsidRPr="00811B2E">
        <w:t xml:space="preserve"> sectors (including the financial sector) i</w:t>
      </w:r>
      <w:r>
        <w:t>ncreased again on m-o-m</w:t>
      </w:r>
      <w:r w:rsidRPr="00811B2E">
        <w:t xml:space="preserve"> basis. The confidence indicator rose by 1.5 points to a value of 95.1. The proportion of entrepreneurs positively assessing their </w:t>
      </w:r>
      <w:r w:rsidRPr="00811B2E">
        <w:rPr>
          <w:i/>
        </w:rPr>
        <w:t>current demand</w:t>
      </w:r>
      <w:r w:rsidRPr="00811B2E">
        <w:t xml:space="preserve"> for services increased </w:t>
      </w:r>
      <w:r w:rsidRPr="00811B2E">
        <w:lastRenderedPageBreak/>
        <w:t xml:space="preserve">compared to the previous month. However, compared to November, the number of respondents expecting an increase in demand over the next three months decreased. The proportion of entrepreneurs positively evaluating the </w:t>
      </w:r>
      <w:r w:rsidRPr="00811B2E">
        <w:rPr>
          <w:i/>
        </w:rPr>
        <w:t>current economic situation</w:t>
      </w:r>
      <w:r w:rsidRPr="00811B2E">
        <w:t xml:space="preserve"> is still relatively high. Month-to-month, the percentage of respondents expecting price increases for offered services over the </w:t>
      </w:r>
      <w:r>
        <w:t>next three months decreased. Y-o</w:t>
      </w:r>
      <w:r w:rsidRPr="00811B2E">
        <w:t>-y, confidence in selected service sectors is higher.</w:t>
      </w:r>
    </w:p>
    <w:p w14:paraId="73B16319" w14:textId="328F8EFF" w:rsidR="00811B2E" w:rsidRDefault="00811B2E" w:rsidP="000D6BF2">
      <w:pPr>
        <w:rPr>
          <w:rStyle w:val="hwtze"/>
          <w:lang w:val="en"/>
        </w:rPr>
      </w:pPr>
      <w:bookmarkStart w:id="0" w:name="_GoBack"/>
      <w:bookmarkEnd w:id="0"/>
    </w:p>
    <w:p w14:paraId="486D9910" w14:textId="41B3B5F6" w:rsidR="00811B2E" w:rsidRDefault="00811B2E" w:rsidP="000D6BF2">
      <w:pPr>
        <w:rPr>
          <w:rStyle w:val="hwtze"/>
          <w:lang w:val="en"/>
        </w:rPr>
      </w:pPr>
      <w:r w:rsidRPr="00811B2E">
        <w:rPr>
          <w:rStyle w:val="hwtze"/>
          <w:b/>
          <w:lang w:val="en"/>
        </w:rPr>
        <w:t>Consumer</w:t>
      </w:r>
      <w:r w:rsidRPr="00811B2E">
        <w:rPr>
          <w:rStyle w:val="hwtze"/>
          <w:lang w:val="en"/>
        </w:rPr>
        <w:t xml:space="preserve"> confidence in the economy decre</w:t>
      </w:r>
      <w:r>
        <w:rPr>
          <w:rStyle w:val="hwtze"/>
          <w:lang w:val="en"/>
        </w:rPr>
        <w:t>ased on m-o-m</w:t>
      </w:r>
      <w:r w:rsidRPr="00811B2E">
        <w:rPr>
          <w:rStyle w:val="hwtze"/>
          <w:lang w:val="en"/>
        </w:rPr>
        <w:t xml:space="preserve"> basis. The confidence indicator dropped by 5.8 points to a value of 84.9. The percentage of respondents expecting a </w:t>
      </w:r>
      <w:r w:rsidRPr="00775B00">
        <w:rPr>
          <w:rStyle w:val="hwtze"/>
          <w:i/>
          <w:lang w:val="en"/>
        </w:rPr>
        <w:t>worsening of the overall</w:t>
      </w:r>
      <w:r w:rsidRPr="00811B2E">
        <w:rPr>
          <w:rStyle w:val="hwtze"/>
          <w:lang w:val="en"/>
        </w:rPr>
        <w:t xml:space="preserve"> </w:t>
      </w:r>
      <w:r w:rsidRPr="00775B00">
        <w:rPr>
          <w:rStyle w:val="hwtze"/>
          <w:i/>
          <w:lang w:val="en"/>
        </w:rPr>
        <w:t>economic situation</w:t>
      </w:r>
      <w:r w:rsidRPr="00811B2E">
        <w:rPr>
          <w:rStyle w:val="hwtze"/>
          <w:lang w:val="en"/>
        </w:rPr>
        <w:t xml:space="preserve"> in the Czech Republic over the next tw</w:t>
      </w:r>
      <w:r w:rsidR="00775B00">
        <w:rPr>
          <w:rStyle w:val="hwtze"/>
          <w:lang w:val="en"/>
        </w:rPr>
        <w:t>elve months increased on m</w:t>
      </w:r>
      <w:r w:rsidRPr="00811B2E">
        <w:rPr>
          <w:rStyle w:val="hwtze"/>
          <w:lang w:val="en"/>
        </w:rPr>
        <w:t>-</w:t>
      </w:r>
      <w:r w:rsidR="00775B00">
        <w:rPr>
          <w:rStyle w:val="hwtze"/>
          <w:lang w:val="en"/>
        </w:rPr>
        <w:t>o-m</w:t>
      </w:r>
      <w:r w:rsidRPr="00811B2E">
        <w:rPr>
          <w:rStyle w:val="hwtze"/>
          <w:lang w:val="en"/>
        </w:rPr>
        <w:t xml:space="preserve"> basis. The number of households assessing their </w:t>
      </w:r>
      <w:r w:rsidRPr="00775B00">
        <w:rPr>
          <w:rStyle w:val="hwtze"/>
          <w:i/>
          <w:lang w:val="en"/>
        </w:rPr>
        <w:t>current financial situation</w:t>
      </w:r>
      <w:r w:rsidRPr="00811B2E">
        <w:rPr>
          <w:rStyle w:val="hwtze"/>
          <w:lang w:val="en"/>
        </w:rPr>
        <w:t xml:space="preserve"> worse than in the previous twelve months increased significantly, similarly to the notable rise in respondents expecting its deterioration in the next twelve months. The number of surveyed households struggling with their financial means remained unchanged (approximately 30%), as did the number of consumers saving some money monthly (approximately 51% in December). The number of consumers not planning to make major purchases in the next twelve months remained nearly unchanged. Household concerns about increased unemployment in the next twelve months increased compared to November, as did respondents' concerns abo</w:t>
      </w:r>
      <w:r w:rsidR="00775B00">
        <w:rPr>
          <w:rStyle w:val="hwtze"/>
          <w:lang w:val="en"/>
        </w:rPr>
        <w:t>ut further price hikes. In a y-o</w:t>
      </w:r>
      <w:r w:rsidRPr="00811B2E">
        <w:rPr>
          <w:rStyle w:val="hwtze"/>
          <w:lang w:val="en"/>
        </w:rPr>
        <w:t>-y comparison, consumer confidence is higher.</w:t>
      </w:r>
    </w:p>
    <w:p w14:paraId="0931530A" w14:textId="77777777" w:rsidR="000D6BF2" w:rsidRPr="00365C32" w:rsidRDefault="000D6BF2" w:rsidP="000D6BF2">
      <w:pPr>
        <w:rPr>
          <w:color w:val="C6D9F1" w:themeColor="text2" w:themeTint="33"/>
          <w:szCs w:val="20"/>
        </w:rPr>
      </w:pPr>
    </w:p>
    <w:p w14:paraId="444B6127" w14:textId="2602B3EC" w:rsidR="000D6BF2" w:rsidRPr="0096305F" w:rsidRDefault="000D6BF2" w:rsidP="000D6BF2">
      <w:pPr>
        <w:pBdr>
          <w:top w:val="single" w:sz="4" w:space="9" w:color="auto"/>
        </w:pBdr>
        <w:spacing w:line="240" w:lineRule="auto"/>
        <w:rPr>
          <w:rFonts w:cs="ArialMT"/>
          <w:i/>
          <w:sz w:val="18"/>
          <w:szCs w:val="18"/>
        </w:rPr>
      </w:pPr>
      <w:r>
        <w:rPr>
          <w:rFonts w:cs="ArialMT"/>
          <w:i/>
          <w:sz w:val="18"/>
          <w:szCs w:val="18"/>
        </w:rPr>
        <w:t>Notes</w:t>
      </w:r>
      <w:r w:rsidRPr="0096305F">
        <w:rPr>
          <w:rFonts w:cs="ArialMT"/>
          <w:i/>
          <w:sz w:val="18"/>
          <w:szCs w:val="18"/>
        </w:rPr>
        <w:t>:</w:t>
      </w:r>
    </w:p>
    <w:p w14:paraId="01B5D810" w14:textId="77777777" w:rsidR="0079695A" w:rsidRPr="0079695A" w:rsidRDefault="0079695A" w:rsidP="0079695A"/>
    <w:p w14:paraId="287CC71D" w14:textId="1DC1A3EB" w:rsidR="001F35EB" w:rsidRDefault="001F35EB" w:rsidP="001F35EB">
      <w:pPr>
        <w:pStyle w:val="Poznmkykontaktytext"/>
        <w:rPr>
          <w:rStyle w:val="Hypertextovodkaz"/>
          <w:color w:val="auto"/>
          <w:u w:val="none"/>
          <w:lang w:val="en-GB"/>
        </w:rPr>
      </w:pPr>
      <w:r w:rsidRPr="00F01B04">
        <w:rPr>
          <w:lang w:val="en-GB"/>
        </w:rPr>
        <w:t>Contact person:</w:t>
      </w:r>
      <w:r w:rsidRPr="00F01B04">
        <w:rPr>
          <w:lang w:val="en-GB"/>
        </w:rPr>
        <w:tab/>
      </w:r>
      <w:r>
        <w:rPr>
          <w:lang w:val="en-GB"/>
        </w:rPr>
        <w:t>Jiri Obst</w:t>
      </w:r>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xml:space="preserve">, e-mail: </w:t>
      </w:r>
      <w:hyperlink r:id="rId7" w:history="1">
        <w:r w:rsidRPr="00D445A4">
          <w:rPr>
            <w:rStyle w:val="Hypertextovodkaz"/>
            <w:color w:val="auto"/>
            <w:u w:val="none"/>
            <w:lang w:val="en-GB"/>
          </w:rPr>
          <w:t>jiri.obst@czso.cz</w:t>
        </w:r>
      </w:hyperlink>
    </w:p>
    <w:p w14:paraId="28BA3E52" w14:textId="3A6B99FD" w:rsidR="00C97018" w:rsidRDefault="00C97018" w:rsidP="001F35EB">
      <w:pPr>
        <w:pStyle w:val="Poznmkykontaktytext"/>
        <w:rPr>
          <w:lang w:val="en-GB"/>
        </w:rPr>
      </w:pPr>
    </w:p>
    <w:p w14:paraId="5009173F" w14:textId="268DA24E" w:rsidR="0079695A" w:rsidRDefault="0079695A" w:rsidP="001F35EB">
      <w:pPr>
        <w:pStyle w:val="Poznmkykontaktytext"/>
        <w:rPr>
          <w:lang w:val="en-GB"/>
        </w:rPr>
      </w:pPr>
      <w:r>
        <w:rPr>
          <w:lang w:val="en-GB"/>
        </w:rPr>
        <w:t xml:space="preserve">Detailed time series of </w:t>
      </w:r>
      <w:r w:rsidR="00C04B96">
        <w:rPr>
          <w:lang w:val="en-GB"/>
        </w:rPr>
        <w:t>b</w:t>
      </w:r>
      <w:r w:rsidRPr="0079695A">
        <w:rPr>
          <w:lang w:val="en-GB"/>
        </w:rPr>
        <w:t>alances and basic</w:t>
      </w:r>
    </w:p>
    <w:p w14:paraId="4CFF4112" w14:textId="21BE61E7" w:rsidR="00C97018" w:rsidRDefault="0079695A" w:rsidP="001F35EB">
      <w:pPr>
        <w:pStyle w:val="Poznmkykontaktytext"/>
        <w:rPr>
          <w:lang w:val="en-GB"/>
        </w:rPr>
      </w:pPr>
      <w:proofErr w:type="gramStart"/>
      <w:r w:rsidRPr="0079695A">
        <w:rPr>
          <w:lang w:val="en-GB"/>
        </w:rPr>
        <w:t>indices</w:t>
      </w:r>
      <w:proofErr w:type="gramEnd"/>
      <w:r w:rsidRPr="0079695A">
        <w:rPr>
          <w:lang w:val="en-GB"/>
        </w:rPr>
        <w:t xml:space="preserve"> of confidence indicators</w:t>
      </w:r>
      <w:r>
        <w:rPr>
          <w:lang w:val="en-GB"/>
        </w:rPr>
        <w:t xml:space="preserve">:                    </w:t>
      </w:r>
      <w:hyperlink r:id="rId8" w:history="1">
        <w:r w:rsidRPr="0069007F">
          <w:rPr>
            <w:rStyle w:val="Hypertextovodkaz"/>
            <w:lang w:val="en-GB"/>
          </w:rPr>
          <w:t>https://www.czso.cz/csu/czso/kpr_ts</w:t>
        </w:r>
      </w:hyperlink>
      <w:r>
        <w:rPr>
          <w:lang w:val="en-GB"/>
        </w:rPr>
        <w:t xml:space="preserve"> </w:t>
      </w:r>
    </w:p>
    <w:p w14:paraId="08C8250B" w14:textId="77777777" w:rsidR="0079695A" w:rsidRDefault="0079695A" w:rsidP="001F35EB">
      <w:pPr>
        <w:pStyle w:val="Poznmkykontaktytext"/>
        <w:rPr>
          <w:lang w:val="en-GB"/>
        </w:rPr>
      </w:pPr>
    </w:p>
    <w:p w14:paraId="76D85D4F" w14:textId="69217520" w:rsidR="0079695A" w:rsidRDefault="0079695A" w:rsidP="0079695A">
      <w:pPr>
        <w:rPr>
          <w:i/>
          <w:sz w:val="18"/>
          <w:szCs w:val="18"/>
        </w:rPr>
      </w:pPr>
      <w:r>
        <w:rPr>
          <w:i/>
          <w:sz w:val="18"/>
          <w:szCs w:val="18"/>
        </w:rPr>
        <w:t>Business and Consumers Surveys are co-financed by grant agreements of the European Commission DG ECFIN.</w:t>
      </w:r>
    </w:p>
    <w:p w14:paraId="590C57E6" w14:textId="77777777" w:rsidR="0079695A" w:rsidRPr="00F01B04" w:rsidRDefault="00B11BE3" w:rsidP="0079695A">
      <w:pPr>
        <w:pStyle w:val="Poznmkykontaktytext"/>
        <w:rPr>
          <w:lang w:val="en-GB"/>
        </w:rPr>
      </w:pPr>
      <w:hyperlink r:id="rId9" w:history="1">
        <w:r w:rsidR="0079695A" w:rsidRPr="0052088D">
          <w:rPr>
            <w:rStyle w:val="Hypertextovodkaz"/>
          </w:rPr>
          <w:t>https://ec.europa.eu/info/business-economy-euro/indicators-statistics/economic-databases/business-and-consumer-surveys_en</w:t>
        </w:r>
      </w:hyperlink>
    </w:p>
    <w:sectPr w:rsidR="0079695A" w:rsidRPr="00F01B04" w:rsidSect="000717B2">
      <w:headerReference w:type="default" r:id="rId10"/>
      <w:footerReference w:type="default" r:id="rId11"/>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ADA19" w14:textId="77777777" w:rsidR="00B11BE3" w:rsidRDefault="00B11BE3" w:rsidP="00BA6370">
      <w:r>
        <w:separator/>
      </w:r>
    </w:p>
  </w:endnote>
  <w:endnote w:type="continuationSeparator" w:id="0">
    <w:p w14:paraId="10808D54" w14:textId="77777777" w:rsidR="00B11BE3" w:rsidRDefault="00B11BE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8A437F" w:rsidRDefault="008A437F">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8A437F" w:rsidRPr="00813BF3" w:rsidRDefault="008A437F"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14:paraId="520CAAA6" w14:textId="77777777" w:rsidR="008A437F" w:rsidRPr="00D52A09" w:rsidRDefault="008A437F"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8A437F" w:rsidRDefault="008A437F"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8A437F" w:rsidRPr="00D52A09" w:rsidRDefault="008A437F"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4D37EBBC" w:rsidR="008A437F" w:rsidRPr="00813BF3" w:rsidRDefault="008A437F" w:rsidP="00DE72EB">
                          <w:pPr>
                            <w:tabs>
                              <w:tab w:val="right" w:pos="8505"/>
                            </w:tabs>
                            <w:spacing w:line="220" w:lineRule="atLeast"/>
                            <w:rPr>
                              <w:rFonts w:cs="Arial"/>
                              <w:lang w:val="cs-CZ"/>
                            </w:rPr>
                          </w:pPr>
                          <w:proofErr w:type="spellStart"/>
                          <w:proofErr w:type="gramStart"/>
                          <w:r w:rsidRPr="00D52A09">
                            <w:rPr>
                              <w:rFonts w:cs="Arial"/>
                              <w:sz w:val="15"/>
                              <w:szCs w:val="15"/>
                            </w:rPr>
                            <w:t>tel</w:t>
                          </w:r>
                          <w:proofErr w:type="spellEnd"/>
                          <w:proofErr w:type="gram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775B00">
                            <w:rPr>
                              <w:rFonts w:cs="Arial"/>
                              <w:noProof/>
                              <w:szCs w:val="15"/>
                            </w:rPr>
                            <w:t>1</w:t>
                          </w:r>
                          <w:r w:rsidRPr="007E75DE">
                            <w:rPr>
                              <w:rFonts w:cs="Arial"/>
                              <w:szCs w:val="15"/>
                            </w:rPr>
                            <w:fldChar w:fldCharType="end"/>
                          </w:r>
                        </w:p>
                        <w:p w14:paraId="683138E0" w14:textId="77777777" w:rsidR="008A437F" w:rsidRPr="000172E7" w:rsidRDefault="008A437F"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8A437F" w:rsidRPr="00813BF3" w:rsidRDefault="008A437F"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14:paraId="520CAAA6" w14:textId="77777777" w:rsidR="008A437F" w:rsidRPr="00D52A09" w:rsidRDefault="008A437F"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8A437F" w:rsidRDefault="008A437F"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8A437F" w:rsidRPr="00D52A09" w:rsidRDefault="008A437F"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4D37EBBC" w:rsidR="008A437F" w:rsidRPr="00813BF3" w:rsidRDefault="008A437F" w:rsidP="00DE72EB">
                    <w:pPr>
                      <w:tabs>
                        <w:tab w:val="right" w:pos="8505"/>
                      </w:tabs>
                      <w:spacing w:line="220" w:lineRule="atLeast"/>
                      <w:rPr>
                        <w:rFonts w:cs="Arial"/>
                        <w:lang w:val="cs-CZ"/>
                      </w:rPr>
                    </w:pPr>
                    <w:proofErr w:type="spellStart"/>
                    <w:proofErr w:type="gramStart"/>
                    <w:r w:rsidRPr="00D52A09">
                      <w:rPr>
                        <w:rFonts w:cs="Arial"/>
                        <w:sz w:val="15"/>
                        <w:szCs w:val="15"/>
                      </w:rPr>
                      <w:t>tel</w:t>
                    </w:r>
                    <w:proofErr w:type="spellEnd"/>
                    <w:proofErr w:type="gramEnd"/>
                    <w:r w:rsidRPr="00D52A09">
                      <w:rPr>
                        <w:rFonts w:cs="Arial"/>
                        <w:sz w:val="15"/>
                        <w:szCs w:val="15"/>
                      </w:rPr>
                      <w:t>: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775B00">
                      <w:rPr>
                        <w:rFonts w:cs="Arial"/>
                        <w:noProof/>
                        <w:szCs w:val="15"/>
                      </w:rPr>
                      <w:t>1</w:t>
                    </w:r>
                    <w:r w:rsidRPr="007E75DE">
                      <w:rPr>
                        <w:rFonts w:cs="Arial"/>
                        <w:szCs w:val="15"/>
                      </w:rPr>
                      <w:fldChar w:fldCharType="end"/>
                    </w:r>
                  </w:p>
                  <w:p w14:paraId="683138E0" w14:textId="77777777" w:rsidR="008A437F" w:rsidRPr="000172E7" w:rsidRDefault="008A437F"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8F61B" w14:textId="77777777" w:rsidR="00B11BE3" w:rsidRDefault="00B11BE3" w:rsidP="00BA6370">
      <w:r>
        <w:separator/>
      </w:r>
    </w:p>
  </w:footnote>
  <w:footnote w:type="continuationSeparator" w:id="0">
    <w:p w14:paraId="0D8ADE64" w14:textId="77777777" w:rsidR="00B11BE3" w:rsidRDefault="00B11BE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408A8BCD" w:rsidR="008A437F" w:rsidRDefault="008A437F">
    <w:pPr>
      <w:pStyle w:val="Zhlav"/>
    </w:pPr>
    <w:r>
      <w:rPr>
        <w:noProof/>
        <w:lang w:val="cs-CZ" w:eastAsia="cs-CZ"/>
      </w:rPr>
      <mc:AlternateContent>
        <mc:Choice Requires="wps">
          <w:drawing>
            <wp:anchor distT="0" distB="0" distL="114300" distR="114300" simplePos="0" relativeHeight="251661824" behindDoc="0" locked="0" layoutInCell="1" allowOverlap="1" wp14:anchorId="4F869B6D" wp14:editId="0F0345B7">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8319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r>
      <w:rPr>
        <w:noProof/>
        <w:lang w:val="cs-CZ" w:eastAsia="cs-CZ"/>
      </w:rPr>
      <w:drawing>
        <wp:inline distT="0" distB="0" distL="0" distR="0" wp14:anchorId="3CC8D16F" wp14:editId="6D318D4E">
          <wp:extent cx="1958485" cy="520700"/>
          <wp:effectExtent l="0" t="0" r="3810" b="0"/>
          <wp:docPr id="13" name="Obrázek 13" descr="C:\Users\cieslar35132\AppData\Local\Microsoft\Windows\INetCache\Content.Word\logo-ce-horizontal-en-quadri-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eslar35132\AppData\Local\Microsoft\Windows\INetCache\Content.Word\logo-ce-horizontal-en-quadri-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349" cy="563735"/>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016F3"/>
    <w:rsid w:val="000129B9"/>
    <w:rsid w:val="00013AF6"/>
    <w:rsid w:val="000157B1"/>
    <w:rsid w:val="000159B0"/>
    <w:rsid w:val="000159F2"/>
    <w:rsid w:val="00023B5B"/>
    <w:rsid w:val="00031A09"/>
    <w:rsid w:val="00034C0C"/>
    <w:rsid w:val="00037A4E"/>
    <w:rsid w:val="000424B1"/>
    <w:rsid w:val="00043611"/>
    <w:rsid w:val="00043BF4"/>
    <w:rsid w:val="00046683"/>
    <w:rsid w:val="00050743"/>
    <w:rsid w:val="00052AB1"/>
    <w:rsid w:val="000717B2"/>
    <w:rsid w:val="00076126"/>
    <w:rsid w:val="0007766B"/>
    <w:rsid w:val="000843A5"/>
    <w:rsid w:val="000855AC"/>
    <w:rsid w:val="00086C55"/>
    <w:rsid w:val="00090240"/>
    <w:rsid w:val="0009050B"/>
    <w:rsid w:val="00091722"/>
    <w:rsid w:val="000941C7"/>
    <w:rsid w:val="00097815"/>
    <w:rsid w:val="000A04ED"/>
    <w:rsid w:val="000A1DA0"/>
    <w:rsid w:val="000A2425"/>
    <w:rsid w:val="000A414F"/>
    <w:rsid w:val="000A431D"/>
    <w:rsid w:val="000A59B7"/>
    <w:rsid w:val="000B6F63"/>
    <w:rsid w:val="000C7EF2"/>
    <w:rsid w:val="000D1BF4"/>
    <w:rsid w:val="000D2884"/>
    <w:rsid w:val="000D6093"/>
    <w:rsid w:val="000D623D"/>
    <w:rsid w:val="000D6BF2"/>
    <w:rsid w:val="000D6C92"/>
    <w:rsid w:val="000D7190"/>
    <w:rsid w:val="000D736D"/>
    <w:rsid w:val="000E2C41"/>
    <w:rsid w:val="000E40A0"/>
    <w:rsid w:val="000F44B2"/>
    <w:rsid w:val="000F6A74"/>
    <w:rsid w:val="000F71F0"/>
    <w:rsid w:val="00100330"/>
    <w:rsid w:val="001023FB"/>
    <w:rsid w:val="00106693"/>
    <w:rsid w:val="00116ED1"/>
    <w:rsid w:val="00121027"/>
    <w:rsid w:val="001230E2"/>
    <w:rsid w:val="00123849"/>
    <w:rsid w:val="0013242C"/>
    <w:rsid w:val="0013400F"/>
    <w:rsid w:val="00134AE4"/>
    <w:rsid w:val="00135CC6"/>
    <w:rsid w:val="001404AB"/>
    <w:rsid w:val="001432D5"/>
    <w:rsid w:val="001437B1"/>
    <w:rsid w:val="00144E70"/>
    <w:rsid w:val="0014600E"/>
    <w:rsid w:val="001468C9"/>
    <w:rsid w:val="00147AB4"/>
    <w:rsid w:val="00156D80"/>
    <w:rsid w:val="001622F3"/>
    <w:rsid w:val="00162583"/>
    <w:rsid w:val="00163E04"/>
    <w:rsid w:val="00170199"/>
    <w:rsid w:val="0017032C"/>
    <w:rsid w:val="0017231D"/>
    <w:rsid w:val="00173CF3"/>
    <w:rsid w:val="00173FCD"/>
    <w:rsid w:val="00174298"/>
    <w:rsid w:val="00176E26"/>
    <w:rsid w:val="00177C30"/>
    <w:rsid w:val="0018061F"/>
    <w:rsid w:val="001810DC"/>
    <w:rsid w:val="0018149F"/>
    <w:rsid w:val="00182944"/>
    <w:rsid w:val="0018391E"/>
    <w:rsid w:val="0018470C"/>
    <w:rsid w:val="001861A0"/>
    <w:rsid w:val="00192206"/>
    <w:rsid w:val="00193BE8"/>
    <w:rsid w:val="00194517"/>
    <w:rsid w:val="00196494"/>
    <w:rsid w:val="00197A16"/>
    <w:rsid w:val="00197D19"/>
    <w:rsid w:val="001A1124"/>
    <w:rsid w:val="001A64F5"/>
    <w:rsid w:val="001B0B94"/>
    <w:rsid w:val="001B393F"/>
    <w:rsid w:val="001B3E25"/>
    <w:rsid w:val="001B607F"/>
    <w:rsid w:val="001C71FD"/>
    <w:rsid w:val="001D369A"/>
    <w:rsid w:val="001D5D5D"/>
    <w:rsid w:val="001E1E0F"/>
    <w:rsid w:val="001E23B3"/>
    <w:rsid w:val="001E5911"/>
    <w:rsid w:val="001F08B3"/>
    <w:rsid w:val="001F35EB"/>
    <w:rsid w:val="001F49C1"/>
    <w:rsid w:val="00201052"/>
    <w:rsid w:val="002033EC"/>
    <w:rsid w:val="00205CB5"/>
    <w:rsid w:val="002061C7"/>
    <w:rsid w:val="002070FB"/>
    <w:rsid w:val="00213729"/>
    <w:rsid w:val="00213CAE"/>
    <w:rsid w:val="0021663B"/>
    <w:rsid w:val="00217ABF"/>
    <w:rsid w:val="00221DCF"/>
    <w:rsid w:val="002236F2"/>
    <w:rsid w:val="002328EB"/>
    <w:rsid w:val="00232FD2"/>
    <w:rsid w:val="0023440F"/>
    <w:rsid w:val="00234BAB"/>
    <w:rsid w:val="00236F90"/>
    <w:rsid w:val="002406FA"/>
    <w:rsid w:val="002411F6"/>
    <w:rsid w:val="00250063"/>
    <w:rsid w:val="002515C1"/>
    <w:rsid w:val="00266CB5"/>
    <w:rsid w:val="00271CD3"/>
    <w:rsid w:val="00271FB4"/>
    <w:rsid w:val="0028019F"/>
    <w:rsid w:val="00282FD9"/>
    <w:rsid w:val="002858A9"/>
    <w:rsid w:val="0029199C"/>
    <w:rsid w:val="00296001"/>
    <w:rsid w:val="00297900"/>
    <w:rsid w:val="002A23B1"/>
    <w:rsid w:val="002A4EAF"/>
    <w:rsid w:val="002A7723"/>
    <w:rsid w:val="002B0611"/>
    <w:rsid w:val="002B2E47"/>
    <w:rsid w:val="002B7B87"/>
    <w:rsid w:val="002C1FF1"/>
    <w:rsid w:val="002C3427"/>
    <w:rsid w:val="002D2FC9"/>
    <w:rsid w:val="002D37F5"/>
    <w:rsid w:val="002D5CF2"/>
    <w:rsid w:val="002D79AF"/>
    <w:rsid w:val="002E0812"/>
    <w:rsid w:val="002E247B"/>
    <w:rsid w:val="002E357B"/>
    <w:rsid w:val="002F1D06"/>
    <w:rsid w:val="002F5A09"/>
    <w:rsid w:val="002F7CE1"/>
    <w:rsid w:val="00300050"/>
    <w:rsid w:val="0030126C"/>
    <w:rsid w:val="00301B06"/>
    <w:rsid w:val="0030704E"/>
    <w:rsid w:val="00307391"/>
    <w:rsid w:val="00310E7C"/>
    <w:rsid w:val="00320C04"/>
    <w:rsid w:val="0032398D"/>
    <w:rsid w:val="00325751"/>
    <w:rsid w:val="00326C57"/>
    <w:rsid w:val="0032747A"/>
    <w:rsid w:val="003301A3"/>
    <w:rsid w:val="00331315"/>
    <w:rsid w:val="003317AB"/>
    <w:rsid w:val="003319D6"/>
    <w:rsid w:val="003325F2"/>
    <w:rsid w:val="003330AF"/>
    <w:rsid w:val="0033377D"/>
    <w:rsid w:val="00333A3A"/>
    <w:rsid w:val="00333CF0"/>
    <w:rsid w:val="00335422"/>
    <w:rsid w:val="00340D74"/>
    <w:rsid w:val="00340F76"/>
    <w:rsid w:val="003438BA"/>
    <w:rsid w:val="003527BD"/>
    <w:rsid w:val="003528CF"/>
    <w:rsid w:val="0036196C"/>
    <w:rsid w:val="003628E4"/>
    <w:rsid w:val="0036777B"/>
    <w:rsid w:val="00371661"/>
    <w:rsid w:val="00376DE2"/>
    <w:rsid w:val="00380178"/>
    <w:rsid w:val="003806AD"/>
    <w:rsid w:val="0038282A"/>
    <w:rsid w:val="00390BD7"/>
    <w:rsid w:val="0039293A"/>
    <w:rsid w:val="003932E7"/>
    <w:rsid w:val="00397580"/>
    <w:rsid w:val="003A213E"/>
    <w:rsid w:val="003A28D2"/>
    <w:rsid w:val="003A45C8"/>
    <w:rsid w:val="003A6261"/>
    <w:rsid w:val="003B3DFA"/>
    <w:rsid w:val="003B7F42"/>
    <w:rsid w:val="003C1D43"/>
    <w:rsid w:val="003C2DCF"/>
    <w:rsid w:val="003C3372"/>
    <w:rsid w:val="003C7FE7"/>
    <w:rsid w:val="003D0499"/>
    <w:rsid w:val="003D3576"/>
    <w:rsid w:val="003D4979"/>
    <w:rsid w:val="003E1CB2"/>
    <w:rsid w:val="003E244B"/>
    <w:rsid w:val="003E6548"/>
    <w:rsid w:val="003F1E09"/>
    <w:rsid w:val="003F429E"/>
    <w:rsid w:val="003F526A"/>
    <w:rsid w:val="003F67C7"/>
    <w:rsid w:val="003F7314"/>
    <w:rsid w:val="003F7490"/>
    <w:rsid w:val="00403E92"/>
    <w:rsid w:val="00405244"/>
    <w:rsid w:val="00405653"/>
    <w:rsid w:val="0041391B"/>
    <w:rsid w:val="00416030"/>
    <w:rsid w:val="00421586"/>
    <w:rsid w:val="004250A1"/>
    <w:rsid w:val="00433F09"/>
    <w:rsid w:val="00436D82"/>
    <w:rsid w:val="004436EE"/>
    <w:rsid w:val="00443E71"/>
    <w:rsid w:val="00444BDA"/>
    <w:rsid w:val="00447AB9"/>
    <w:rsid w:val="00450E5D"/>
    <w:rsid w:val="00452ECA"/>
    <w:rsid w:val="004531BF"/>
    <w:rsid w:val="0045547F"/>
    <w:rsid w:val="00457182"/>
    <w:rsid w:val="0045729C"/>
    <w:rsid w:val="00461209"/>
    <w:rsid w:val="0046266A"/>
    <w:rsid w:val="004636EF"/>
    <w:rsid w:val="004642C2"/>
    <w:rsid w:val="00464392"/>
    <w:rsid w:val="00471605"/>
    <w:rsid w:val="004722E5"/>
    <w:rsid w:val="0047296D"/>
    <w:rsid w:val="004732E9"/>
    <w:rsid w:val="00480B12"/>
    <w:rsid w:val="004832B5"/>
    <w:rsid w:val="004862B0"/>
    <w:rsid w:val="00486D6A"/>
    <w:rsid w:val="00487B56"/>
    <w:rsid w:val="004920AD"/>
    <w:rsid w:val="00492495"/>
    <w:rsid w:val="004934D7"/>
    <w:rsid w:val="004A3332"/>
    <w:rsid w:val="004A66C9"/>
    <w:rsid w:val="004B1D7F"/>
    <w:rsid w:val="004B5CA6"/>
    <w:rsid w:val="004B708C"/>
    <w:rsid w:val="004D05B3"/>
    <w:rsid w:val="004D14F7"/>
    <w:rsid w:val="004D4204"/>
    <w:rsid w:val="004D5180"/>
    <w:rsid w:val="004E1445"/>
    <w:rsid w:val="004E479E"/>
    <w:rsid w:val="004E5ECB"/>
    <w:rsid w:val="004E68C6"/>
    <w:rsid w:val="004E7277"/>
    <w:rsid w:val="004E79E5"/>
    <w:rsid w:val="004F1152"/>
    <w:rsid w:val="004F5023"/>
    <w:rsid w:val="004F5F61"/>
    <w:rsid w:val="004F6EBE"/>
    <w:rsid w:val="004F78E6"/>
    <w:rsid w:val="00501234"/>
    <w:rsid w:val="005024FA"/>
    <w:rsid w:val="0050251E"/>
    <w:rsid w:val="0050397A"/>
    <w:rsid w:val="00505EF1"/>
    <w:rsid w:val="005113CB"/>
    <w:rsid w:val="005128F3"/>
    <w:rsid w:val="00512D99"/>
    <w:rsid w:val="00512E95"/>
    <w:rsid w:val="00513164"/>
    <w:rsid w:val="00514B9C"/>
    <w:rsid w:val="0051732F"/>
    <w:rsid w:val="00521D03"/>
    <w:rsid w:val="005316DE"/>
    <w:rsid w:val="00531D7A"/>
    <w:rsid w:val="00531DBB"/>
    <w:rsid w:val="0053350A"/>
    <w:rsid w:val="005340A4"/>
    <w:rsid w:val="00537DAE"/>
    <w:rsid w:val="0054795F"/>
    <w:rsid w:val="0055269A"/>
    <w:rsid w:val="005566AF"/>
    <w:rsid w:val="00557BEA"/>
    <w:rsid w:val="00561CEE"/>
    <w:rsid w:val="00563233"/>
    <w:rsid w:val="00564213"/>
    <w:rsid w:val="00564772"/>
    <w:rsid w:val="00576FE7"/>
    <w:rsid w:val="00577410"/>
    <w:rsid w:val="00580B66"/>
    <w:rsid w:val="005830E5"/>
    <w:rsid w:val="005847C6"/>
    <w:rsid w:val="00587708"/>
    <w:rsid w:val="00587C6B"/>
    <w:rsid w:val="005901F0"/>
    <w:rsid w:val="005A0317"/>
    <w:rsid w:val="005A08F3"/>
    <w:rsid w:val="005A0B5E"/>
    <w:rsid w:val="005A1729"/>
    <w:rsid w:val="005A2F93"/>
    <w:rsid w:val="005A6C05"/>
    <w:rsid w:val="005A787B"/>
    <w:rsid w:val="005B5467"/>
    <w:rsid w:val="005B6A1C"/>
    <w:rsid w:val="005C1DA8"/>
    <w:rsid w:val="005D25CE"/>
    <w:rsid w:val="005D4717"/>
    <w:rsid w:val="005D5115"/>
    <w:rsid w:val="005E0E7C"/>
    <w:rsid w:val="005E2BA4"/>
    <w:rsid w:val="005E2C92"/>
    <w:rsid w:val="005E3D28"/>
    <w:rsid w:val="005E5BB8"/>
    <w:rsid w:val="005E7665"/>
    <w:rsid w:val="005F0BB2"/>
    <w:rsid w:val="005F1E05"/>
    <w:rsid w:val="005F352E"/>
    <w:rsid w:val="005F480E"/>
    <w:rsid w:val="005F57E4"/>
    <w:rsid w:val="005F5D58"/>
    <w:rsid w:val="005F79FB"/>
    <w:rsid w:val="006000B2"/>
    <w:rsid w:val="006019E6"/>
    <w:rsid w:val="006036E1"/>
    <w:rsid w:val="00604406"/>
    <w:rsid w:val="0060533A"/>
    <w:rsid w:val="00605F4A"/>
    <w:rsid w:val="00607647"/>
    <w:rsid w:val="00607822"/>
    <w:rsid w:val="006103AA"/>
    <w:rsid w:val="006103CE"/>
    <w:rsid w:val="00613BBF"/>
    <w:rsid w:val="006217C9"/>
    <w:rsid w:val="00622B80"/>
    <w:rsid w:val="0062646F"/>
    <w:rsid w:val="006350A6"/>
    <w:rsid w:val="00637CE0"/>
    <w:rsid w:val="00640882"/>
    <w:rsid w:val="0064139A"/>
    <w:rsid w:val="00641465"/>
    <w:rsid w:val="00643F17"/>
    <w:rsid w:val="00652C42"/>
    <w:rsid w:val="006535DC"/>
    <w:rsid w:val="00653DA5"/>
    <w:rsid w:val="006573F1"/>
    <w:rsid w:val="006611F6"/>
    <w:rsid w:val="00661825"/>
    <w:rsid w:val="0066214C"/>
    <w:rsid w:val="00665BE8"/>
    <w:rsid w:val="0066612B"/>
    <w:rsid w:val="00666685"/>
    <w:rsid w:val="00670518"/>
    <w:rsid w:val="0067263D"/>
    <w:rsid w:val="00673B18"/>
    <w:rsid w:val="00674FCF"/>
    <w:rsid w:val="0067695D"/>
    <w:rsid w:val="006772A2"/>
    <w:rsid w:val="006815ED"/>
    <w:rsid w:val="0068250D"/>
    <w:rsid w:val="00684FDB"/>
    <w:rsid w:val="006855C9"/>
    <w:rsid w:val="0068592B"/>
    <w:rsid w:val="00686324"/>
    <w:rsid w:val="00686B08"/>
    <w:rsid w:val="0069082A"/>
    <w:rsid w:val="006931EB"/>
    <w:rsid w:val="0069772C"/>
    <w:rsid w:val="006A218B"/>
    <w:rsid w:val="006B7B6C"/>
    <w:rsid w:val="006C180B"/>
    <w:rsid w:val="006C3C4E"/>
    <w:rsid w:val="006C6B1A"/>
    <w:rsid w:val="006D5C60"/>
    <w:rsid w:val="006D699F"/>
    <w:rsid w:val="006D6E07"/>
    <w:rsid w:val="006E024F"/>
    <w:rsid w:val="006E106B"/>
    <w:rsid w:val="006E219C"/>
    <w:rsid w:val="006E4E81"/>
    <w:rsid w:val="006F0333"/>
    <w:rsid w:val="006F0D9B"/>
    <w:rsid w:val="006F346D"/>
    <w:rsid w:val="00707F7D"/>
    <w:rsid w:val="00710F87"/>
    <w:rsid w:val="00711428"/>
    <w:rsid w:val="007127BC"/>
    <w:rsid w:val="00717EC5"/>
    <w:rsid w:val="00720A85"/>
    <w:rsid w:val="00727749"/>
    <w:rsid w:val="007303F0"/>
    <w:rsid w:val="00740FDB"/>
    <w:rsid w:val="0074195B"/>
    <w:rsid w:val="00742E00"/>
    <w:rsid w:val="007517F8"/>
    <w:rsid w:val="00753B2F"/>
    <w:rsid w:val="0075451A"/>
    <w:rsid w:val="00755D8B"/>
    <w:rsid w:val="00760984"/>
    <w:rsid w:val="007614CB"/>
    <w:rsid w:val="00763787"/>
    <w:rsid w:val="007643EB"/>
    <w:rsid w:val="007758C3"/>
    <w:rsid w:val="00775B00"/>
    <w:rsid w:val="00776AB3"/>
    <w:rsid w:val="00780A22"/>
    <w:rsid w:val="00782AF9"/>
    <w:rsid w:val="00784884"/>
    <w:rsid w:val="0078654E"/>
    <w:rsid w:val="0079695A"/>
    <w:rsid w:val="007A0CA5"/>
    <w:rsid w:val="007A112D"/>
    <w:rsid w:val="007A57F2"/>
    <w:rsid w:val="007A5B0A"/>
    <w:rsid w:val="007A7034"/>
    <w:rsid w:val="007B1333"/>
    <w:rsid w:val="007B2FC2"/>
    <w:rsid w:val="007B6C7E"/>
    <w:rsid w:val="007C3AC8"/>
    <w:rsid w:val="007C6082"/>
    <w:rsid w:val="007C7F82"/>
    <w:rsid w:val="007D2D47"/>
    <w:rsid w:val="007D2EB6"/>
    <w:rsid w:val="007D527B"/>
    <w:rsid w:val="007D67FE"/>
    <w:rsid w:val="007E1E39"/>
    <w:rsid w:val="007E3A05"/>
    <w:rsid w:val="007F041F"/>
    <w:rsid w:val="007F2E34"/>
    <w:rsid w:val="007F456D"/>
    <w:rsid w:val="007F4AEB"/>
    <w:rsid w:val="007F5F85"/>
    <w:rsid w:val="007F75B2"/>
    <w:rsid w:val="008043C4"/>
    <w:rsid w:val="00805210"/>
    <w:rsid w:val="008069E9"/>
    <w:rsid w:val="00810E8D"/>
    <w:rsid w:val="00811B2E"/>
    <w:rsid w:val="0081272C"/>
    <w:rsid w:val="00817CF1"/>
    <w:rsid w:val="00831543"/>
    <w:rsid w:val="00831B1B"/>
    <w:rsid w:val="00832751"/>
    <w:rsid w:val="00832FF1"/>
    <w:rsid w:val="00833B27"/>
    <w:rsid w:val="00834FAA"/>
    <w:rsid w:val="0084696B"/>
    <w:rsid w:val="008513FB"/>
    <w:rsid w:val="00851904"/>
    <w:rsid w:val="0085352A"/>
    <w:rsid w:val="00855013"/>
    <w:rsid w:val="00855FB3"/>
    <w:rsid w:val="008576A5"/>
    <w:rsid w:val="00861D0E"/>
    <w:rsid w:val="00867569"/>
    <w:rsid w:val="0087027C"/>
    <w:rsid w:val="00875D2C"/>
    <w:rsid w:val="00877FED"/>
    <w:rsid w:val="0088210D"/>
    <w:rsid w:val="00884276"/>
    <w:rsid w:val="00885487"/>
    <w:rsid w:val="008859E8"/>
    <w:rsid w:val="00885C0D"/>
    <w:rsid w:val="00886A7F"/>
    <w:rsid w:val="008973E7"/>
    <w:rsid w:val="008A437F"/>
    <w:rsid w:val="008A4D62"/>
    <w:rsid w:val="008A6983"/>
    <w:rsid w:val="008A750A"/>
    <w:rsid w:val="008B0746"/>
    <w:rsid w:val="008B30A8"/>
    <w:rsid w:val="008B3970"/>
    <w:rsid w:val="008B47AE"/>
    <w:rsid w:val="008B52DB"/>
    <w:rsid w:val="008C384C"/>
    <w:rsid w:val="008D03A2"/>
    <w:rsid w:val="008D06E5"/>
    <w:rsid w:val="008D0F11"/>
    <w:rsid w:val="008E297F"/>
    <w:rsid w:val="008F2788"/>
    <w:rsid w:val="008F4F65"/>
    <w:rsid w:val="008F73B4"/>
    <w:rsid w:val="00902964"/>
    <w:rsid w:val="00903368"/>
    <w:rsid w:val="009035E8"/>
    <w:rsid w:val="00903A9C"/>
    <w:rsid w:val="00903E52"/>
    <w:rsid w:val="00906B10"/>
    <w:rsid w:val="009103D3"/>
    <w:rsid w:val="00910C49"/>
    <w:rsid w:val="009146A2"/>
    <w:rsid w:val="00915F5D"/>
    <w:rsid w:val="00920CA1"/>
    <w:rsid w:val="00920DAE"/>
    <w:rsid w:val="009237D2"/>
    <w:rsid w:val="009315EF"/>
    <w:rsid w:val="00937553"/>
    <w:rsid w:val="0094486D"/>
    <w:rsid w:val="00944D62"/>
    <w:rsid w:val="009500E1"/>
    <w:rsid w:val="0095012A"/>
    <w:rsid w:val="00956679"/>
    <w:rsid w:val="00963CE6"/>
    <w:rsid w:val="00965C43"/>
    <w:rsid w:val="009663C3"/>
    <w:rsid w:val="009708A3"/>
    <w:rsid w:val="00970CEB"/>
    <w:rsid w:val="00971374"/>
    <w:rsid w:val="00981CF2"/>
    <w:rsid w:val="0098326B"/>
    <w:rsid w:val="00983CEA"/>
    <w:rsid w:val="00984AE4"/>
    <w:rsid w:val="00987E8C"/>
    <w:rsid w:val="00990040"/>
    <w:rsid w:val="00990D9F"/>
    <w:rsid w:val="00991B00"/>
    <w:rsid w:val="009935A5"/>
    <w:rsid w:val="0099430D"/>
    <w:rsid w:val="00995F6C"/>
    <w:rsid w:val="009976C2"/>
    <w:rsid w:val="009A6178"/>
    <w:rsid w:val="009B38A8"/>
    <w:rsid w:val="009B55B1"/>
    <w:rsid w:val="009C0A36"/>
    <w:rsid w:val="009C174C"/>
    <w:rsid w:val="009C2674"/>
    <w:rsid w:val="009C28EC"/>
    <w:rsid w:val="009D06E0"/>
    <w:rsid w:val="009D1367"/>
    <w:rsid w:val="009D1807"/>
    <w:rsid w:val="009D32CD"/>
    <w:rsid w:val="009D3DC5"/>
    <w:rsid w:val="009D508D"/>
    <w:rsid w:val="009D524A"/>
    <w:rsid w:val="009D6247"/>
    <w:rsid w:val="009D6F25"/>
    <w:rsid w:val="009E39C5"/>
    <w:rsid w:val="009F1312"/>
    <w:rsid w:val="009F5591"/>
    <w:rsid w:val="00A003C2"/>
    <w:rsid w:val="00A01763"/>
    <w:rsid w:val="00A037ED"/>
    <w:rsid w:val="00A07646"/>
    <w:rsid w:val="00A07BA7"/>
    <w:rsid w:val="00A1420C"/>
    <w:rsid w:val="00A22DCE"/>
    <w:rsid w:val="00A244D9"/>
    <w:rsid w:val="00A26B39"/>
    <w:rsid w:val="00A31426"/>
    <w:rsid w:val="00A33FE8"/>
    <w:rsid w:val="00A3498A"/>
    <w:rsid w:val="00A35035"/>
    <w:rsid w:val="00A35AEE"/>
    <w:rsid w:val="00A363AA"/>
    <w:rsid w:val="00A42533"/>
    <w:rsid w:val="00A4343D"/>
    <w:rsid w:val="00A464E4"/>
    <w:rsid w:val="00A502F1"/>
    <w:rsid w:val="00A50D78"/>
    <w:rsid w:val="00A5503F"/>
    <w:rsid w:val="00A601EB"/>
    <w:rsid w:val="00A64B7D"/>
    <w:rsid w:val="00A70A83"/>
    <w:rsid w:val="00A77DD1"/>
    <w:rsid w:val="00A802B8"/>
    <w:rsid w:val="00A81EB3"/>
    <w:rsid w:val="00A90425"/>
    <w:rsid w:val="00A912C6"/>
    <w:rsid w:val="00A948EF"/>
    <w:rsid w:val="00A951EF"/>
    <w:rsid w:val="00A96A48"/>
    <w:rsid w:val="00A96E30"/>
    <w:rsid w:val="00AA5181"/>
    <w:rsid w:val="00AA74A6"/>
    <w:rsid w:val="00AB1887"/>
    <w:rsid w:val="00AB5696"/>
    <w:rsid w:val="00AB6196"/>
    <w:rsid w:val="00AB685A"/>
    <w:rsid w:val="00AC3140"/>
    <w:rsid w:val="00AD1448"/>
    <w:rsid w:val="00AD1DA4"/>
    <w:rsid w:val="00AD4AAF"/>
    <w:rsid w:val="00AE14C1"/>
    <w:rsid w:val="00AE7D29"/>
    <w:rsid w:val="00AF0172"/>
    <w:rsid w:val="00AF190A"/>
    <w:rsid w:val="00AF6E11"/>
    <w:rsid w:val="00B00C1D"/>
    <w:rsid w:val="00B01F4C"/>
    <w:rsid w:val="00B11BE3"/>
    <w:rsid w:val="00B12766"/>
    <w:rsid w:val="00B12814"/>
    <w:rsid w:val="00B14281"/>
    <w:rsid w:val="00B156B3"/>
    <w:rsid w:val="00B21808"/>
    <w:rsid w:val="00B2299B"/>
    <w:rsid w:val="00B231D8"/>
    <w:rsid w:val="00B24298"/>
    <w:rsid w:val="00B24CCD"/>
    <w:rsid w:val="00B25B7B"/>
    <w:rsid w:val="00B37BC2"/>
    <w:rsid w:val="00B418C8"/>
    <w:rsid w:val="00B41E30"/>
    <w:rsid w:val="00B42551"/>
    <w:rsid w:val="00B428B8"/>
    <w:rsid w:val="00B42FAD"/>
    <w:rsid w:val="00B4700E"/>
    <w:rsid w:val="00B51B89"/>
    <w:rsid w:val="00B5764D"/>
    <w:rsid w:val="00B57F09"/>
    <w:rsid w:val="00B62859"/>
    <w:rsid w:val="00B632CC"/>
    <w:rsid w:val="00B634D3"/>
    <w:rsid w:val="00B67F6C"/>
    <w:rsid w:val="00B7103B"/>
    <w:rsid w:val="00B72824"/>
    <w:rsid w:val="00B729A5"/>
    <w:rsid w:val="00B77261"/>
    <w:rsid w:val="00B8623F"/>
    <w:rsid w:val="00B87F35"/>
    <w:rsid w:val="00B92520"/>
    <w:rsid w:val="00B96779"/>
    <w:rsid w:val="00BA12F1"/>
    <w:rsid w:val="00BA1ED3"/>
    <w:rsid w:val="00BA439F"/>
    <w:rsid w:val="00BA4B69"/>
    <w:rsid w:val="00BA5E4A"/>
    <w:rsid w:val="00BA6370"/>
    <w:rsid w:val="00BA7BDA"/>
    <w:rsid w:val="00BB246D"/>
    <w:rsid w:val="00BB4048"/>
    <w:rsid w:val="00BB5621"/>
    <w:rsid w:val="00BC41F9"/>
    <w:rsid w:val="00BC5A75"/>
    <w:rsid w:val="00BD0515"/>
    <w:rsid w:val="00BD1310"/>
    <w:rsid w:val="00BD1539"/>
    <w:rsid w:val="00BD2659"/>
    <w:rsid w:val="00BD3C89"/>
    <w:rsid w:val="00BE2522"/>
    <w:rsid w:val="00BE5C55"/>
    <w:rsid w:val="00BE72C9"/>
    <w:rsid w:val="00BF125A"/>
    <w:rsid w:val="00BF44C7"/>
    <w:rsid w:val="00BF5774"/>
    <w:rsid w:val="00BF6219"/>
    <w:rsid w:val="00BF67B8"/>
    <w:rsid w:val="00BF6917"/>
    <w:rsid w:val="00C00794"/>
    <w:rsid w:val="00C01C51"/>
    <w:rsid w:val="00C02A5B"/>
    <w:rsid w:val="00C04B96"/>
    <w:rsid w:val="00C10CEE"/>
    <w:rsid w:val="00C133F7"/>
    <w:rsid w:val="00C13E6F"/>
    <w:rsid w:val="00C15ACD"/>
    <w:rsid w:val="00C17D04"/>
    <w:rsid w:val="00C209A3"/>
    <w:rsid w:val="00C228B7"/>
    <w:rsid w:val="00C22BAF"/>
    <w:rsid w:val="00C269D4"/>
    <w:rsid w:val="00C334FC"/>
    <w:rsid w:val="00C33BD4"/>
    <w:rsid w:val="00C3447C"/>
    <w:rsid w:val="00C34A42"/>
    <w:rsid w:val="00C36E17"/>
    <w:rsid w:val="00C3773B"/>
    <w:rsid w:val="00C4160D"/>
    <w:rsid w:val="00C47CB8"/>
    <w:rsid w:val="00C51388"/>
    <w:rsid w:val="00C52A75"/>
    <w:rsid w:val="00C54233"/>
    <w:rsid w:val="00C5432C"/>
    <w:rsid w:val="00C546A1"/>
    <w:rsid w:val="00C54DD6"/>
    <w:rsid w:val="00C5561F"/>
    <w:rsid w:val="00C55EC2"/>
    <w:rsid w:val="00C61189"/>
    <w:rsid w:val="00C64126"/>
    <w:rsid w:val="00C67B69"/>
    <w:rsid w:val="00C7261B"/>
    <w:rsid w:val="00C8406E"/>
    <w:rsid w:val="00C90D65"/>
    <w:rsid w:val="00C91A98"/>
    <w:rsid w:val="00C94292"/>
    <w:rsid w:val="00C946F4"/>
    <w:rsid w:val="00C97018"/>
    <w:rsid w:val="00CA1DCD"/>
    <w:rsid w:val="00CA2DBF"/>
    <w:rsid w:val="00CA3A87"/>
    <w:rsid w:val="00CA3EEE"/>
    <w:rsid w:val="00CA5AF4"/>
    <w:rsid w:val="00CB2144"/>
    <w:rsid w:val="00CB2709"/>
    <w:rsid w:val="00CB3CB0"/>
    <w:rsid w:val="00CB6F89"/>
    <w:rsid w:val="00CC0282"/>
    <w:rsid w:val="00CC556B"/>
    <w:rsid w:val="00CC6255"/>
    <w:rsid w:val="00CD7FF8"/>
    <w:rsid w:val="00CE228C"/>
    <w:rsid w:val="00CE5F3B"/>
    <w:rsid w:val="00CE71D9"/>
    <w:rsid w:val="00CF4E8B"/>
    <w:rsid w:val="00CF545B"/>
    <w:rsid w:val="00D05D55"/>
    <w:rsid w:val="00D0778C"/>
    <w:rsid w:val="00D07DFB"/>
    <w:rsid w:val="00D101CA"/>
    <w:rsid w:val="00D10722"/>
    <w:rsid w:val="00D10984"/>
    <w:rsid w:val="00D10DDD"/>
    <w:rsid w:val="00D11EE5"/>
    <w:rsid w:val="00D15B97"/>
    <w:rsid w:val="00D165E4"/>
    <w:rsid w:val="00D209A7"/>
    <w:rsid w:val="00D2387A"/>
    <w:rsid w:val="00D27D69"/>
    <w:rsid w:val="00D27ED9"/>
    <w:rsid w:val="00D31523"/>
    <w:rsid w:val="00D3586E"/>
    <w:rsid w:val="00D35AA6"/>
    <w:rsid w:val="00D3787F"/>
    <w:rsid w:val="00D40DC5"/>
    <w:rsid w:val="00D448C2"/>
    <w:rsid w:val="00D471AA"/>
    <w:rsid w:val="00D5213B"/>
    <w:rsid w:val="00D53681"/>
    <w:rsid w:val="00D536B8"/>
    <w:rsid w:val="00D56DC0"/>
    <w:rsid w:val="00D6170A"/>
    <w:rsid w:val="00D62E1E"/>
    <w:rsid w:val="00D663E3"/>
    <w:rsid w:val="00D666C3"/>
    <w:rsid w:val="00D66756"/>
    <w:rsid w:val="00D670CD"/>
    <w:rsid w:val="00D71C94"/>
    <w:rsid w:val="00D72BDC"/>
    <w:rsid w:val="00D73C9E"/>
    <w:rsid w:val="00D75F38"/>
    <w:rsid w:val="00D76218"/>
    <w:rsid w:val="00D80450"/>
    <w:rsid w:val="00D811AB"/>
    <w:rsid w:val="00D9132C"/>
    <w:rsid w:val="00DA3AC8"/>
    <w:rsid w:val="00DA48BF"/>
    <w:rsid w:val="00DA6C40"/>
    <w:rsid w:val="00DB28C0"/>
    <w:rsid w:val="00DB38EE"/>
    <w:rsid w:val="00DB5A54"/>
    <w:rsid w:val="00DC1DC9"/>
    <w:rsid w:val="00DC796C"/>
    <w:rsid w:val="00DC7AE5"/>
    <w:rsid w:val="00DD0246"/>
    <w:rsid w:val="00DD2977"/>
    <w:rsid w:val="00DD32BF"/>
    <w:rsid w:val="00DD479B"/>
    <w:rsid w:val="00DD724F"/>
    <w:rsid w:val="00DD7BA4"/>
    <w:rsid w:val="00DE15B9"/>
    <w:rsid w:val="00DE4654"/>
    <w:rsid w:val="00DE4B3A"/>
    <w:rsid w:val="00DE72EB"/>
    <w:rsid w:val="00DF2607"/>
    <w:rsid w:val="00DF3376"/>
    <w:rsid w:val="00DF3782"/>
    <w:rsid w:val="00DF47FE"/>
    <w:rsid w:val="00DF4F03"/>
    <w:rsid w:val="00DF6BA9"/>
    <w:rsid w:val="00E0156A"/>
    <w:rsid w:val="00E1199A"/>
    <w:rsid w:val="00E17A3B"/>
    <w:rsid w:val="00E17AB9"/>
    <w:rsid w:val="00E2249E"/>
    <w:rsid w:val="00E24344"/>
    <w:rsid w:val="00E25683"/>
    <w:rsid w:val="00E26704"/>
    <w:rsid w:val="00E274B6"/>
    <w:rsid w:val="00E278EA"/>
    <w:rsid w:val="00E2797A"/>
    <w:rsid w:val="00E31980"/>
    <w:rsid w:val="00E36493"/>
    <w:rsid w:val="00E37CBF"/>
    <w:rsid w:val="00E4381C"/>
    <w:rsid w:val="00E439FA"/>
    <w:rsid w:val="00E4403C"/>
    <w:rsid w:val="00E46E83"/>
    <w:rsid w:val="00E5134E"/>
    <w:rsid w:val="00E539EB"/>
    <w:rsid w:val="00E55022"/>
    <w:rsid w:val="00E55B8A"/>
    <w:rsid w:val="00E61DA6"/>
    <w:rsid w:val="00E6202D"/>
    <w:rsid w:val="00E62866"/>
    <w:rsid w:val="00E63825"/>
    <w:rsid w:val="00E6423C"/>
    <w:rsid w:val="00E67703"/>
    <w:rsid w:val="00E70738"/>
    <w:rsid w:val="00E71483"/>
    <w:rsid w:val="00E74E31"/>
    <w:rsid w:val="00E81C2B"/>
    <w:rsid w:val="00E826E1"/>
    <w:rsid w:val="00E841AB"/>
    <w:rsid w:val="00E8664E"/>
    <w:rsid w:val="00E86992"/>
    <w:rsid w:val="00E91AFA"/>
    <w:rsid w:val="00E91CE9"/>
    <w:rsid w:val="00E93830"/>
    <w:rsid w:val="00E93E0E"/>
    <w:rsid w:val="00E954A9"/>
    <w:rsid w:val="00EA079C"/>
    <w:rsid w:val="00EA1619"/>
    <w:rsid w:val="00EA577F"/>
    <w:rsid w:val="00EB00D2"/>
    <w:rsid w:val="00EB1A25"/>
    <w:rsid w:val="00EB1ED3"/>
    <w:rsid w:val="00EB55E8"/>
    <w:rsid w:val="00EB5AF5"/>
    <w:rsid w:val="00EC14AF"/>
    <w:rsid w:val="00EC287B"/>
    <w:rsid w:val="00EC5166"/>
    <w:rsid w:val="00EC7689"/>
    <w:rsid w:val="00ED3BF3"/>
    <w:rsid w:val="00ED3F63"/>
    <w:rsid w:val="00EE1F5F"/>
    <w:rsid w:val="00EE4C81"/>
    <w:rsid w:val="00EE67D4"/>
    <w:rsid w:val="00EE70B7"/>
    <w:rsid w:val="00EE7469"/>
    <w:rsid w:val="00EF13A2"/>
    <w:rsid w:val="00EF7627"/>
    <w:rsid w:val="00EF7E5E"/>
    <w:rsid w:val="00F012A4"/>
    <w:rsid w:val="00F0479F"/>
    <w:rsid w:val="00F05B86"/>
    <w:rsid w:val="00F06A54"/>
    <w:rsid w:val="00F1114B"/>
    <w:rsid w:val="00F264CC"/>
    <w:rsid w:val="00F304C3"/>
    <w:rsid w:val="00F314B7"/>
    <w:rsid w:val="00F33281"/>
    <w:rsid w:val="00F33804"/>
    <w:rsid w:val="00F3423A"/>
    <w:rsid w:val="00F34257"/>
    <w:rsid w:val="00F35345"/>
    <w:rsid w:val="00F41DA1"/>
    <w:rsid w:val="00F51393"/>
    <w:rsid w:val="00F518CF"/>
    <w:rsid w:val="00F53F3F"/>
    <w:rsid w:val="00F5420A"/>
    <w:rsid w:val="00F55F04"/>
    <w:rsid w:val="00F573B3"/>
    <w:rsid w:val="00F5792D"/>
    <w:rsid w:val="00F60DE6"/>
    <w:rsid w:val="00F664A4"/>
    <w:rsid w:val="00F7253F"/>
    <w:rsid w:val="00F7683F"/>
    <w:rsid w:val="00F77ACD"/>
    <w:rsid w:val="00F83C49"/>
    <w:rsid w:val="00F8419A"/>
    <w:rsid w:val="00F85A3F"/>
    <w:rsid w:val="00F926C3"/>
    <w:rsid w:val="00F93C0F"/>
    <w:rsid w:val="00F93C85"/>
    <w:rsid w:val="00F965F3"/>
    <w:rsid w:val="00F97681"/>
    <w:rsid w:val="00F97F9F"/>
    <w:rsid w:val="00FA2C0E"/>
    <w:rsid w:val="00FA3015"/>
    <w:rsid w:val="00FA3328"/>
    <w:rsid w:val="00FA3BF8"/>
    <w:rsid w:val="00FB2AF7"/>
    <w:rsid w:val="00FB41F1"/>
    <w:rsid w:val="00FB5418"/>
    <w:rsid w:val="00FB687C"/>
    <w:rsid w:val="00FB7505"/>
    <w:rsid w:val="00FC052D"/>
    <w:rsid w:val="00FC1CC1"/>
    <w:rsid w:val="00FC283A"/>
    <w:rsid w:val="00FC5993"/>
    <w:rsid w:val="00FC6C58"/>
    <w:rsid w:val="00FD20D4"/>
    <w:rsid w:val="00FD45F1"/>
    <w:rsid w:val="00FD491B"/>
    <w:rsid w:val="00FD6FD4"/>
    <w:rsid w:val="00FD7CDC"/>
    <w:rsid w:val="00FE045E"/>
    <w:rsid w:val="00FE114D"/>
    <w:rsid w:val="00FE73C6"/>
    <w:rsid w:val="00FE7DFD"/>
    <w:rsid w:val="00FF1DDB"/>
    <w:rsid w:val="00FF3ECD"/>
    <w:rsid w:val="00FF4218"/>
    <w:rsid w:val="00FF5F6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 w:type="paragraph" w:styleId="FormtovanvHTML">
    <w:name w:val="HTML Preformatted"/>
    <w:basedOn w:val="Normln"/>
    <w:link w:val="FormtovanvHTMLChar"/>
    <w:uiPriority w:val="99"/>
    <w:semiHidden/>
    <w:unhideWhenUsed/>
    <w:rsid w:val="00A4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cs-CZ" w:eastAsia="cs-CZ"/>
    </w:rPr>
  </w:style>
  <w:style w:type="character" w:customStyle="1" w:styleId="FormtovanvHTMLChar">
    <w:name w:val="Formátovaný v HTML Char"/>
    <w:basedOn w:val="Standardnpsmoodstavce"/>
    <w:link w:val="FormtovanvHTML"/>
    <w:uiPriority w:val="99"/>
    <w:semiHidden/>
    <w:rsid w:val="00A42533"/>
    <w:rPr>
      <w:rFonts w:ascii="Courier New" w:eastAsia="Times New Roman" w:hAnsi="Courier New" w:cs="Courier New"/>
    </w:rPr>
  </w:style>
  <w:style w:type="character" w:customStyle="1" w:styleId="y2iqfc">
    <w:name w:val="y2iqfc"/>
    <w:basedOn w:val="Standardnpsmoodstavce"/>
    <w:rsid w:val="00DB28C0"/>
  </w:style>
  <w:style w:type="character" w:customStyle="1" w:styleId="rynqvb">
    <w:name w:val="rynqvb"/>
    <w:basedOn w:val="Standardnpsmoodstavce"/>
    <w:rsid w:val="00F93C85"/>
  </w:style>
  <w:style w:type="character" w:customStyle="1" w:styleId="hwtze">
    <w:name w:val="hwtze"/>
    <w:basedOn w:val="Standardnpsmoodstavce"/>
    <w:rsid w:val="006C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6074">
      <w:bodyDiv w:val="1"/>
      <w:marLeft w:val="0"/>
      <w:marRight w:val="0"/>
      <w:marTop w:val="0"/>
      <w:marBottom w:val="0"/>
      <w:divBdr>
        <w:top w:val="none" w:sz="0" w:space="0" w:color="auto"/>
        <w:left w:val="none" w:sz="0" w:space="0" w:color="auto"/>
        <w:bottom w:val="none" w:sz="0" w:space="0" w:color="auto"/>
        <w:right w:val="none" w:sz="0" w:space="0" w:color="auto"/>
      </w:divBdr>
    </w:div>
    <w:div w:id="190456056">
      <w:bodyDiv w:val="1"/>
      <w:marLeft w:val="0"/>
      <w:marRight w:val="0"/>
      <w:marTop w:val="0"/>
      <w:marBottom w:val="0"/>
      <w:divBdr>
        <w:top w:val="none" w:sz="0" w:space="0" w:color="auto"/>
        <w:left w:val="none" w:sz="0" w:space="0" w:color="auto"/>
        <w:bottom w:val="none" w:sz="0" w:space="0" w:color="auto"/>
        <w:right w:val="none" w:sz="0" w:space="0" w:color="auto"/>
      </w:divBdr>
    </w:div>
    <w:div w:id="203686137">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75329011">
      <w:bodyDiv w:val="1"/>
      <w:marLeft w:val="0"/>
      <w:marRight w:val="0"/>
      <w:marTop w:val="0"/>
      <w:marBottom w:val="0"/>
      <w:divBdr>
        <w:top w:val="none" w:sz="0" w:space="0" w:color="auto"/>
        <w:left w:val="none" w:sz="0" w:space="0" w:color="auto"/>
        <w:bottom w:val="none" w:sz="0" w:space="0" w:color="auto"/>
        <w:right w:val="none" w:sz="0" w:space="0" w:color="auto"/>
      </w:divBdr>
    </w:div>
    <w:div w:id="282856239">
      <w:bodyDiv w:val="1"/>
      <w:marLeft w:val="0"/>
      <w:marRight w:val="0"/>
      <w:marTop w:val="0"/>
      <w:marBottom w:val="0"/>
      <w:divBdr>
        <w:top w:val="none" w:sz="0" w:space="0" w:color="auto"/>
        <w:left w:val="none" w:sz="0" w:space="0" w:color="auto"/>
        <w:bottom w:val="none" w:sz="0" w:space="0" w:color="auto"/>
        <w:right w:val="none" w:sz="0" w:space="0" w:color="auto"/>
      </w:divBdr>
    </w:div>
    <w:div w:id="345983403">
      <w:bodyDiv w:val="1"/>
      <w:marLeft w:val="0"/>
      <w:marRight w:val="0"/>
      <w:marTop w:val="0"/>
      <w:marBottom w:val="0"/>
      <w:divBdr>
        <w:top w:val="none" w:sz="0" w:space="0" w:color="auto"/>
        <w:left w:val="none" w:sz="0" w:space="0" w:color="auto"/>
        <w:bottom w:val="none" w:sz="0" w:space="0" w:color="auto"/>
        <w:right w:val="none" w:sz="0" w:space="0" w:color="auto"/>
      </w:divBdr>
    </w:div>
    <w:div w:id="359478338">
      <w:bodyDiv w:val="1"/>
      <w:marLeft w:val="0"/>
      <w:marRight w:val="0"/>
      <w:marTop w:val="0"/>
      <w:marBottom w:val="0"/>
      <w:divBdr>
        <w:top w:val="none" w:sz="0" w:space="0" w:color="auto"/>
        <w:left w:val="none" w:sz="0" w:space="0" w:color="auto"/>
        <w:bottom w:val="none" w:sz="0" w:space="0" w:color="auto"/>
        <w:right w:val="none" w:sz="0" w:space="0" w:color="auto"/>
      </w:divBdr>
    </w:div>
    <w:div w:id="376246006">
      <w:bodyDiv w:val="1"/>
      <w:marLeft w:val="0"/>
      <w:marRight w:val="0"/>
      <w:marTop w:val="0"/>
      <w:marBottom w:val="0"/>
      <w:divBdr>
        <w:top w:val="none" w:sz="0" w:space="0" w:color="auto"/>
        <w:left w:val="none" w:sz="0" w:space="0" w:color="auto"/>
        <w:bottom w:val="none" w:sz="0" w:space="0" w:color="auto"/>
        <w:right w:val="none" w:sz="0" w:space="0" w:color="auto"/>
      </w:divBdr>
      <w:divsChild>
        <w:div w:id="690689019">
          <w:marLeft w:val="0"/>
          <w:marRight w:val="0"/>
          <w:marTop w:val="0"/>
          <w:marBottom w:val="0"/>
          <w:divBdr>
            <w:top w:val="none" w:sz="0" w:space="0" w:color="auto"/>
            <w:left w:val="none" w:sz="0" w:space="0" w:color="auto"/>
            <w:bottom w:val="none" w:sz="0" w:space="0" w:color="auto"/>
            <w:right w:val="none" w:sz="0" w:space="0" w:color="auto"/>
          </w:divBdr>
        </w:div>
      </w:divsChild>
    </w:div>
    <w:div w:id="554782408">
      <w:bodyDiv w:val="1"/>
      <w:marLeft w:val="0"/>
      <w:marRight w:val="0"/>
      <w:marTop w:val="0"/>
      <w:marBottom w:val="0"/>
      <w:divBdr>
        <w:top w:val="none" w:sz="0" w:space="0" w:color="auto"/>
        <w:left w:val="none" w:sz="0" w:space="0" w:color="auto"/>
        <w:bottom w:val="none" w:sz="0" w:space="0" w:color="auto"/>
        <w:right w:val="none" w:sz="0" w:space="0" w:color="auto"/>
      </w:divBdr>
    </w:div>
    <w:div w:id="97972478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052922877">
      <w:bodyDiv w:val="1"/>
      <w:marLeft w:val="0"/>
      <w:marRight w:val="0"/>
      <w:marTop w:val="0"/>
      <w:marBottom w:val="0"/>
      <w:divBdr>
        <w:top w:val="none" w:sz="0" w:space="0" w:color="auto"/>
        <w:left w:val="none" w:sz="0" w:space="0" w:color="auto"/>
        <w:bottom w:val="none" w:sz="0" w:space="0" w:color="auto"/>
        <w:right w:val="none" w:sz="0" w:space="0" w:color="auto"/>
      </w:divBdr>
    </w:div>
    <w:div w:id="111204698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69040831">
      <w:bodyDiv w:val="1"/>
      <w:marLeft w:val="0"/>
      <w:marRight w:val="0"/>
      <w:marTop w:val="0"/>
      <w:marBottom w:val="0"/>
      <w:divBdr>
        <w:top w:val="none" w:sz="0" w:space="0" w:color="auto"/>
        <w:left w:val="none" w:sz="0" w:space="0" w:color="auto"/>
        <w:bottom w:val="none" w:sz="0" w:space="0" w:color="auto"/>
        <w:right w:val="none" w:sz="0" w:space="0" w:color="auto"/>
      </w:divBdr>
      <w:divsChild>
        <w:div w:id="1741176932">
          <w:marLeft w:val="0"/>
          <w:marRight w:val="0"/>
          <w:marTop w:val="0"/>
          <w:marBottom w:val="0"/>
          <w:divBdr>
            <w:top w:val="none" w:sz="0" w:space="0" w:color="auto"/>
            <w:left w:val="none" w:sz="0" w:space="0" w:color="auto"/>
            <w:bottom w:val="none" w:sz="0" w:space="0" w:color="auto"/>
            <w:right w:val="none" w:sz="0" w:space="0" w:color="auto"/>
          </w:divBdr>
        </w:div>
      </w:divsChild>
    </w:div>
    <w:div w:id="1283074032">
      <w:bodyDiv w:val="1"/>
      <w:marLeft w:val="0"/>
      <w:marRight w:val="0"/>
      <w:marTop w:val="0"/>
      <w:marBottom w:val="0"/>
      <w:divBdr>
        <w:top w:val="none" w:sz="0" w:space="0" w:color="auto"/>
        <w:left w:val="none" w:sz="0" w:space="0" w:color="auto"/>
        <w:bottom w:val="none" w:sz="0" w:space="0" w:color="auto"/>
        <w:right w:val="none" w:sz="0" w:space="0" w:color="auto"/>
      </w:divBdr>
      <w:divsChild>
        <w:div w:id="710768277">
          <w:marLeft w:val="0"/>
          <w:marRight w:val="0"/>
          <w:marTop w:val="0"/>
          <w:marBottom w:val="0"/>
          <w:divBdr>
            <w:top w:val="none" w:sz="0" w:space="0" w:color="auto"/>
            <w:left w:val="none" w:sz="0" w:space="0" w:color="auto"/>
            <w:bottom w:val="none" w:sz="0" w:space="0" w:color="auto"/>
            <w:right w:val="none" w:sz="0" w:space="0" w:color="auto"/>
          </w:divBdr>
          <w:divsChild>
            <w:div w:id="1597708981">
              <w:marLeft w:val="0"/>
              <w:marRight w:val="0"/>
              <w:marTop w:val="0"/>
              <w:marBottom w:val="0"/>
              <w:divBdr>
                <w:top w:val="none" w:sz="0" w:space="0" w:color="auto"/>
                <w:left w:val="none" w:sz="0" w:space="0" w:color="auto"/>
                <w:bottom w:val="none" w:sz="0" w:space="0" w:color="auto"/>
                <w:right w:val="none" w:sz="0" w:space="0" w:color="auto"/>
              </w:divBdr>
              <w:divsChild>
                <w:div w:id="855656732">
                  <w:marLeft w:val="0"/>
                  <w:marRight w:val="0"/>
                  <w:marTop w:val="0"/>
                  <w:marBottom w:val="0"/>
                  <w:divBdr>
                    <w:top w:val="none" w:sz="0" w:space="0" w:color="auto"/>
                    <w:left w:val="none" w:sz="0" w:space="0" w:color="auto"/>
                    <w:bottom w:val="none" w:sz="0" w:space="0" w:color="auto"/>
                    <w:right w:val="none" w:sz="0" w:space="0" w:color="auto"/>
                  </w:divBdr>
                  <w:divsChild>
                    <w:div w:id="20268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1079">
      <w:bodyDiv w:val="1"/>
      <w:marLeft w:val="0"/>
      <w:marRight w:val="0"/>
      <w:marTop w:val="0"/>
      <w:marBottom w:val="0"/>
      <w:divBdr>
        <w:top w:val="none" w:sz="0" w:space="0" w:color="auto"/>
        <w:left w:val="none" w:sz="0" w:space="0" w:color="auto"/>
        <w:bottom w:val="none" w:sz="0" w:space="0" w:color="auto"/>
        <w:right w:val="none" w:sz="0" w:space="0" w:color="auto"/>
      </w:divBdr>
      <w:divsChild>
        <w:div w:id="1794446937">
          <w:marLeft w:val="0"/>
          <w:marRight w:val="0"/>
          <w:marTop w:val="0"/>
          <w:marBottom w:val="0"/>
          <w:divBdr>
            <w:top w:val="none" w:sz="0" w:space="0" w:color="auto"/>
            <w:left w:val="none" w:sz="0" w:space="0" w:color="auto"/>
            <w:bottom w:val="none" w:sz="0" w:space="0" w:color="auto"/>
            <w:right w:val="none" w:sz="0" w:space="0" w:color="auto"/>
          </w:divBdr>
        </w:div>
      </w:divsChild>
    </w:div>
    <w:div w:id="1351294102">
      <w:bodyDiv w:val="1"/>
      <w:marLeft w:val="0"/>
      <w:marRight w:val="0"/>
      <w:marTop w:val="0"/>
      <w:marBottom w:val="0"/>
      <w:divBdr>
        <w:top w:val="none" w:sz="0" w:space="0" w:color="auto"/>
        <w:left w:val="none" w:sz="0" w:space="0" w:color="auto"/>
        <w:bottom w:val="none" w:sz="0" w:space="0" w:color="auto"/>
        <w:right w:val="none" w:sz="0" w:space="0" w:color="auto"/>
      </w:divBdr>
      <w:divsChild>
        <w:div w:id="887837420">
          <w:marLeft w:val="0"/>
          <w:marRight w:val="0"/>
          <w:marTop w:val="0"/>
          <w:marBottom w:val="0"/>
          <w:divBdr>
            <w:top w:val="none" w:sz="0" w:space="0" w:color="auto"/>
            <w:left w:val="none" w:sz="0" w:space="0" w:color="auto"/>
            <w:bottom w:val="none" w:sz="0" w:space="0" w:color="auto"/>
            <w:right w:val="none" w:sz="0" w:space="0" w:color="auto"/>
          </w:divBdr>
          <w:divsChild>
            <w:div w:id="1905680265">
              <w:marLeft w:val="0"/>
              <w:marRight w:val="0"/>
              <w:marTop w:val="0"/>
              <w:marBottom w:val="0"/>
              <w:divBdr>
                <w:top w:val="none" w:sz="0" w:space="0" w:color="auto"/>
                <w:left w:val="none" w:sz="0" w:space="0" w:color="auto"/>
                <w:bottom w:val="none" w:sz="0" w:space="0" w:color="auto"/>
                <w:right w:val="none" w:sz="0" w:space="0" w:color="auto"/>
              </w:divBdr>
              <w:divsChild>
                <w:div w:id="1226842534">
                  <w:marLeft w:val="0"/>
                  <w:marRight w:val="0"/>
                  <w:marTop w:val="0"/>
                  <w:marBottom w:val="0"/>
                  <w:divBdr>
                    <w:top w:val="none" w:sz="0" w:space="0" w:color="auto"/>
                    <w:left w:val="none" w:sz="0" w:space="0" w:color="auto"/>
                    <w:bottom w:val="none" w:sz="0" w:space="0" w:color="auto"/>
                    <w:right w:val="none" w:sz="0" w:space="0" w:color="auto"/>
                  </w:divBdr>
                  <w:divsChild>
                    <w:div w:id="287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81406779">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9">
          <w:marLeft w:val="0"/>
          <w:marRight w:val="0"/>
          <w:marTop w:val="0"/>
          <w:marBottom w:val="0"/>
          <w:divBdr>
            <w:top w:val="none" w:sz="0" w:space="0" w:color="auto"/>
            <w:left w:val="none" w:sz="0" w:space="0" w:color="auto"/>
            <w:bottom w:val="none" w:sz="0" w:space="0" w:color="auto"/>
            <w:right w:val="none" w:sz="0" w:space="0" w:color="auto"/>
          </w:divBdr>
        </w:div>
      </w:divsChild>
    </w:div>
    <w:div w:id="1615475465">
      <w:bodyDiv w:val="1"/>
      <w:marLeft w:val="0"/>
      <w:marRight w:val="0"/>
      <w:marTop w:val="0"/>
      <w:marBottom w:val="0"/>
      <w:divBdr>
        <w:top w:val="none" w:sz="0" w:space="0" w:color="auto"/>
        <w:left w:val="none" w:sz="0" w:space="0" w:color="auto"/>
        <w:bottom w:val="none" w:sz="0" w:space="0" w:color="auto"/>
        <w:right w:val="none" w:sz="0" w:space="0" w:color="auto"/>
      </w:divBdr>
    </w:div>
    <w:div w:id="1636136051">
      <w:bodyDiv w:val="1"/>
      <w:marLeft w:val="0"/>
      <w:marRight w:val="0"/>
      <w:marTop w:val="0"/>
      <w:marBottom w:val="0"/>
      <w:divBdr>
        <w:top w:val="none" w:sz="0" w:space="0" w:color="auto"/>
        <w:left w:val="none" w:sz="0" w:space="0" w:color="auto"/>
        <w:bottom w:val="none" w:sz="0" w:space="0" w:color="auto"/>
        <w:right w:val="none" w:sz="0" w:space="0" w:color="auto"/>
      </w:divBdr>
    </w:div>
    <w:div w:id="1723096248">
      <w:bodyDiv w:val="1"/>
      <w:marLeft w:val="0"/>
      <w:marRight w:val="0"/>
      <w:marTop w:val="0"/>
      <w:marBottom w:val="0"/>
      <w:divBdr>
        <w:top w:val="none" w:sz="0" w:space="0" w:color="auto"/>
        <w:left w:val="none" w:sz="0" w:space="0" w:color="auto"/>
        <w:bottom w:val="none" w:sz="0" w:space="0" w:color="auto"/>
        <w:right w:val="none" w:sz="0" w:space="0" w:color="auto"/>
      </w:divBdr>
      <w:divsChild>
        <w:div w:id="1096747175">
          <w:marLeft w:val="0"/>
          <w:marRight w:val="0"/>
          <w:marTop w:val="0"/>
          <w:marBottom w:val="0"/>
          <w:divBdr>
            <w:top w:val="none" w:sz="0" w:space="0" w:color="auto"/>
            <w:left w:val="none" w:sz="0" w:space="0" w:color="auto"/>
            <w:bottom w:val="none" w:sz="0" w:space="0" w:color="auto"/>
            <w:right w:val="none" w:sz="0" w:space="0" w:color="auto"/>
          </w:divBdr>
        </w:div>
      </w:divsChild>
    </w:div>
    <w:div w:id="2028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kpr_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ri.obst@czso.cz"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info/business-economy-euro/indicators-statistics/economic-databases/business-and-consumer-surveys_en"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3" ma:contentTypeDescription="Vytvoří nový dokument" ma:contentTypeScope="" ma:versionID="0175005e2ea5ecf0e1a948e55b2687da">
  <xsd:schema xmlns:xsd="http://www.w3.org/2001/XMLSchema" xmlns:xs="http://www.w3.org/2001/XMLSchema" xmlns:p="http://schemas.microsoft.com/office/2006/metadata/properties" xmlns:ns2="5f927d68-6aa3-420b-a02e-a4390ec9f7ec" targetNamespace="http://schemas.microsoft.com/office/2006/metadata/properties" ma:root="true" ma:fieldsID="e11fdabfc6cbe7f4b8473a085417dff9"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770F3-B18C-4A81-8BC3-394D33B08E4B}">
  <ds:schemaRefs>
    <ds:schemaRef ds:uri="http://schemas.openxmlformats.org/officeDocument/2006/bibliography"/>
  </ds:schemaRefs>
</ds:datastoreItem>
</file>

<file path=customXml/itemProps2.xml><?xml version="1.0" encoding="utf-8"?>
<ds:datastoreItem xmlns:ds="http://schemas.openxmlformats.org/officeDocument/2006/customXml" ds:itemID="{F6A9C2A6-2537-4F9B-A151-23E7A622C32E}"/>
</file>

<file path=customXml/itemProps3.xml><?xml version="1.0" encoding="utf-8"?>
<ds:datastoreItem xmlns:ds="http://schemas.openxmlformats.org/officeDocument/2006/customXml" ds:itemID="{358161B4-8AEC-468E-9FB2-EF1AC11C7121}"/>
</file>

<file path=customXml/itemProps4.xml><?xml version="1.0" encoding="utf-8"?>
<ds:datastoreItem xmlns:ds="http://schemas.openxmlformats.org/officeDocument/2006/customXml" ds:itemID="{FBBFC089-79FE-4E0D-A001-94F8A6B39B4D}"/>
</file>

<file path=docProps/app.xml><?xml version="1.0" encoding="utf-8"?>
<Properties xmlns="http://schemas.openxmlformats.org/officeDocument/2006/extended-properties" xmlns:vt="http://schemas.openxmlformats.org/officeDocument/2006/docPropsVTypes">
  <Template>Rychlá informace EN_2019-01-25.dot</Template>
  <TotalTime>1279</TotalTime>
  <Pages>2</Pages>
  <Words>747</Words>
  <Characters>4412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5149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Nejasova Anastasija</cp:lastModifiedBy>
  <cp:revision>103</cp:revision>
  <dcterms:created xsi:type="dcterms:W3CDTF">2022-05-20T08:47:00Z</dcterms:created>
  <dcterms:modified xsi:type="dcterms:W3CDTF">2023-12-21T16:32:00Z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