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BE22F8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FE6264">
        <w:rPr>
          <w:b/>
          <w:i w:val="0"/>
        </w:rPr>
        <w:t>1</w:t>
      </w:r>
      <w:r w:rsidR="004166C0">
        <w:rPr>
          <w:b/>
          <w:i w:val="0"/>
        </w:rPr>
        <w:t>2</w:t>
      </w:r>
      <w:r>
        <w:rPr>
          <w:b/>
          <w:i w:val="0"/>
        </w:rPr>
        <w:t>. 2020</w:t>
      </w:r>
    </w:p>
    <w:p w:rsidR="00860E4B" w:rsidRPr="0088394E" w:rsidRDefault="00860E4B" w:rsidP="00ED5DF1">
      <w:pPr>
        <w:spacing w:before="280" w:line="360" w:lineRule="exact"/>
        <w:rPr>
          <w:rFonts w:eastAsia="Times New Roman"/>
          <w:b/>
          <w:bCs/>
          <w:color w:val="BD1B21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BD1B21"/>
          <w:sz w:val="32"/>
          <w:szCs w:val="32"/>
        </w:rPr>
        <w:t xml:space="preserve">Meziroční </w:t>
      </w:r>
      <w:r w:rsidR="005473BA">
        <w:rPr>
          <w:rFonts w:eastAsia="Times New Roman"/>
          <w:b/>
          <w:bCs/>
          <w:color w:val="BD1B21"/>
          <w:sz w:val="32"/>
          <w:szCs w:val="32"/>
        </w:rPr>
        <w:t>cenový růst opět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zpomalil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4166C0">
        <w:t>listopad</w:t>
      </w:r>
      <w:r w:rsidR="002B7A96">
        <w:t xml:space="preserve"> </w:t>
      </w:r>
      <w:r w:rsidR="002B1796">
        <w:t>2020</w:t>
      </w:r>
    </w:p>
    <w:p w:rsidR="00BF725C" w:rsidRDefault="005473BA" w:rsidP="00BF725C">
      <w:pPr>
        <w:pStyle w:val="Perex"/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listopadu stejná jako v říjnu (meziměsíční změna 0,0 %). </w:t>
      </w:r>
      <w:r w:rsidR="00BF725C" w:rsidRPr="00860E4B">
        <w:t xml:space="preserve">Tento vývoj byl ovlivněn </w:t>
      </w:r>
      <w:r>
        <w:t>mírnými oboustrannými cenovými pohyby ve všech oddílech spotřebního koše.</w:t>
      </w:r>
      <w:r w:rsidR="00BF725C" w:rsidRPr="00860E4B">
        <w:t xml:space="preserve"> Meziročně</w:t>
      </w:r>
      <w:r w:rsidR="00BF725C" w:rsidRPr="002E7BAD">
        <w:t xml:space="preserve"> vzrostly spotřebitelské ceny v</w:t>
      </w:r>
      <w:r w:rsidR="00BF725C">
        <w:t> </w:t>
      </w:r>
      <w:r>
        <w:t>listopadu</w:t>
      </w:r>
      <w:r w:rsidR="00BF725C">
        <w:t xml:space="preserve"> </w:t>
      </w:r>
      <w:r w:rsidR="00BF725C" w:rsidRPr="002E7BAD">
        <w:t>o </w:t>
      </w:r>
      <w:r w:rsidR="00BF725C">
        <w:t>2,</w:t>
      </w:r>
      <w:r>
        <w:t>7</w:t>
      </w:r>
      <w:r w:rsidR="00BF725C" w:rsidRPr="002E7BAD">
        <w:t> %</w:t>
      </w:r>
      <w:r w:rsidR="00BF725C">
        <w:t>, což bylo o 0,</w:t>
      </w:r>
      <w:r>
        <w:t>2</w:t>
      </w:r>
      <w:r w:rsidR="00BF725C" w:rsidRPr="00895A77">
        <w:t xml:space="preserve"> procentního bodu </w:t>
      </w:r>
      <w:r w:rsidR="00BF725C">
        <w:t xml:space="preserve">méně než </w:t>
      </w:r>
      <w:r w:rsidR="00BF725C" w:rsidRPr="00895A77">
        <w:t>v</w:t>
      </w:r>
      <w:r w:rsidR="00BF725C">
        <w:t> </w:t>
      </w:r>
      <w:r>
        <w:t>říjnu</w:t>
      </w:r>
      <w:r w:rsidR="00BF725C"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Meziměsíční růst cen v</w:t>
      </w:r>
      <w:r w:rsidR="00773FF6">
        <w:rPr>
          <w:rFonts w:cs="Arial"/>
          <w:szCs w:val="20"/>
        </w:rPr>
        <w:t> </w:t>
      </w:r>
      <w:r>
        <w:rPr>
          <w:rFonts w:cs="Arial"/>
          <w:szCs w:val="20"/>
        </w:rPr>
        <w:t>oddíle</w:t>
      </w:r>
      <w:r w:rsidR="00773FF6">
        <w:rPr>
          <w:rFonts w:cs="Arial"/>
          <w:szCs w:val="20"/>
        </w:rPr>
        <w:t xml:space="preserve"> alkoholické nápoje, tabák byl ovlivněn vyššími cenami vína o 4,2 % a tabákových výrobků o 0,7 %.</w:t>
      </w:r>
      <w:r>
        <w:rPr>
          <w:rFonts w:cs="Arial"/>
          <w:szCs w:val="20"/>
        </w:rPr>
        <w:t xml:space="preserve"> </w:t>
      </w:r>
      <w:r w:rsidR="003C32F3">
        <w:rPr>
          <w:rFonts w:cs="Arial"/>
          <w:szCs w:val="20"/>
        </w:rPr>
        <w:t xml:space="preserve">Z potravin </w:t>
      </w:r>
      <w:r>
        <w:rPr>
          <w:rFonts w:cs="Arial"/>
          <w:szCs w:val="20"/>
        </w:rPr>
        <w:t>vzrostly především ceny zeleniny o </w:t>
      </w:r>
      <w:r w:rsidR="00773FF6">
        <w:rPr>
          <w:rFonts w:cs="Arial"/>
          <w:szCs w:val="20"/>
        </w:rPr>
        <w:t>4,9</w:t>
      </w:r>
      <w:r>
        <w:rPr>
          <w:rFonts w:cs="Arial"/>
          <w:szCs w:val="20"/>
        </w:rPr>
        <w:t xml:space="preserve"> %, </w:t>
      </w:r>
      <w:r w:rsidR="00773FF6">
        <w:rPr>
          <w:rFonts w:cs="Arial"/>
          <w:szCs w:val="20"/>
        </w:rPr>
        <w:t>vajec</w:t>
      </w:r>
      <w:r>
        <w:rPr>
          <w:rFonts w:cs="Arial"/>
          <w:szCs w:val="20"/>
        </w:rPr>
        <w:t xml:space="preserve"> o </w:t>
      </w:r>
      <w:r w:rsidR="00773FF6">
        <w:rPr>
          <w:rFonts w:cs="Arial"/>
          <w:szCs w:val="20"/>
        </w:rPr>
        <w:t>7,7</w:t>
      </w:r>
      <w:r>
        <w:rPr>
          <w:rFonts w:cs="Arial"/>
          <w:szCs w:val="20"/>
        </w:rPr>
        <w:t> %</w:t>
      </w:r>
      <w:r w:rsidR="00666DC9">
        <w:rPr>
          <w:rFonts w:cs="Arial"/>
          <w:szCs w:val="20"/>
        </w:rPr>
        <w:t xml:space="preserve"> a </w:t>
      </w:r>
      <w:r w:rsidR="00773FF6">
        <w:rPr>
          <w:rFonts w:cs="Arial"/>
          <w:szCs w:val="20"/>
        </w:rPr>
        <w:t>cukru</w:t>
      </w:r>
      <w:r>
        <w:rPr>
          <w:rFonts w:cs="Arial"/>
          <w:szCs w:val="20"/>
        </w:rPr>
        <w:t xml:space="preserve"> o </w:t>
      </w:r>
      <w:r w:rsidR="00773FF6">
        <w:rPr>
          <w:rFonts w:cs="Arial"/>
          <w:szCs w:val="20"/>
        </w:rPr>
        <w:t>1</w:t>
      </w:r>
      <w:r>
        <w:rPr>
          <w:rFonts w:cs="Arial"/>
          <w:szCs w:val="20"/>
        </w:rPr>
        <w:t>1,</w:t>
      </w:r>
      <w:r w:rsidR="00773FF6">
        <w:rPr>
          <w:rFonts w:cs="Arial"/>
          <w:szCs w:val="20"/>
        </w:rPr>
        <w:t>6</w:t>
      </w:r>
      <w:r>
        <w:rPr>
          <w:rFonts w:cs="Arial"/>
          <w:szCs w:val="20"/>
        </w:rPr>
        <w:t> %</w:t>
      </w:r>
      <w:r w:rsidR="00773FF6">
        <w:rPr>
          <w:rFonts w:cs="Arial"/>
          <w:szCs w:val="20"/>
        </w:rPr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szCs w:val="20"/>
        </w:rPr>
        <w:t xml:space="preserve">Na snižování celkové hladiny spotřebitelských cen působil </w:t>
      </w:r>
      <w:r w:rsidR="00666DC9">
        <w:rPr>
          <w:rFonts w:cs="Arial"/>
          <w:szCs w:val="20"/>
        </w:rPr>
        <w:t>v </w:t>
      </w:r>
      <w:r w:rsidR="00773FF6">
        <w:rPr>
          <w:rFonts w:cs="Arial"/>
          <w:szCs w:val="20"/>
        </w:rPr>
        <w:t>listopadu</w:t>
      </w:r>
      <w:r w:rsidRPr="002E7BAD">
        <w:rPr>
          <w:rFonts w:cs="Arial"/>
          <w:szCs w:val="20"/>
        </w:rPr>
        <w:t xml:space="preserve"> pokles cen v</w:t>
      </w:r>
      <w:r>
        <w:rPr>
          <w:rFonts w:cs="Arial"/>
          <w:szCs w:val="20"/>
        </w:rPr>
        <w:t> </w:t>
      </w:r>
      <w:r w:rsidRPr="002E7BA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="003C32F3">
        <w:rPr>
          <w:rFonts w:cs="Arial"/>
          <w:szCs w:val="20"/>
        </w:rPr>
        <w:t>bytové vybavení, zařízení domácnosti</w:t>
      </w:r>
      <w:r>
        <w:rPr>
          <w:rFonts w:cs="Arial"/>
          <w:szCs w:val="20"/>
        </w:rPr>
        <w:t xml:space="preserve">, kde byly nižší ceny </w:t>
      </w:r>
      <w:r w:rsidR="003C32F3">
        <w:rPr>
          <w:rFonts w:cs="Arial"/>
          <w:szCs w:val="20"/>
        </w:rPr>
        <w:t>přístrojů a</w:t>
      </w:r>
      <w:r w:rsidR="00666DC9">
        <w:rPr>
          <w:rFonts w:cs="Arial"/>
          <w:szCs w:val="20"/>
        </w:rPr>
        <w:t> </w:t>
      </w:r>
      <w:r w:rsidR="003C32F3">
        <w:rPr>
          <w:rFonts w:cs="Arial"/>
          <w:szCs w:val="20"/>
        </w:rPr>
        <w:t>spotřebičů pro domácnost o 0,9 %.</w:t>
      </w:r>
      <w:r>
        <w:rPr>
          <w:rFonts w:cs="Arial"/>
          <w:szCs w:val="20"/>
        </w:rPr>
        <w:t xml:space="preserve"> </w:t>
      </w:r>
      <w:r w:rsidR="003C32F3">
        <w:rPr>
          <w:rFonts w:cs="Arial"/>
          <w:szCs w:val="20"/>
        </w:rPr>
        <w:t>V oddíle dopra</w:t>
      </w:r>
      <w:r w:rsidR="00666DC9">
        <w:rPr>
          <w:rFonts w:cs="Arial"/>
          <w:szCs w:val="20"/>
        </w:rPr>
        <w:t>va klesly ceny pohonných hmot a </w:t>
      </w:r>
      <w:r w:rsidR="003C32F3">
        <w:rPr>
          <w:rFonts w:cs="Arial"/>
          <w:szCs w:val="20"/>
        </w:rPr>
        <w:t>olejů o 0,3 %. Pokle</w:t>
      </w:r>
      <w:r w:rsidR="00666DC9">
        <w:rPr>
          <w:rFonts w:cs="Arial"/>
          <w:szCs w:val="20"/>
        </w:rPr>
        <w:t>s cen v oddíle pošty a </w:t>
      </w:r>
      <w:r w:rsidR="003C32F3">
        <w:rPr>
          <w:rFonts w:cs="Arial"/>
          <w:szCs w:val="20"/>
        </w:rPr>
        <w:t>telekomunikace byl způsoben nižšími cenami telefonních a</w:t>
      </w:r>
      <w:r w:rsidR="00666DC9">
        <w:rPr>
          <w:rFonts w:cs="Arial"/>
          <w:szCs w:val="20"/>
        </w:rPr>
        <w:t> </w:t>
      </w:r>
      <w:r w:rsidR="003C32F3">
        <w:rPr>
          <w:rFonts w:cs="Arial"/>
          <w:szCs w:val="20"/>
        </w:rPr>
        <w:t xml:space="preserve">faxových služeb o 0,4 %. V oddíle </w:t>
      </w:r>
      <w:r w:rsidR="003C32F3" w:rsidRPr="002E7BAD">
        <w:rPr>
          <w:rFonts w:cs="Arial"/>
          <w:szCs w:val="20"/>
        </w:rPr>
        <w:t>potraviny a nealkoholické nápoje</w:t>
      </w:r>
      <w:r w:rsidR="003C32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snížily zejména ceny </w:t>
      </w:r>
      <w:r w:rsidR="003C32F3">
        <w:rPr>
          <w:rFonts w:cs="Arial"/>
          <w:szCs w:val="20"/>
        </w:rPr>
        <w:t>ovoce</w:t>
      </w:r>
      <w:r>
        <w:rPr>
          <w:rFonts w:cs="Arial"/>
          <w:szCs w:val="20"/>
        </w:rPr>
        <w:t xml:space="preserve"> o </w:t>
      </w:r>
      <w:r w:rsidR="003C32F3">
        <w:rPr>
          <w:rFonts w:cs="Arial"/>
          <w:szCs w:val="20"/>
        </w:rPr>
        <w:t>2,7 </w:t>
      </w:r>
      <w:r>
        <w:rPr>
          <w:rFonts w:cs="Arial"/>
          <w:szCs w:val="20"/>
        </w:rPr>
        <w:t xml:space="preserve">%, </w:t>
      </w:r>
      <w:r w:rsidR="003C32F3">
        <w:rPr>
          <w:rFonts w:cs="Arial"/>
          <w:szCs w:val="20"/>
        </w:rPr>
        <w:t>vepřového masa</w:t>
      </w:r>
      <w:r>
        <w:rPr>
          <w:rFonts w:cs="Arial"/>
          <w:szCs w:val="20"/>
        </w:rPr>
        <w:t xml:space="preserve"> o 3,</w:t>
      </w:r>
      <w:r w:rsidR="003C32F3">
        <w:rPr>
          <w:rFonts w:cs="Arial"/>
          <w:szCs w:val="20"/>
        </w:rPr>
        <w:t>6</w:t>
      </w:r>
      <w:r>
        <w:rPr>
          <w:rFonts w:cs="Arial"/>
          <w:szCs w:val="20"/>
        </w:rPr>
        <w:t> %, drůbežího masa o </w:t>
      </w:r>
      <w:r w:rsidR="003C32F3">
        <w:rPr>
          <w:rFonts w:cs="Arial"/>
          <w:szCs w:val="20"/>
        </w:rPr>
        <w:t>2</w:t>
      </w:r>
      <w:r>
        <w:rPr>
          <w:rFonts w:cs="Arial"/>
          <w:szCs w:val="20"/>
        </w:rPr>
        <w:t>,1 %,</w:t>
      </w:r>
      <w:r w:rsidR="00666DC9">
        <w:rPr>
          <w:rFonts w:cs="Arial"/>
          <w:szCs w:val="20"/>
        </w:rPr>
        <w:t xml:space="preserve"> margarínu a </w:t>
      </w:r>
      <w:r w:rsidR="003C32F3">
        <w:rPr>
          <w:rFonts w:cs="Arial"/>
          <w:szCs w:val="20"/>
        </w:rPr>
        <w:t>ostatních rostlinných tuků o 5,</w:t>
      </w:r>
      <w:r w:rsidR="0051428D">
        <w:rPr>
          <w:rFonts w:cs="Arial"/>
          <w:szCs w:val="20"/>
        </w:rPr>
        <w:t>5</w:t>
      </w:r>
      <w:r w:rsidR="003C32F3">
        <w:rPr>
          <w:rFonts w:cs="Arial"/>
          <w:szCs w:val="20"/>
        </w:rPr>
        <w:t> %</w:t>
      </w:r>
      <w:r w:rsidR="00344ABE">
        <w:rPr>
          <w:rFonts w:cs="Arial"/>
          <w:szCs w:val="20"/>
        </w:rPr>
        <w:t xml:space="preserve">, </w:t>
      </w:r>
      <w:r w:rsidR="00572ACC">
        <w:rPr>
          <w:rFonts w:cs="Arial"/>
          <w:szCs w:val="20"/>
        </w:rPr>
        <w:t>nealkoholických nápojů o 0,8 % a</w:t>
      </w:r>
      <w:r w:rsidR="00666DC9">
        <w:rPr>
          <w:rFonts w:cs="Arial"/>
          <w:szCs w:val="20"/>
        </w:rPr>
        <w:t> </w:t>
      </w:r>
      <w:r>
        <w:rPr>
          <w:rFonts w:cs="Arial"/>
          <w:szCs w:val="20"/>
        </w:rPr>
        <w:t>uzenin o 0,</w:t>
      </w:r>
      <w:r w:rsidR="00572ACC">
        <w:rPr>
          <w:rFonts w:cs="Arial"/>
          <w:szCs w:val="20"/>
        </w:rPr>
        <w:t>7</w:t>
      </w:r>
      <w:r>
        <w:rPr>
          <w:rFonts w:cs="Arial"/>
          <w:szCs w:val="20"/>
        </w:rPr>
        <w:t> %</w:t>
      </w:r>
      <w:r w:rsidR="00572ACC">
        <w:rPr>
          <w:rFonts w:cs="Arial"/>
          <w:szCs w:val="20"/>
        </w:rPr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4166C0">
        <w:rPr>
          <w:rFonts w:cs="Arial"/>
          <w:szCs w:val="20"/>
        </w:rPr>
        <w:t>klesly o 0,1 %, zatímco</w:t>
      </w:r>
      <w:r>
        <w:rPr>
          <w:rFonts w:cs="Arial"/>
          <w:szCs w:val="20"/>
        </w:rPr>
        <w:t xml:space="preserve"> ceny služeb o 0,</w:t>
      </w:r>
      <w:r w:rsidR="004166C0">
        <w:rPr>
          <w:rFonts w:cs="Arial"/>
          <w:szCs w:val="20"/>
        </w:rPr>
        <w:t>1</w:t>
      </w:r>
      <w:r>
        <w:rPr>
          <w:rFonts w:cs="Arial"/>
          <w:szCs w:val="20"/>
        </w:rPr>
        <w:t> %</w:t>
      </w:r>
      <w:r w:rsidR="004166C0">
        <w:rPr>
          <w:rFonts w:cs="Arial"/>
          <w:szCs w:val="20"/>
        </w:rPr>
        <w:t xml:space="preserve"> vzrostly</w:t>
      </w:r>
      <w:r w:rsidRPr="00D554D7">
        <w:rPr>
          <w:rFonts w:cs="Arial"/>
          <w:szCs w:val="20"/>
        </w:rPr>
        <w:t>.</w:t>
      </w:r>
    </w:p>
    <w:p w:rsidR="00BF725C" w:rsidRPr="00783940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AD1CC7" w:rsidRPr="00AD1CC7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vertAlign w:val="subscript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F5211F">
        <w:rPr>
          <w:rFonts w:cs="Arial"/>
          <w:i w:val="0"/>
          <w:sz w:val="2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>
        <w:rPr>
          <w:rFonts w:cs="Arial"/>
          <w:i w:val="0"/>
          <w:sz w:val="20"/>
          <w:szCs w:val="20"/>
        </w:rPr>
        <w:t> </w:t>
      </w:r>
      <w:r w:rsidR="00AD1CC7">
        <w:rPr>
          <w:rFonts w:cs="Arial"/>
          <w:i w:val="0"/>
          <w:sz w:val="20"/>
          <w:szCs w:val="20"/>
        </w:rPr>
        <w:t>listopadu</w:t>
      </w:r>
      <w:r>
        <w:rPr>
          <w:rFonts w:cs="Arial"/>
          <w:i w:val="0"/>
          <w:sz w:val="20"/>
          <w:szCs w:val="20"/>
        </w:rPr>
        <w:t xml:space="preserve"> o</w:t>
      </w:r>
      <w:r w:rsidRPr="00B23C2C">
        <w:rPr>
          <w:rFonts w:cs="Arial"/>
          <w:i w:val="0"/>
          <w:sz w:val="20"/>
          <w:szCs w:val="20"/>
        </w:rPr>
        <w:t> </w:t>
      </w:r>
      <w:r w:rsidR="00AD1CC7">
        <w:rPr>
          <w:rFonts w:cs="Arial"/>
          <w:i w:val="0"/>
          <w:sz w:val="20"/>
          <w:szCs w:val="20"/>
        </w:rPr>
        <w:t>2,7</w:t>
      </w:r>
      <w:r w:rsidRPr="00B23C2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bylo o 0,</w:t>
      </w:r>
      <w:r w:rsidR="00AD1CC7">
        <w:rPr>
          <w:rFonts w:cs="Arial"/>
          <w:i w:val="0"/>
          <w:sz w:val="20"/>
          <w:szCs w:val="20"/>
        </w:rPr>
        <w:t>2</w:t>
      </w:r>
      <w:r>
        <w:rPr>
          <w:rFonts w:cs="Arial"/>
          <w:i w:val="0"/>
          <w:sz w:val="20"/>
          <w:szCs w:val="20"/>
        </w:rPr>
        <w:t> procentního bodu méně než v </w:t>
      </w:r>
      <w:r w:rsidR="00AD1CC7">
        <w:rPr>
          <w:rFonts w:cs="Arial"/>
          <w:i w:val="0"/>
          <w:sz w:val="20"/>
          <w:szCs w:val="20"/>
        </w:rPr>
        <w:t>říjnu</w:t>
      </w:r>
      <w:r w:rsidRPr="00B23C2C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Zpomalení meziročního cenového růstu nastalo především v oddíle </w:t>
      </w:r>
      <w:r w:rsidR="00AD1CC7">
        <w:rPr>
          <w:rFonts w:cs="Arial"/>
          <w:i w:val="0"/>
          <w:sz w:val="20"/>
          <w:szCs w:val="20"/>
        </w:rPr>
        <w:t>potraviny a</w:t>
      </w:r>
      <w:r w:rsidR="00666DC9">
        <w:rPr>
          <w:rFonts w:cs="Arial"/>
          <w:i w:val="0"/>
          <w:sz w:val="20"/>
          <w:szCs w:val="20"/>
        </w:rPr>
        <w:t> </w:t>
      </w:r>
      <w:r w:rsidR="00AD1CC7">
        <w:rPr>
          <w:rFonts w:cs="Arial"/>
          <w:i w:val="0"/>
          <w:sz w:val="20"/>
          <w:szCs w:val="20"/>
        </w:rPr>
        <w:t>nealkoholické nápoje.</w:t>
      </w:r>
      <w:r>
        <w:rPr>
          <w:rFonts w:cs="Arial"/>
          <w:i w:val="0"/>
          <w:sz w:val="20"/>
          <w:szCs w:val="20"/>
        </w:rPr>
        <w:t xml:space="preserve"> </w:t>
      </w:r>
      <w:r w:rsidR="00AD1CC7">
        <w:rPr>
          <w:rFonts w:cs="Arial"/>
          <w:i w:val="0"/>
          <w:sz w:val="20"/>
          <w:szCs w:val="20"/>
        </w:rPr>
        <w:t>Růst</w:t>
      </w:r>
      <w:r>
        <w:rPr>
          <w:rFonts w:cs="Arial"/>
          <w:i w:val="0"/>
          <w:sz w:val="20"/>
          <w:szCs w:val="20"/>
        </w:rPr>
        <w:t xml:space="preserve"> cen </w:t>
      </w:r>
      <w:r w:rsidR="00AD1CC7">
        <w:rPr>
          <w:rFonts w:cs="Arial"/>
          <w:i w:val="0"/>
          <w:sz w:val="20"/>
          <w:szCs w:val="20"/>
        </w:rPr>
        <w:t xml:space="preserve">masa zmírnil </w:t>
      </w:r>
      <w:r>
        <w:rPr>
          <w:rFonts w:cs="Arial"/>
          <w:i w:val="0"/>
          <w:sz w:val="20"/>
          <w:szCs w:val="20"/>
        </w:rPr>
        <w:t xml:space="preserve">na </w:t>
      </w:r>
      <w:r w:rsidR="00AD1CC7">
        <w:rPr>
          <w:rFonts w:cs="Arial"/>
          <w:i w:val="0"/>
          <w:sz w:val="20"/>
          <w:szCs w:val="20"/>
        </w:rPr>
        <w:t>1,1</w:t>
      </w:r>
      <w:r>
        <w:rPr>
          <w:rFonts w:cs="Arial"/>
          <w:i w:val="0"/>
          <w:sz w:val="20"/>
          <w:szCs w:val="20"/>
        </w:rPr>
        <w:t> % (v </w:t>
      </w:r>
      <w:r w:rsidR="00AD1CC7">
        <w:rPr>
          <w:rFonts w:cs="Arial"/>
          <w:i w:val="0"/>
          <w:sz w:val="20"/>
          <w:szCs w:val="20"/>
        </w:rPr>
        <w:t>říjnu</w:t>
      </w:r>
      <w:r>
        <w:rPr>
          <w:rFonts w:cs="Arial"/>
          <w:i w:val="0"/>
          <w:sz w:val="20"/>
          <w:szCs w:val="20"/>
        </w:rPr>
        <w:t xml:space="preserve"> </w:t>
      </w:r>
      <w:r w:rsidR="00AD1CC7">
        <w:rPr>
          <w:rFonts w:cs="Arial"/>
          <w:i w:val="0"/>
          <w:sz w:val="20"/>
          <w:szCs w:val="20"/>
        </w:rPr>
        <w:t>4,</w:t>
      </w:r>
      <w:r>
        <w:rPr>
          <w:rFonts w:cs="Arial"/>
          <w:i w:val="0"/>
          <w:sz w:val="20"/>
          <w:szCs w:val="20"/>
        </w:rPr>
        <w:t>7 %)</w:t>
      </w:r>
      <w:r w:rsidR="00666DC9">
        <w:rPr>
          <w:rFonts w:cs="Arial"/>
          <w:i w:val="0"/>
          <w:sz w:val="20"/>
          <w:szCs w:val="20"/>
        </w:rPr>
        <w:t>, sýrů a </w:t>
      </w:r>
      <w:r w:rsidR="00AD1CC7">
        <w:rPr>
          <w:rFonts w:cs="Arial"/>
          <w:i w:val="0"/>
          <w:sz w:val="20"/>
          <w:szCs w:val="20"/>
        </w:rPr>
        <w:t xml:space="preserve">tvarohů na 1,6 % </w:t>
      </w:r>
      <w:r w:rsidR="00344ABE">
        <w:rPr>
          <w:rFonts w:cs="Arial"/>
          <w:i w:val="0"/>
          <w:sz w:val="20"/>
          <w:szCs w:val="20"/>
        </w:rPr>
        <w:t>(</w:t>
      </w:r>
      <w:r w:rsidR="00AD1CC7" w:rsidRPr="00AD1CC7">
        <w:rPr>
          <w:rFonts w:cs="Arial"/>
          <w:i w:val="0"/>
          <w:sz w:val="20"/>
          <w:szCs w:val="20"/>
        </w:rPr>
        <w:t>v </w:t>
      </w:r>
      <w:r w:rsidR="00666DC9">
        <w:rPr>
          <w:rFonts w:cs="Arial"/>
          <w:i w:val="0"/>
          <w:sz w:val="20"/>
          <w:szCs w:val="20"/>
        </w:rPr>
        <w:t>říjnu 2,8 %), ovoce na 7,3 % (v </w:t>
      </w:r>
      <w:r w:rsidR="00AD1CC7" w:rsidRPr="00AD1CC7">
        <w:rPr>
          <w:rFonts w:cs="Arial"/>
          <w:i w:val="0"/>
          <w:sz w:val="20"/>
          <w:szCs w:val="20"/>
        </w:rPr>
        <w:t xml:space="preserve">říjnu 13,9 %) </w:t>
      </w:r>
      <w:r w:rsidRPr="00AD1CC7">
        <w:rPr>
          <w:rFonts w:cs="Arial"/>
          <w:i w:val="0"/>
          <w:sz w:val="20"/>
          <w:szCs w:val="20"/>
        </w:rPr>
        <w:t>a ceny</w:t>
      </w:r>
      <w:r>
        <w:rPr>
          <w:rFonts w:cs="Arial"/>
          <w:i w:val="0"/>
          <w:sz w:val="20"/>
          <w:szCs w:val="20"/>
        </w:rPr>
        <w:t xml:space="preserve"> </w:t>
      </w:r>
      <w:r w:rsidR="00AD1CC7">
        <w:rPr>
          <w:rFonts w:cs="Arial"/>
          <w:i w:val="0"/>
          <w:sz w:val="20"/>
          <w:szCs w:val="20"/>
        </w:rPr>
        <w:t>brambor byly nižší o 20,3 % (v</w:t>
      </w:r>
      <w:r w:rsidR="00666DC9">
        <w:rPr>
          <w:rFonts w:cs="Arial"/>
          <w:i w:val="0"/>
          <w:sz w:val="20"/>
          <w:szCs w:val="20"/>
        </w:rPr>
        <w:t> </w:t>
      </w:r>
      <w:r w:rsidR="00AD1CC7">
        <w:rPr>
          <w:rFonts w:cs="Arial"/>
          <w:i w:val="0"/>
          <w:sz w:val="20"/>
          <w:szCs w:val="20"/>
        </w:rPr>
        <w:t>říjnu o 18,5 %).</w:t>
      </w:r>
      <w:r>
        <w:rPr>
          <w:rFonts w:cs="Arial"/>
          <w:i w:val="0"/>
          <w:sz w:val="20"/>
          <w:szCs w:val="20"/>
        </w:rPr>
        <w:t xml:space="preserve"> V</w:t>
      </w:r>
      <w:r w:rsidR="00AD1CC7">
        <w:rPr>
          <w:rFonts w:cs="Arial"/>
          <w:i w:val="0"/>
          <w:sz w:val="20"/>
          <w:szCs w:val="20"/>
        </w:rPr>
        <w:t> </w:t>
      </w:r>
      <w:r>
        <w:rPr>
          <w:rFonts w:cs="Arial"/>
          <w:i w:val="0"/>
          <w:sz w:val="20"/>
          <w:szCs w:val="20"/>
        </w:rPr>
        <w:t>oddíle</w:t>
      </w:r>
      <w:r w:rsidR="00AD1CC7">
        <w:rPr>
          <w:rFonts w:cs="Arial"/>
          <w:i w:val="0"/>
          <w:sz w:val="20"/>
          <w:szCs w:val="20"/>
        </w:rPr>
        <w:t xml:space="preserve"> bytové vybavení, zařízení domácnosti </w:t>
      </w:r>
      <w:r w:rsidR="001540E7">
        <w:rPr>
          <w:rFonts w:cs="Arial"/>
          <w:i w:val="0"/>
          <w:sz w:val="20"/>
          <w:szCs w:val="20"/>
        </w:rPr>
        <w:t>zpomalil růst cen přístrojů a </w:t>
      </w:r>
      <w:r w:rsidR="00AD1CC7">
        <w:rPr>
          <w:rFonts w:cs="Arial"/>
          <w:i w:val="0"/>
          <w:sz w:val="20"/>
          <w:szCs w:val="20"/>
        </w:rPr>
        <w:t>spotř</w:t>
      </w:r>
      <w:r w:rsidR="00666DC9">
        <w:rPr>
          <w:rFonts w:cs="Arial"/>
          <w:i w:val="0"/>
          <w:sz w:val="20"/>
          <w:szCs w:val="20"/>
        </w:rPr>
        <w:t>ebičů pro domácnost na 1,7 % (v </w:t>
      </w:r>
      <w:r w:rsidR="00AD1CC7">
        <w:rPr>
          <w:rFonts w:cs="Arial"/>
          <w:i w:val="0"/>
          <w:sz w:val="20"/>
          <w:szCs w:val="20"/>
        </w:rPr>
        <w:t>říjnu 2,6 %</w:t>
      </w:r>
      <w:r w:rsidR="00AD1CC7" w:rsidRPr="00AD1CC7">
        <w:rPr>
          <w:rFonts w:cs="Arial"/>
          <w:i w:val="0"/>
          <w:sz w:val="20"/>
          <w:szCs w:val="20"/>
        </w:rPr>
        <w:t>)</w:t>
      </w:r>
      <w:r w:rsidR="00666DC9">
        <w:rPr>
          <w:rFonts w:cs="Arial"/>
          <w:i w:val="0"/>
          <w:sz w:val="20"/>
          <w:szCs w:val="20"/>
        </w:rPr>
        <w:t xml:space="preserve"> a </w:t>
      </w:r>
      <w:r w:rsidR="00AD1CC7">
        <w:rPr>
          <w:rFonts w:cs="Arial"/>
          <w:i w:val="0"/>
          <w:sz w:val="20"/>
          <w:szCs w:val="20"/>
        </w:rPr>
        <w:t>zboží a</w:t>
      </w:r>
      <w:r w:rsidR="00666DC9">
        <w:rPr>
          <w:rFonts w:cs="Arial"/>
          <w:i w:val="0"/>
          <w:sz w:val="20"/>
          <w:szCs w:val="20"/>
        </w:rPr>
        <w:t> </w:t>
      </w:r>
      <w:r w:rsidR="00AD1CC7">
        <w:rPr>
          <w:rFonts w:cs="Arial"/>
          <w:i w:val="0"/>
          <w:sz w:val="20"/>
          <w:szCs w:val="20"/>
        </w:rPr>
        <w:t>služeb pro běžnou údržbu domácnost</w:t>
      </w:r>
      <w:r w:rsidR="00D05027">
        <w:rPr>
          <w:rFonts w:cs="Arial"/>
          <w:i w:val="0"/>
          <w:sz w:val="20"/>
          <w:szCs w:val="20"/>
        </w:rPr>
        <w:t>i</w:t>
      </w:r>
      <w:r w:rsidR="00AD1CC7">
        <w:rPr>
          <w:rFonts w:cs="Arial"/>
          <w:i w:val="0"/>
          <w:sz w:val="20"/>
          <w:szCs w:val="20"/>
        </w:rPr>
        <w:t xml:space="preserve"> na 1,9</w:t>
      </w:r>
      <w:r w:rsidR="00666DC9">
        <w:rPr>
          <w:rFonts w:cs="Arial"/>
          <w:i w:val="0"/>
          <w:sz w:val="20"/>
          <w:szCs w:val="20"/>
        </w:rPr>
        <w:t> % (v </w:t>
      </w:r>
      <w:r w:rsidR="001540E7">
        <w:rPr>
          <w:rFonts w:cs="Arial"/>
          <w:i w:val="0"/>
          <w:sz w:val="20"/>
          <w:szCs w:val="20"/>
        </w:rPr>
        <w:t>říjnu 4,7 %). Zmírnění meziročního cenového poklesu nastalo v oddíle pošty a</w:t>
      </w:r>
      <w:r w:rsidR="00666DC9">
        <w:rPr>
          <w:rFonts w:cs="Arial"/>
          <w:i w:val="0"/>
          <w:sz w:val="20"/>
          <w:szCs w:val="20"/>
        </w:rPr>
        <w:t> </w:t>
      </w:r>
      <w:r w:rsidR="001540E7">
        <w:rPr>
          <w:rFonts w:cs="Arial"/>
          <w:i w:val="0"/>
          <w:sz w:val="20"/>
          <w:szCs w:val="20"/>
        </w:rPr>
        <w:t>telekomunikace vlivem cen telefonních a</w:t>
      </w:r>
      <w:r w:rsidR="00666DC9">
        <w:rPr>
          <w:rFonts w:cs="Arial"/>
          <w:i w:val="0"/>
          <w:sz w:val="20"/>
          <w:szCs w:val="20"/>
        </w:rPr>
        <w:t> </w:t>
      </w:r>
      <w:r w:rsidR="001540E7">
        <w:rPr>
          <w:rFonts w:cs="Arial"/>
          <w:i w:val="0"/>
          <w:sz w:val="20"/>
          <w:szCs w:val="20"/>
        </w:rPr>
        <w:t>faxo</w:t>
      </w:r>
      <w:r w:rsidR="00666DC9">
        <w:rPr>
          <w:rFonts w:cs="Arial"/>
          <w:i w:val="0"/>
          <w:sz w:val="20"/>
          <w:szCs w:val="20"/>
        </w:rPr>
        <w:t>vých služeb, které byly nižší o </w:t>
      </w:r>
      <w:r w:rsidR="001540E7">
        <w:rPr>
          <w:rFonts w:cs="Arial"/>
          <w:i w:val="0"/>
          <w:sz w:val="20"/>
          <w:szCs w:val="20"/>
        </w:rPr>
        <w:t>1,2 % (v říjnu o 2,9 %).</w:t>
      </w: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E37C1" w:rsidRDefault="00BF725C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>
        <w:rPr>
          <w:rFonts w:cs="Arial"/>
          <w:i w:val="0"/>
          <w:sz w:val="20"/>
          <w:szCs w:val="20"/>
        </w:rPr>
        <w:t> </w:t>
      </w:r>
      <w:r w:rsidR="002850A4">
        <w:rPr>
          <w:rFonts w:cs="Arial"/>
          <w:i w:val="0"/>
          <w:sz w:val="20"/>
          <w:szCs w:val="20"/>
        </w:rPr>
        <w:t>listopadu</w:t>
      </w:r>
      <w:r>
        <w:rPr>
          <w:rFonts w:cs="Arial"/>
          <w:i w:val="0"/>
          <w:sz w:val="20"/>
          <w:szCs w:val="20"/>
        </w:rPr>
        <w:t xml:space="preserve"> </w:t>
      </w:r>
      <w:r w:rsidR="005C32F2">
        <w:rPr>
          <w:rFonts w:cs="Arial"/>
          <w:i w:val="0"/>
          <w:sz w:val="20"/>
          <w:szCs w:val="20"/>
        </w:rPr>
        <w:t xml:space="preserve">nadále </w:t>
      </w:r>
      <w:r w:rsidRPr="007B39C3">
        <w:rPr>
          <w:rFonts w:cs="Arial"/>
          <w:i w:val="0"/>
          <w:sz w:val="20"/>
          <w:szCs w:val="20"/>
        </w:rPr>
        <w:t>největší vliv ceny 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tabák, kde vzrostly ceny alkoholických nápojů o 3,</w:t>
      </w:r>
      <w:r w:rsidR="001540E7">
        <w:rPr>
          <w:rFonts w:cs="Arial"/>
          <w:i w:val="0"/>
          <w:sz w:val="20"/>
          <w:szCs w:val="20"/>
        </w:rPr>
        <w:t>4</w:t>
      </w:r>
      <w:r>
        <w:rPr>
          <w:rFonts w:cs="Arial"/>
          <w:i w:val="0"/>
          <w:sz w:val="20"/>
          <w:szCs w:val="20"/>
        </w:rPr>
        <w:t> % a tabákových výrobků o 14,</w:t>
      </w:r>
      <w:r w:rsidR="001540E7">
        <w:rPr>
          <w:rFonts w:cs="Arial"/>
          <w:i w:val="0"/>
          <w:sz w:val="20"/>
          <w:szCs w:val="20"/>
        </w:rPr>
        <w:t>8</w:t>
      </w:r>
      <w:r>
        <w:rPr>
          <w:rFonts w:cs="Arial"/>
          <w:i w:val="0"/>
          <w:sz w:val="20"/>
          <w:szCs w:val="20"/>
        </w:rPr>
        <w:t xml:space="preserve"> %. </w:t>
      </w:r>
      <w:r w:rsidR="002850A4" w:rsidRPr="002850A4">
        <w:rPr>
          <w:rFonts w:cs="Arial"/>
          <w:i w:val="0"/>
          <w:sz w:val="20"/>
          <w:szCs w:val="20"/>
        </w:rPr>
        <w:t>D</w:t>
      </w:r>
      <w:r w:rsidR="002850A4">
        <w:rPr>
          <w:rFonts w:cs="Arial"/>
          <w:i w:val="0"/>
          <w:sz w:val="20"/>
          <w:szCs w:val="20"/>
        </w:rPr>
        <w:t>ruhé</w:t>
      </w:r>
      <w:r w:rsidR="002850A4" w:rsidRPr="002850A4">
        <w:rPr>
          <w:rFonts w:cs="Arial"/>
          <w:i w:val="0"/>
          <w:sz w:val="20"/>
          <w:szCs w:val="20"/>
        </w:rPr>
        <w:t xml:space="preserve"> v pořadí vlivu byly ceny </w:t>
      </w:r>
      <w:r w:rsidR="002850A4">
        <w:rPr>
          <w:rFonts w:cs="Arial"/>
          <w:i w:val="0"/>
          <w:sz w:val="20"/>
          <w:szCs w:val="20"/>
        </w:rPr>
        <w:t>v</w:t>
      </w:r>
      <w:r w:rsidR="002850A4" w:rsidRPr="007B39C3">
        <w:rPr>
          <w:rFonts w:cs="Arial"/>
          <w:i w:val="0"/>
          <w:sz w:val="20"/>
          <w:szCs w:val="20"/>
        </w:rPr>
        <w:t> oddíle bydlení</w:t>
      </w:r>
      <w:r w:rsidR="002850A4">
        <w:rPr>
          <w:rFonts w:cs="Arial"/>
          <w:i w:val="0"/>
          <w:sz w:val="20"/>
          <w:szCs w:val="20"/>
        </w:rPr>
        <w:t>, kde</w:t>
      </w:r>
      <w:r w:rsidR="002850A4" w:rsidRPr="007B39C3">
        <w:rPr>
          <w:rFonts w:cs="Arial"/>
          <w:i w:val="0"/>
          <w:sz w:val="20"/>
          <w:szCs w:val="20"/>
        </w:rPr>
        <w:t xml:space="preserve"> </w:t>
      </w:r>
      <w:r w:rsidR="002850A4">
        <w:rPr>
          <w:rFonts w:cs="Arial"/>
          <w:i w:val="0"/>
          <w:sz w:val="20"/>
          <w:szCs w:val="20"/>
        </w:rPr>
        <w:t xml:space="preserve">byly vyšší ceny </w:t>
      </w:r>
      <w:r w:rsidR="002850A4" w:rsidRPr="002850A4">
        <w:rPr>
          <w:rFonts w:cs="Arial"/>
          <w:i w:val="0"/>
          <w:sz w:val="20"/>
          <w:szCs w:val="20"/>
        </w:rPr>
        <w:t>nájemného z bytu o 2,</w:t>
      </w:r>
      <w:r w:rsidR="002850A4">
        <w:rPr>
          <w:rFonts w:cs="Arial"/>
          <w:i w:val="0"/>
          <w:sz w:val="20"/>
          <w:szCs w:val="20"/>
        </w:rPr>
        <w:t>0</w:t>
      </w:r>
      <w:r w:rsidR="002850A4" w:rsidRPr="002850A4">
        <w:rPr>
          <w:rFonts w:cs="Arial"/>
          <w:i w:val="0"/>
          <w:sz w:val="20"/>
          <w:szCs w:val="20"/>
        </w:rPr>
        <w:t> %, vodného o 1,</w:t>
      </w:r>
      <w:r w:rsidR="002850A4">
        <w:rPr>
          <w:rFonts w:cs="Arial"/>
          <w:i w:val="0"/>
          <w:sz w:val="20"/>
          <w:szCs w:val="20"/>
        </w:rPr>
        <w:t>7</w:t>
      </w:r>
      <w:r w:rsidR="002850A4" w:rsidRPr="002850A4">
        <w:rPr>
          <w:rFonts w:cs="Arial"/>
          <w:i w:val="0"/>
          <w:sz w:val="20"/>
          <w:szCs w:val="20"/>
        </w:rPr>
        <w:t> %, stočného o 1,</w:t>
      </w:r>
      <w:r w:rsidR="002850A4">
        <w:rPr>
          <w:rFonts w:cs="Arial"/>
          <w:i w:val="0"/>
          <w:sz w:val="20"/>
          <w:szCs w:val="20"/>
        </w:rPr>
        <w:t>5 </w:t>
      </w:r>
      <w:r w:rsidR="002850A4" w:rsidRPr="002850A4">
        <w:rPr>
          <w:rFonts w:cs="Arial"/>
          <w:i w:val="0"/>
          <w:sz w:val="20"/>
          <w:szCs w:val="20"/>
        </w:rPr>
        <w:t>%</w:t>
      </w:r>
      <w:r w:rsidR="00083547">
        <w:rPr>
          <w:rFonts w:cs="Arial"/>
          <w:i w:val="0"/>
          <w:sz w:val="20"/>
          <w:szCs w:val="20"/>
        </w:rPr>
        <w:t>,</w:t>
      </w:r>
      <w:r w:rsidR="002850A4" w:rsidRPr="002850A4">
        <w:rPr>
          <w:rFonts w:cs="Arial"/>
          <w:i w:val="0"/>
          <w:sz w:val="20"/>
          <w:szCs w:val="20"/>
        </w:rPr>
        <w:t xml:space="preserve"> elektřiny o </w:t>
      </w:r>
      <w:r w:rsidR="002850A4">
        <w:rPr>
          <w:rFonts w:cs="Arial"/>
          <w:i w:val="0"/>
          <w:sz w:val="20"/>
          <w:szCs w:val="20"/>
        </w:rPr>
        <w:t>3,3</w:t>
      </w:r>
      <w:r w:rsidR="002850A4" w:rsidRPr="002850A4">
        <w:rPr>
          <w:rFonts w:cs="Arial"/>
          <w:i w:val="0"/>
          <w:sz w:val="20"/>
          <w:szCs w:val="20"/>
        </w:rPr>
        <w:t> %</w:t>
      </w:r>
      <w:r w:rsidR="005C32F2">
        <w:rPr>
          <w:rFonts w:cs="Arial"/>
          <w:i w:val="0"/>
          <w:sz w:val="20"/>
          <w:szCs w:val="20"/>
        </w:rPr>
        <w:t>.</w:t>
      </w:r>
      <w:r w:rsidR="00083547">
        <w:rPr>
          <w:rFonts w:cs="Arial"/>
          <w:i w:val="0"/>
          <w:sz w:val="20"/>
          <w:szCs w:val="20"/>
        </w:rPr>
        <w:t xml:space="preserve"> </w:t>
      </w:r>
      <w:r w:rsidR="005C32F2">
        <w:rPr>
          <w:rFonts w:cs="Arial"/>
          <w:i w:val="0"/>
          <w:sz w:val="20"/>
          <w:szCs w:val="20"/>
        </w:rPr>
        <w:t>C</w:t>
      </w:r>
      <w:r w:rsidR="00083547">
        <w:rPr>
          <w:rFonts w:cs="Arial"/>
          <w:i w:val="0"/>
          <w:sz w:val="20"/>
          <w:szCs w:val="20"/>
        </w:rPr>
        <w:t xml:space="preserve">eny zemního plynu byly </w:t>
      </w:r>
      <w:r w:rsidR="005C32F2">
        <w:rPr>
          <w:rFonts w:cs="Arial"/>
          <w:i w:val="0"/>
          <w:sz w:val="20"/>
          <w:szCs w:val="20"/>
        </w:rPr>
        <w:t xml:space="preserve">meziročně </w:t>
      </w:r>
      <w:r w:rsidR="00666DC9">
        <w:rPr>
          <w:rFonts w:cs="Arial"/>
          <w:i w:val="0"/>
          <w:sz w:val="20"/>
          <w:szCs w:val="20"/>
        </w:rPr>
        <w:t xml:space="preserve">nižší </w:t>
      </w:r>
      <w:r w:rsidR="00083547">
        <w:rPr>
          <w:rFonts w:cs="Arial"/>
          <w:i w:val="0"/>
          <w:sz w:val="20"/>
          <w:szCs w:val="20"/>
        </w:rPr>
        <w:t>o</w:t>
      </w:r>
      <w:r w:rsidR="00666DC9">
        <w:rPr>
          <w:rFonts w:cs="Arial"/>
          <w:i w:val="0"/>
          <w:sz w:val="20"/>
          <w:szCs w:val="20"/>
        </w:rPr>
        <w:t> </w:t>
      </w:r>
      <w:r w:rsidR="00083547">
        <w:rPr>
          <w:rFonts w:cs="Arial"/>
          <w:i w:val="0"/>
          <w:sz w:val="20"/>
          <w:szCs w:val="20"/>
        </w:rPr>
        <w:t>3,9 %.</w:t>
      </w:r>
      <w:r w:rsidR="002850A4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</w:t>
      </w:r>
      <w:r w:rsidRPr="009335E2">
        <w:rPr>
          <w:rFonts w:cs="Arial"/>
          <w:i w:val="0"/>
          <w:sz w:val="20"/>
          <w:szCs w:val="20"/>
        </w:rPr>
        <w:t> oddíle potraviny a nealkoholické nápoje</w:t>
      </w:r>
      <w:r w:rsidR="00083547">
        <w:rPr>
          <w:rFonts w:cs="Arial"/>
          <w:i w:val="0"/>
          <w:sz w:val="20"/>
          <w:szCs w:val="20"/>
        </w:rPr>
        <w:t xml:space="preserve"> se zvýšily ceny</w:t>
      </w:r>
      <w:r>
        <w:rPr>
          <w:rFonts w:cs="Arial"/>
          <w:i w:val="0"/>
          <w:sz w:val="20"/>
          <w:szCs w:val="20"/>
        </w:rPr>
        <w:t xml:space="preserve"> uzenin o </w:t>
      </w:r>
      <w:r w:rsidR="00083547">
        <w:rPr>
          <w:rFonts w:cs="Arial"/>
          <w:i w:val="0"/>
          <w:sz w:val="20"/>
          <w:szCs w:val="20"/>
        </w:rPr>
        <w:t>3,7</w:t>
      </w:r>
      <w:r>
        <w:rPr>
          <w:rFonts w:cs="Arial"/>
          <w:i w:val="0"/>
          <w:sz w:val="20"/>
          <w:szCs w:val="20"/>
        </w:rPr>
        <w:t> % a zeleniny o 6,</w:t>
      </w:r>
      <w:r w:rsidR="00083547">
        <w:rPr>
          <w:rFonts w:cs="Arial"/>
          <w:i w:val="0"/>
          <w:sz w:val="20"/>
          <w:szCs w:val="20"/>
        </w:rPr>
        <w:t>8</w:t>
      </w:r>
      <w:r>
        <w:rPr>
          <w:rFonts w:cs="Arial"/>
          <w:i w:val="0"/>
          <w:sz w:val="20"/>
          <w:szCs w:val="20"/>
        </w:rPr>
        <w:t> %. V</w:t>
      </w:r>
      <w:r w:rsidRPr="007B39C3">
        <w:rPr>
          <w:rFonts w:cs="Arial"/>
          <w:i w:val="0"/>
          <w:sz w:val="20"/>
          <w:szCs w:val="20"/>
        </w:rPr>
        <w:t xml:space="preserve"> oddíle </w:t>
      </w:r>
      <w:r>
        <w:rPr>
          <w:rFonts w:cs="Arial"/>
          <w:i w:val="0"/>
          <w:sz w:val="20"/>
          <w:szCs w:val="20"/>
        </w:rPr>
        <w:t>stravování a ubytování</w:t>
      </w:r>
      <w:r w:rsidRPr="007B39C3">
        <w:rPr>
          <w:rFonts w:cs="Arial"/>
          <w:i w:val="0"/>
          <w:sz w:val="20"/>
          <w:szCs w:val="20"/>
        </w:rPr>
        <w:t xml:space="preserve"> vzrostly ceny </w:t>
      </w:r>
      <w:r>
        <w:rPr>
          <w:rFonts w:cs="Arial"/>
          <w:i w:val="0"/>
          <w:sz w:val="20"/>
          <w:szCs w:val="20"/>
        </w:rPr>
        <w:t>stravovacích služeb o </w:t>
      </w:r>
      <w:r w:rsidR="00083547">
        <w:rPr>
          <w:rFonts w:cs="Arial"/>
          <w:i w:val="0"/>
          <w:sz w:val="20"/>
          <w:szCs w:val="20"/>
        </w:rPr>
        <w:t>4,9</w:t>
      </w:r>
      <w:r>
        <w:rPr>
          <w:rFonts w:cs="Arial"/>
          <w:i w:val="0"/>
          <w:sz w:val="20"/>
          <w:szCs w:val="20"/>
        </w:rPr>
        <w:t> %.</w:t>
      </w: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lastRenderedPageBreak/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4166C0">
        <w:rPr>
          <w:rFonts w:cs="Arial"/>
          <w:i w:val="0"/>
          <w:sz w:val="20"/>
          <w:szCs w:val="20"/>
        </w:rPr>
        <w:t>2,6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2,</w:t>
      </w:r>
      <w:r w:rsidR="004166C0">
        <w:rPr>
          <w:rFonts w:cs="Arial"/>
          <w:i w:val="0"/>
          <w:sz w:val="20"/>
          <w:szCs w:val="20"/>
        </w:rPr>
        <w:t>8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</w:t>
      </w:r>
      <w:r w:rsidR="004166C0">
        <w:rPr>
          <w:rFonts w:cs="Arial"/>
          <w:i w:val="0"/>
          <w:sz w:val="20"/>
          <w:szCs w:val="20"/>
        </w:rPr>
        <w:t>2,9</w:t>
      </w:r>
      <w:r w:rsidRPr="00916640">
        <w:rPr>
          <w:rFonts w:cs="Arial"/>
          <w:i w:val="0"/>
          <w:sz w:val="20"/>
          <w:szCs w:val="20"/>
        </w:rPr>
        <w:t> %.</w:t>
      </w: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725C" w:rsidRPr="00576E20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</w:t>
      </w:r>
      <w:r w:rsidR="004166C0">
        <w:rPr>
          <w:rFonts w:cs="Arial"/>
          <w:i w:val="0"/>
          <w:sz w:val="20"/>
          <w:szCs w:val="20"/>
        </w:rPr>
        <w:t>listopadu</w:t>
      </w:r>
      <w:r>
        <w:rPr>
          <w:rFonts w:cs="Arial"/>
          <w:i w:val="0"/>
          <w:sz w:val="20"/>
          <w:szCs w:val="20"/>
        </w:rPr>
        <w:t> 3,</w:t>
      </w:r>
      <w:r w:rsidR="004166C0">
        <w:rPr>
          <w:rFonts w:cs="Arial"/>
          <w:i w:val="0"/>
          <w:sz w:val="20"/>
          <w:szCs w:val="20"/>
        </w:rPr>
        <w:t>2</w:t>
      </w:r>
      <w:r w:rsidRPr="00576E20">
        <w:rPr>
          <w:rFonts w:cs="Arial"/>
          <w:i w:val="0"/>
          <w:sz w:val="20"/>
          <w:szCs w:val="20"/>
        </w:rPr>
        <w:t> %.</w:t>
      </w:r>
    </w:p>
    <w:p w:rsidR="002855A1" w:rsidRPr="00CC1CEA" w:rsidRDefault="002855A1" w:rsidP="000A2170">
      <w:pPr>
        <w:pStyle w:val="Zkladntextodsazen3"/>
        <w:spacing w:after="0" w:line="276" w:lineRule="auto"/>
        <w:ind w:left="0"/>
        <w:rPr>
          <w:rFonts w:cs="Arial"/>
          <w:bCs/>
          <w:sz w:val="20"/>
          <w:szCs w:val="22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16702D">
        <w:rPr>
          <w:rFonts w:cs="Arial"/>
          <w:sz w:val="20"/>
          <w:szCs w:val="20"/>
        </w:rPr>
        <w:t>klesl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823632">
        <w:rPr>
          <w:rFonts w:cs="Arial"/>
          <w:b/>
          <w:sz w:val="20"/>
          <w:szCs w:val="20"/>
        </w:rPr>
        <w:t>listopadu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ČR</w:t>
      </w:r>
      <w:r w:rsidRPr="003533D0">
        <w:rPr>
          <w:rFonts w:cs="Arial"/>
          <w:sz w:val="20"/>
          <w:szCs w:val="20"/>
        </w:rPr>
        <w:t xml:space="preserve"> </w:t>
      </w:r>
      <w:r w:rsidRPr="009305D1">
        <w:rPr>
          <w:rFonts w:cs="Arial"/>
          <w:b/>
          <w:sz w:val="20"/>
          <w:szCs w:val="20"/>
        </w:rPr>
        <w:t>meziměsíčně</w:t>
      </w:r>
      <w:r w:rsidRPr="00666DC9">
        <w:rPr>
          <w:rFonts w:cs="Arial"/>
          <w:sz w:val="20"/>
          <w:szCs w:val="20"/>
        </w:rPr>
        <w:t xml:space="preserve"> </w:t>
      </w:r>
      <w:r w:rsidRPr="0016702D">
        <w:rPr>
          <w:rFonts w:cs="Arial"/>
          <w:sz w:val="20"/>
          <w:szCs w:val="20"/>
        </w:rPr>
        <w:t>o 0,1 %</w:t>
      </w:r>
      <w:r w:rsidRPr="009305D1">
        <w:rPr>
          <w:rFonts w:cs="Arial"/>
          <w:sz w:val="20"/>
          <w:szCs w:val="20"/>
        </w:rPr>
        <w:t xml:space="preserve"> a </w:t>
      </w:r>
      <w:r w:rsidRPr="009305D1">
        <w:rPr>
          <w:rFonts w:cs="Arial"/>
          <w:b/>
          <w:sz w:val="20"/>
          <w:szCs w:val="20"/>
        </w:rPr>
        <w:t xml:space="preserve">meziročně </w:t>
      </w:r>
      <w:r w:rsidR="007665D0" w:rsidRPr="007665D0">
        <w:rPr>
          <w:rFonts w:cs="Arial"/>
          <w:sz w:val="20"/>
          <w:szCs w:val="20"/>
        </w:rPr>
        <w:t>vzrost</w:t>
      </w:r>
      <w:r w:rsidR="007665D0" w:rsidRPr="00666DC9">
        <w:rPr>
          <w:rFonts w:cs="Arial"/>
          <w:sz w:val="20"/>
          <w:szCs w:val="20"/>
        </w:rPr>
        <w:t xml:space="preserve">l </w:t>
      </w:r>
      <w:r w:rsidRPr="009305D1">
        <w:rPr>
          <w:rFonts w:cs="Arial"/>
          <w:sz w:val="20"/>
          <w:szCs w:val="20"/>
        </w:rPr>
        <w:t>o </w:t>
      </w:r>
      <w:r w:rsidRPr="0016702D">
        <w:rPr>
          <w:rFonts w:cs="Arial"/>
          <w:sz w:val="20"/>
          <w:szCs w:val="20"/>
        </w:rPr>
        <w:t>2,</w:t>
      </w:r>
      <w:r w:rsidR="0016702D" w:rsidRPr="0016702D">
        <w:rPr>
          <w:rFonts w:cs="Arial"/>
          <w:sz w:val="20"/>
          <w:szCs w:val="20"/>
        </w:rPr>
        <w:t>8</w:t>
      </w:r>
      <w:r w:rsidRPr="0016702D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Podle b</w:t>
      </w:r>
      <w:r w:rsidRPr="00E11550">
        <w:rPr>
          <w:rFonts w:cs="Arial"/>
          <w:b/>
          <w:sz w:val="20"/>
          <w:szCs w:val="20"/>
        </w:rPr>
        <w:t>leskový</w:t>
      </w:r>
      <w:r>
        <w:rPr>
          <w:rFonts w:cs="Arial"/>
          <w:b/>
          <w:sz w:val="20"/>
          <w:szCs w:val="20"/>
        </w:rPr>
        <w:t>ch</w:t>
      </w:r>
      <w:r w:rsidRPr="00E11550">
        <w:rPr>
          <w:rFonts w:cs="Arial"/>
          <w:b/>
          <w:sz w:val="20"/>
          <w:szCs w:val="20"/>
        </w:rPr>
        <w:t xml:space="preserve"> odhad</w:t>
      </w:r>
      <w:r>
        <w:rPr>
          <w:rFonts w:cs="Arial"/>
          <w:b/>
          <w:sz w:val="20"/>
          <w:szCs w:val="20"/>
        </w:rPr>
        <w:t>ů</w:t>
      </w:r>
      <w:r w:rsidRPr="0008480C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Eurostatu</w:t>
      </w:r>
      <w:r w:rsidRPr="003E6923">
        <w:rPr>
          <w:rFonts w:cs="Arial"/>
          <w:b/>
          <w:sz w:val="20"/>
          <w:szCs w:val="20"/>
        </w:rPr>
        <w:t xml:space="preserve"> </w:t>
      </w:r>
      <w:r w:rsidRPr="00E11550">
        <w:rPr>
          <w:rFonts w:cs="Arial"/>
          <w:sz w:val="20"/>
          <w:szCs w:val="20"/>
        </w:rPr>
        <w:t>byla</w:t>
      </w:r>
      <w:r>
        <w:rPr>
          <w:rFonts w:cs="Arial"/>
          <w:b/>
          <w:sz w:val="20"/>
          <w:szCs w:val="20"/>
        </w:rPr>
        <w:t xml:space="preserve"> </w:t>
      </w:r>
      <w:r w:rsidRPr="003E6923">
        <w:rPr>
          <w:rFonts w:cs="Arial"/>
          <w:b/>
          <w:sz w:val="20"/>
          <w:szCs w:val="20"/>
        </w:rPr>
        <w:t>meziroční</w:t>
      </w:r>
      <w:r w:rsidRPr="0008480C">
        <w:rPr>
          <w:rFonts w:cs="Arial"/>
          <w:sz w:val="20"/>
          <w:szCs w:val="20"/>
        </w:rPr>
        <w:t xml:space="preserve"> změn</w:t>
      </w:r>
      <w:r>
        <w:rPr>
          <w:rFonts w:cs="Arial"/>
          <w:sz w:val="20"/>
          <w:szCs w:val="20"/>
        </w:rPr>
        <w:t>a</w:t>
      </w:r>
      <w:r w:rsidRPr="0008480C">
        <w:rPr>
          <w:rFonts w:cs="Arial"/>
          <w:sz w:val="20"/>
          <w:szCs w:val="20"/>
        </w:rPr>
        <w:t xml:space="preserve">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>Eurozónu v</w:t>
      </w:r>
      <w:r w:rsidRPr="0008480C">
        <w:rPr>
          <w:rFonts w:cs="Arial"/>
          <w:b/>
          <w:bCs/>
          <w:sz w:val="20"/>
          <w:szCs w:val="20"/>
        </w:rPr>
        <w:t> </w:t>
      </w:r>
      <w:r w:rsidR="00823632">
        <w:rPr>
          <w:rFonts w:cs="Arial"/>
          <w:b/>
          <w:bCs/>
          <w:sz w:val="20"/>
          <w:szCs w:val="20"/>
        </w:rPr>
        <w:t>listopadu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</w:t>
      </w:r>
      <w:r w:rsidR="00823632">
        <w:rPr>
          <w:rFonts w:cs="Arial"/>
          <w:sz w:val="20"/>
          <w:szCs w:val="20"/>
        </w:rPr>
        <w:t>stejně jako v</w:t>
      </w:r>
      <w:r w:rsidR="00666DC9">
        <w:rPr>
          <w:rFonts w:cs="Arial"/>
          <w:sz w:val="20"/>
          <w:szCs w:val="20"/>
        </w:rPr>
        <w:t> </w:t>
      </w:r>
      <w:r w:rsidR="00823632">
        <w:rPr>
          <w:rFonts w:cs="Arial"/>
          <w:sz w:val="20"/>
          <w:szCs w:val="20"/>
        </w:rPr>
        <w:t xml:space="preserve">říjnu </w:t>
      </w:r>
      <w:r>
        <w:rPr>
          <w:rFonts w:cs="Arial"/>
          <w:sz w:val="20"/>
          <w:szCs w:val="20"/>
        </w:rPr>
        <w:t>−</w:t>
      </w:r>
      <w:r w:rsidRPr="00710D1B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3</w:t>
      </w:r>
      <w:r w:rsidRPr="00A448A9">
        <w:rPr>
          <w:rFonts w:cs="Arial"/>
          <w:sz w:val="20"/>
          <w:szCs w:val="20"/>
        </w:rPr>
        <w:t> %</w:t>
      </w:r>
      <w:r w:rsidR="00344ABE">
        <w:rPr>
          <w:rFonts w:cs="Arial"/>
          <w:sz w:val="20"/>
          <w:szCs w:val="20"/>
        </w:rPr>
        <w:t>.</w:t>
      </w:r>
      <w:r w:rsidR="005473BA">
        <w:rPr>
          <w:rFonts w:cs="Arial"/>
          <w:sz w:val="20"/>
          <w:szCs w:val="20"/>
        </w:rPr>
        <w:t xml:space="preserve"> </w:t>
      </w:r>
      <w:r w:rsidR="00823632">
        <w:rPr>
          <w:rFonts w:cs="Arial"/>
          <w:sz w:val="20"/>
          <w:szCs w:val="20"/>
        </w:rPr>
        <w:t>N</w:t>
      </w:r>
      <w:r w:rsidRPr="006F3483">
        <w:rPr>
          <w:rFonts w:cs="Arial"/>
          <w:bCs/>
          <w:sz w:val="20"/>
          <w:szCs w:val="22"/>
        </w:rPr>
        <w:t>a </w:t>
      </w:r>
      <w:r w:rsidRPr="007E32EE">
        <w:rPr>
          <w:rFonts w:cs="Arial"/>
          <w:bCs/>
          <w:sz w:val="20"/>
          <w:szCs w:val="22"/>
        </w:rPr>
        <w:t>Slovensku b</w:t>
      </w:r>
      <w:r>
        <w:rPr>
          <w:rFonts w:cs="Arial"/>
          <w:bCs/>
          <w:sz w:val="20"/>
          <w:szCs w:val="22"/>
        </w:rPr>
        <w:t xml:space="preserve">yly </w:t>
      </w:r>
      <w:r>
        <w:rPr>
          <w:rFonts w:cs="Arial"/>
          <w:sz w:val="20"/>
          <w:szCs w:val="20"/>
        </w:rPr>
        <w:t>ceny v </w:t>
      </w:r>
      <w:r w:rsidR="008E3374">
        <w:rPr>
          <w:rFonts w:cs="Arial"/>
          <w:sz w:val="20"/>
          <w:szCs w:val="20"/>
        </w:rPr>
        <w:t>listopadu</w:t>
      </w:r>
      <w:r>
        <w:rPr>
          <w:rFonts w:cs="Arial"/>
          <w:sz w:val="20"/>
          <w:szCs w:val="20"/>
        </w:rPr>
        <w:t xml:space="preserve"> meziročně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</w:t>
      </w:r>
      <w:r w:rsidR="00F60741">
        <w:rPr>
          <w:rFonts w:cs="Arial"/>
          <w:sz w:val="20"/>
          <w:szCs w:val="20"/>
        </w:rPr>
        <w:t>5</w:t>
      </w:r>
      <w:r w:rsidRPr="005649DF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a naopak v</w:t>
      </w:r>
      <w:r w:rsidRPr="00CC1CEA">
        <w:rPr>
          <w:rFonts w:cs="Arial"/>
          <w:bCs/>
          <w:sz w:val="20"/>
          <w:szCs w:val="22"/>
        </w:rPr>
        <w:t xml:space="preserve"> Německu </w:t>
      </w:r>
      <w:r>
        <w:rPr>
          <w:rFonts w:cs="Arial"/>
          <w:bCs/>
          <w:sz w:val="20"/>
          <w:szCs w:val="22"/>
        </w:rPr>
        <w:t>o 0,</w:t>
      </w:r>
      <w:r w:rsidR="00F60741">
        <w:rPr>
          <w:rFonts w:cs="Arial"/>
          <w:bCs/>
          <w:sz w:val="20"/>
          <w:szCs w:val="22"/>
        </w:rPr>
        <w:t>7</w:t>
      </w:r>
      <w:r>
        <w:rPr>
          <w:rFonts w:cs="Arial"/>
          <w:bCs/>
          <w:sz w:val="20"/>
          <w:szCs w:val="22"/>
        </w:rPr>
        <w:t xml:space="preserve"> % nižší.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>odle předběžných údajů Eurostatu</w:t>
      </w:r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</w:t>
      </w:r>
      <w:r w:rsidR="00F60741">
        <w:rPr>
          <w:rFonts w:cs="Arial"/>
          <w:b/>
          <w:sz w:val="20"/>
          <w:szCs w:val="20"/>
        </w:rPr>
        <w:t xml:space="preserve"> říjnu </w:t>
      </w:r>
      <w:r w:rsidR="00F60741" w:rsidRPr="005E3296">
        <w:rPr>
          <w:rFonts w:cs="Arial"/>
          <w:sz w:val="20"/>
          <w:szCs w:val="20"/>
        </w:rPr>
        <w:t>stejně jako v</w:t>
      </w:r>
      <w:r w:rsidR="00666DC9">
        <w:rPr>
          <w:rFonts w:cs="Arial"/>
          <w:sz w:val="20"/>
          <w:szCs w:val="20"/>
        </w:rPr>
        <w:t> </w:t>
      </w:r>
      <w:r w:rsidR="00F60741" w:rsidRPr="005E3296">
        <w:rPr>
          <w:rFonts w:cs="Arial"/>
          <w:sz w:val="20"/>
          <w:szCs w:val="20"/>
        </w:rPr>
        <w:t>září</w:t>
      </w:r>
      <w:r w:rsidRPr="00666DC9">
        <w:rPr>
          <w:rFonts w:cs="Arial"/>
          <w:sz w:val="20"/>
          <w:szCs w:val="20"/>
        </w:rPr>
        <w:t xml:space="preserve"> </w:t>
      </w:r>
      <w:r w:rsidRPr="00693C75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693C75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 w:rsidR="00F60741">
        <w:rPr>
          <w:rFonts w:cs="Arial"/>
          <w:bCs/>
          <w:sz w:val="20"/>
          <w:szCs w:val="22"/>
        </w:rPr>
        <w:t>říjnu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3,8</w:t>
      </w:r>
      <w:r>
        <w:rPr>
          <w:rFonts w:cs="Arial"/>
          <w:bCs/>
          <w:sz w:val="20"/>
          <w:szCs w:val="22"/>
        </w:rPr>
        <w:t>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Pr="00E11550">
        <w:rPr>
          <w:rFonts w:cs="Arial"/>
          <w:bCs/>
          <w:sz w:val="20"/>
          <w:szCs w:val="22"/>
        </w:rPr>
        <w:t>2,</w:t>
      </w:r>
      <w:r w:rsidR="00F60741">
        <w:rPr>
          <w:rFonts w:cs="Arial"/>
          <w:bCs/>
          <w:sz w:val="20"/>
          <w:szCs w:val="22"/>
        </w:rPr>
        <w:t>0</w:t>
      </w:r>
      <w:r w:rsidRPr="00E11550">
        <w:rPr>
          <w:rFonts w:cs="Arial"/>
          <w:bCs/>
          <w:sz w:val="20"/>
          <w:szCs w:val="22"/>
        </w:rPr>
        <w:t> %).</w:t>
      </w:r>
      <w:r>
        <w:rPr>
          <w:rFonts w:cs="Arial"/>
          <w:bCs/>
          <w:sz w:val="20"/>
          <w:szCs w:val="22"/>
        </w:rPr>
        <w:t xml:space="preserve"> </w:t>
      </w:r>
      <w:r w:rsidRPr="00A60465">
        <w:rPr>
          <w:rFonts w:cs="Arial"/>
          <w:bCs/>
          <w:sz w:val="20"/>
          <w:szCs w:val="22"/>
        </w:rPr>
        <w:t xml:space="preserve">Na Slovensku byly </w:t>
      </w:r>
      <w:r w:rsidRPr="00A60465">
        <w:rPr>
          <w:rFonts w:cs="Arial"/>
          <w:sz w:val="20"/>
          <w:szCs w:val="20"/>
        </w:rPr>
        <w:t>ceny vyšší o 1,</w:t>
      </w:r>
      <w:r w:rsidR="00F60741">
        <w:rPr>
          <w:rFonts w:cs="Arial"/>
          <w:sz w:val="20"/>
          <w:szCs w:val="20"/>
        </w:rPr>
        <w:t>6</w:t>
      </w:r>
      <w:r w:rsidRPr="00A60465">
        <w:rPr>
          <w:rFonts w:cs="Arial"/>
          <w:sz w:val="20"/>
          <w:szCs w:val="20"/>
        </w:rPr>
        <w:t> %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v</w:t>
      </w:r>
      <w:r w:rsidRPr="00A60465">
        <w:rPr>
          <w:rFonts w:cs="Arial"/>
          <w:bCs/>
          <w:sz w:val="20"/>
          <w:szCs w:val="22"/>
        </w:rPr>
        <w:t> Německu ceny klesly o 0,</w:t>
      </w:r>
      <w:r w:rsidR="00F60741">
        <w:rPr>
          <w:rFonts w:cs="Arial"/>
          <w:bCs/>
          <w:sz w:val="20"/>
          <w:szCs w:val="22"/>
        </w:rPr>
        <w:t>5</w:t>
      </w:r>
      <w:r w:rsidRPr="00A60465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84A81" w:rsidRDefault="001A7A47" w:rsidP="00884A8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hyperlink r:id="rId8" w:history="1"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 w:rsidR="00884A81">
          <w:rPr>
            <w:rStyle w:val="Hypertextovodkaz"/>
            <w:rFonts w:cs="Arial"/>
            <w:bCs/>
            <w:sz w:val="20"/>
            <w:szCs w:val="22"/>
          </w:rPr>
          <w:t>listopad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2020 (COVID-19)</w:t>
        </w:r>
      </w:hyperlink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20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4166C0">
        <w:rPr>
          <w:rFonts w:cs="Arial"/>
          <w:i/>
          <w:iCs/>
          <w:sz w:val="18"/>
          <w:szCs w:val="18"/>
        </w:rPr>
        <w:t>3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FE6264">
        <w:rPr>
          <w:rFonts w:cs="Arial"/>
          <w:i/>
          <w:iCs/>
          <w:sz w:val="18"/>
          <w:szCs w:val="18"/>
        </w:rPr>
        <w:t>1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D1740A" w:rsidRDefault="00D1740A" w:rsidP="000A2170">
      <w:pPr>
        <w:rPr>
          <w:rFonts w:cs="Arial"/>
          <w:i/>
          <w:iCs/>
          <w:sz w:val="18"/>
          <w:szCs w:val="18"/>
        </w:rPr>
      </w:pPr>
    </w:p>
    <w:p w:rsidR="001B66D4" w:rsidRDefault="001B66D4" w:rsidP="000A2170">
      <w:pPr>
        <w:rPr>
          <w:rFonts w:cs="Arial"/>
          <w:i/>
          <w:iCs/>
          <w:sz w:val="18"/>
          <w:szCs w:val="18"/>
        </w:rPr>
      </w:pP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47" w:rsidRDefault="001A7A47" w:rsidP="00BA6370">
      <w:r>
        <w:separator/>
      </w:r>
    </w:p>
  </w:endnote>
  <w:endnote w:type="continuationSeparator" w:id="0">
    <w:p w:rsidR="001A7A47" w:rsidRDefault="001A7A4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A7A4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E4FA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4FA2" w:rsidRPr="004E479E">
                  <w:rPr>
                    <w:rFonts w:cs="Arial"/>
                    <w:szCs w:val="15"/>
                  </w:rPr>
                  <w:fldChar w:fldCharType="separate"/>
                </w:r>
                <w:r w:rsidR="00BC18A5">
                  <w:rPr>
                    <w:rFonts w:cs="Arial"/>
                    <w:noProof/>
                    <w:szCs w:val="15"/>
                  </w:rPr>
                  <w:t>1</w:t>
                </w:r>
                <w:r w:rsidR="008E4FA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8e-5mm;mso-wrap-distance-bottom:-8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47" w:rsidRDefault="001A7A47" w:rsidP="00BA6370">
      <w:r>
        <w:separator/>
      </w:r>
    </w:p>
  </w:footnote>
  <w:footnote w:type="continuationSeparator" w:id="0">
    <w:p w:rsidR="001A7A47" w:rsidRDefault="001A7A47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A7A47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9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8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E04"/>
    <w:rsid w:val="000022B0"/>
    <w:rsid w:val="0000672B"/>
    <w:rsid w:val="0001526A"/>
    <w:rsid w:val="000203C0"/>
    <w:rsid w:val="00023D7F"/>
    <w:rsid w:val="000254A5"/>
    <w:rsid w:val="00033F20"/>
    <w:rsid w:val="00043BF4"/>
    <w:rsid w:val="00045C7F"/>
    <w:rsid w:val="00046315"/>
    <w:rsid w:val="0004760D"/>
    <w:rsid w:val="00061A36"/>
    <w:rsid w:val="000630C3"/>
    <w:rsid w:val="0006357A"/>
    <w:rsid w:val="0007357F"/>
    <w:rsid w:val="00083547"/>
    <w:rsid w:val="000843A5"/>
    <w:rsid w:val="000910DA"/>
    <w:rsid w:val="00094544"/>
    <w:rsid w:val="000961A4"/>
    <w:rsid w:val="00096D6C"/>
    <w:rsid w:val="00097D5A"/>
    <w:rsid w:val="000A13EE"/>
    <w:rsid w:val="000A2170"/>
    <w:rsid w:val="000A672B"/>
    <w:rsid w:val="000B6F63"/>
    <w:rsid w:val="000D093F"/>
    <w:rsid w:val="000E1DFE"/>
    <w:rsid w:val="000E372F"/>
    <w:rsid w:val="000E43CC"/>
    <w:rsid w:val="000E6230"/>
    <w:rsid w:val="000E634D"/>
    <w:rsid w:val="000E691A"/>
    <w:rsid w:val="000F3C09"/>
    <w:rsid w:val="000F48B4"/>
    <w:rsid w:val="00101C8C"/>
    <w:rsid w:val="00134A30"/>
    <w:rsid w:val="00136FDA"/>
    <w:rsid w:val="001404AB"/>
    <w:rsid w:val="0014461A"/>
    <w:rsid w:val="0014724F"/>
    <w:rsid w:val="0015020F"/>
    <w:rsid w:val="00150F2E"/>
    <w:rsid w:val="0015118D"/>
    <w:rsid w:val="00151AE8"/>
    <w:rsid w:val="00152CA6"/>
    <w:rsid w:val="001540E7"/>
    <w:rsid w:val="001575BA"/>
    <w:rsid w:val="00160320"/>
    <w:rsid w:val="00163A06"/>
    <w:rsid w:val="00165BE7"/>
    <w:rsid w:val="0016702D"/>
    <w:rsid w:val="0017231D"/>
    <w:rsid w:val="001810DC"/>
    <w:rsid w:val="00183DCD"/>
    <w:rsid w:val="00184441"/>
    <w:rsid w:val="00184CC2"/>
    <w:rsid w:val="00187BBF"/>
    <w:rsid w:val="00191FEE"/>
    <w:rsid w:val="00194015"/>
    <w:rsid w:val="001A0169"/>
    <w:rsid w:val="001A270D"/>
    <w:rsid w:val="001A5754"/>
    <w:rsid w:val="001A7A47"/>
    <w:rsid w:val="001B16C5"/>
    <w:rsid w:val="001B310A"/>
    <w:rsid w:val="001B42AA"/>
    <w:rsid w:val="001B607F"/>
    <w:rsid w:val="001B66D4"/>
    <w:rsid w:val="001D27B8"/>
    <w:rsid w:val="001D369A"/>
    <w:rsid w:val="001D4551"/>
    <w:rsid w:val="001E092B"/>
    <w:rsid w:val="001E3D8D"/>
    <w:rsid w:val="001E519B"/>
    <w:rsid w:val="001F08B3"/>
    <w:rsid w:val="001F208D"/>
    <w:rsid w:val="001F253F"/>
    <w:rsid w:val="001F2FE0"/>
    <w:rsid w:val="00200854"/>
    <w:rsid w:val="002025D6"/>
    <w:rsid w:val="002030B2"/>
    <w:rsid w:val="00204B0A"/>
    <w:rsid w:val="002070FB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5EEE"/>
    <w:rsid w:val="002556B0"/>
    <w:rsid w:val="0026107B"/>
    <w:rsid w:val="0027352E"/>
    <w:rsid w:val="00276B71"/>
    <w:rsid w:val="002850A4"/>
    <w:rsid w:val="002855A1"/>
    <w:rsid w:val="00294DDE"/>
    <w:rsid w:val="002A43D7"/>
    <w:rsid w:val="002A6DC7"/>
    <w:rsid w:val="002B01E4"/>
    <w:rsid w:val="002B1796"/>
    <w:rsid w:val="002B2E47"/>
    <w:rsid w:val="002B3C2F"/>
    <w:rsid w:val="002B7A96"/>
    <w:rsid w:val="002C04EC"/>
    <w:rsid w:val="002D29BA"/>
    <w:rsid w:val="002D52F4"/>
    <w:rsid w:val="002E04A4"/>
    <w:rsid w:val="002E6802"/>
    <w:rsid w:val="002E7538"/>
    <w:rsid w:val="002F3DB1"/>
    <w:rsid w:val="002F73CE"/>
    <w:rsid w:val="003049DC"/>
    <w:rsid w:val="00310C57"/>
    <w:rsid w:val="0031426F"/>
    <w:rsid w:val="003301A3"/>
    <w:rsid w:val="00333705"/>
    <w:rsid w:val="00333D52"/>
    <w:rsid w:val="0033475D"/>
    <w:rsid w:val="00344ABE"/>
    <w:rsid w:val="00350D7A"/>
    <w:rsid w:val="003514A9"/>
    <w:rsid w:val="00353E57"/>
    <w:rsid w:val="00356B78"/>
    <w:rsid w:val="003645EB"/>
    <w:rsid w:val="00364AEC"/>
    <w:rsid w:val="0036777B"/>
    <w:rsid w:val="00374E91"/>
    <w:rsid w:val="0038282A"/>
    <w:rsid w:val="00397580"/>
    <w:rsid w:val="003A0709"/>
    <w:rsid w:val="003A45C8"/>
    <w:rsid w:val="003B329E"/>
    <w:rsid w:val="003B39D7"/>
    <w:rsid w:val="003B7069"/>
    <w:rsid w:val="003B796A"/>
    <w:rsid w:val="003C167C"/>
    <w:rsid w:val="003C2832"/>
    <w:rsid w:val="003C2DCF"/>
    <w:rsid w:val="003C32F3"/>
    <w:rsid w:val="003C3AC6"/>
    <w:rsid w:val="003C5A04"/>
    <w:rsid w:val="003C6BF0"/>
    <w:rsid w:val="003C7E9D"/>
    <w:rsid w:val="003C7FE7"/>
    <w:rsid w:val="003D0499"/>
    <w:rsid w:val="003D3576"/>
    <w:rsid w:val="003D588C"/>
    <w:rsid w:val="003E6923"/>
    <w:rsid w:val="003F526A"/>
    <w:rsid w:val="00405244"/>
    <w:rsid w:val="00406A58"/>
    <w:rsid w:val="004123C5"/>
    <w:rsid w:val="00413EA3"/>
    <w:rsid w:val="004142A4"/>
    <w:rsid w:val="00414F26"/>
    <w:rsid w:val="0041508A"/>
    <w:rsid w:val="004154C7"/>
    <w:rsid w:val="004166C0"/>
    <w:rsid w:val="00424AA7"/>
    <w:rsid w:val="00425968"/>
    <w:rsid w:val="004276B2"/>
    <w:rsid w:val="004436EE"/>
    <w:rsid w:val="004449F8"/>
    <w:rsid w:val="00446F31"/>
    <w:rsid w:val="0045547F"/>
    <w:rsid w:val="00455849"/>
    <w:rsid w:val="00462B0E"/>
    <w:rsid w:val="004630D6"/>
    <w:rsid w:val="00471DEF"/>
    <w:rsid w:val="004774B1"/>
    <w:rsid w:val="0048038C"/>
    <w:rsid w:val="00484846"/>
    <w:rsid w:val="00485FFD"/>
    <w:rsid w:val="00486C3E"/>
    <w:rsid w:val="004916EB"/>
    <w:rsid w:val="004920AD"/>
    <w:rsid w:val="004A23FF"/>
    <w:rsid w:val="004A746E"/>
    <w:rsid w:val="004B0A23"/>
    <w:rsid w:val="004B38E9"/>
    <w:rsid w:val="004B6AA6"/>
    <w:rsid w:val="004C542D"/>
    <w:rsid w:val="004C7284"/>
    <w:rsid w:val="004C7E04"/>
    <w:rsid w:val="004D05B3"/>
    <w:rsid w:val="004D306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53EB"/>
    <w:rsid w:val="0052091D"/>
    <w:rsid w:val="0052208B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55D6A"/>
    <w:rsid w:val="00557613"/>
    <w:rsid w:val="00560886"/>
    <w:rsid w:val="005729C0"/>
    <w:rsid w:val="00572ACC"/>
    <w:rsid w:val="00573994"/>
    <w:rsid w:val="005739D9"/>
    <w:rsid w:val="00585D77"/>
    <w:rsid w:val="005959A1"/>
    <w:rsid w:val="005A1863"/>
    <w:rsid w:val="005A5D43"/>
    <w:rsid w:val="005B628A"/>
    <w:rsid w:val="005C246D"/>
    <w:rsid w:val="005C32F2"/>
    <w:rsid w:val="005C5F63"/>
    <w:rsid w:val="005D3E78"/>
    <w:rsid w:val="005D74F4"/>
    <w:rsid w:val="005E3296"/>
    <w:rsid w:val="005F497E"/>
    <w:rsid w:val="005F58B4"/>
    <w:rsid w:val="005F73D2"/>
    <w:rsid w:val="005F79FB"/>
    <w:rsid w:val="00603073"/>
    <w:rsid w:val="00604406"/>
    <w:rsid w:val="006052B9"/>
    <w:rsid w:val="00605F4A"/>
    <w:rsid w:val="00607822"/>
    <w:rsid w:val="006103AA"/>
    <w:rsid w:val="00611C46"/>
    <w:rsid w:val="00611D5B"/>
    <w:rsid w:val="00613BBF"/>
    <w:rsid w:val="00622B80"/>
    <w:rsid w:val="0062450B"/>
    <w:rsid w:val="00624B98"/>
    <w:rsid w:val="00633FB0"/>
    <w:rsid w:val="0064139A"/>
    <w:rsid w:val="00646C06"/>
    <w:rsid w:val="00656FC0"/>
    <w:rsid w:val="0066014D"/>
    <w:rsid w:val="0066124B"/>
    <w:rsid w:val="006613D1"/>
    <w:rsid w:val="006623F5"/>
    <w:rsid w:val="00665BE1"/>
    <w:rsid w:val="00666DC9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B056E"/>
    <w:rsid w:val="006B08D3"/>
    <w:rsid w:val="006B4518"/>
    <w:rsid w:val="006B45F4"/>
    <w:rsid w:val="006B7225"/>
    <w:rsid w:val="006C114A"/>
    <w:rsid w:val="006C4876"/>
    <w:rsid w:val="006D22E1"/>
    <w:rsid w:val="006D5490"/>
    <w:rsid w:val="006D5B76"/>
    <w:rsid w:val="006E024F"/>
    <w:rsid w:val="006E201D"/>
    <w:rsid w:val="006E4E81"/>
    <w:rsid w:val="006F18C1"/>
    <w:rsid w:val="006F2A6B"/>
    <w:rsid w:val="0070702B"/>
    <w:rsid w:val="00707F7D"/>
    <w:rsid w:val="00710D1B"/>
    <w:rsid w:val="00717EC5"/>
    <w:rsid w:val="007213EC"/>
    <w:rsid w:val="007265DA"/>
    <w:rsid w:val="00727421"/>
    <w:rsid w:val="0073393E"/>
    <w:rsid w:val="0073765C"/>
    <w:rsid w:val="00745839"/>
    <w:rsid w:val="00746407"/>
    <w:rsid w:val="00754C20"/>
    <w:rsid w:val="00762BD3"/>
    <w:rsid w:val="007665D0"/>
    <w:rsid w:val="007677DC"/>
    <w:rsid w:val="00773FF6"/>
    <w:rsid w:val="00782C6B"/>
    <w:rsid w:val="00786E68"/>
    <w:rsid w:val="0078752E"/>
    <w:rsid w:val="007875AC"/>
    <w:rsid w:val="007956FD"/>
    <w:rsid w:val="00796E7E"/>
    <w:rsid w:val="007974F0"/>
    <w:rsid w:val="007A2048"/>
    <w:rsid w:val="007A57F2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5112"/>
    <w:rsid w:val="007C7B35"/>
    <w:rsid w:val="007D6C84"/>
    <w:rsid w:val="007E32EE"/>
    <w:rsid w:val="007F4AEB"/>
    <w:rsid w:val="007F75B2"/>
    <w:rsid w:val="00803993"/>
    <w:rsid w:val="008043C4"/>
    <w:rsid w:val="008067C9"/>
    <w:rsid w:val="00816CF8"/>
    <w:rsid w:val="00823344"/>
    <w:rsid w:val="00823632"/>
    <w:rsid w:val="0082504D"/>
    <w:rsid w:val="00831B1B"/>
    <w:rsid w:val="00842FBA"/>
    <w:rsid w:val="00852691"/>
    <w:rsid w:val="00855FB3"/>
    <w:rsid w:val="00860E4B"/>
    <w:rsid w:val="00861D0E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90AB3"/>
    <w:rsid w:val="00890E4A"/>
    <w:rsid w:val="008911D0"/>
    <w:rsid w:val="008A2159"/>
    <w:rsid w:val="008A512C"/>
    <w:rsid w:val="008A7497"/>
    <w:rsid w:val="008A750A"/>
    <w:rsid w:val="008B3970"/>
    <w:rsid w:val="008B7F7A"/>
    <w:rsid w:val="008C2AA1"/>
    <w:rsid w:val="008C384C"/>
    <w:rsid w:val="008D0F11"/>
    <w:rsid w:val="008D29EC"/>
    <w:rsid w:val="008D3C9D"/>
    <w:rsid w:val="008E3374"/>
    <w:rsid w:val="008E4FA2"/>
    <w:rsid w:val="008F061B"/>
    <w:rsid w:val="008F4830"/>
    <w:rsid w:val="008F73B4"/>
    <w:rsid w:val="00906373"/>
    <w:rsid w:val="009116A3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C94"/>
    <w:rsid w:val="00934450"/>
    <w:rsid w:val="00937C4D"/>
    <w:rsid w:val="00943935"/>
    <w:rsid w:val="009455B1"/>
    <w:rsid w:val="009562B5"/>
    <w:rsid w:val="00960F89"/>
    <w:rsid w:val="0096502A"/>
    <w:rsid w:val="0096708F"/>
    <w:rsid w:val="00972E9B"/>
    <w:rsid w:val="009740C2"/>
    <w:rsid w:val="00985688"/>
    <w:rsid w:val="00986DD7"/>
    <w:rsid w:val="009A35DF"/>
    <w:rsid w:val="009B1798"/>
    <w:rsid w:val="009B3B05"/>
    <w:rsid w:val="009B5156"/>
    <w:rsid w:val="009B55B1"/>
    <w:rsid w:val="009B5C80"/>
    <w:rsid w:val="009C37F9"/>
    <w:rsid w:val="009F1E90"/>
    <w:rsid w:val="009F5B43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46BC"/>
    <w:rsid w:val="00A3331E"/>
    <w:rsid w:val="00A419EC"/>
    <w:rsid w:val="00A422B0"/>
    <w:rsid w:val="00A4343D"/>
    <w:rsid w:val="00A502F1"/>
    <w:rsid w:val="00A53839"/>
    <w:rsid w:val="00A60465"/>
    <w:rsid w:val="00A62327"/>
    <w:rsid w:val="00A627AE"/>
    <w:rsid w:val="00A6545E"/>
    <w:rsid w:val="00A65CFA"/>
    <w:rsid w:val="00A6774D"/>
    <w:rsid w:val="00A67FF1"/>
    <w:rsid w:val="00A70A83"/>
    <w:rsid w:val="00A7149E"/>
    <w:rsid w:val="00A7418B"/>
    <w:rsid w:val="00A76871"/>
    <w:rsid w:val="00A77C04"/>
    <w:rsid w:val="00A81EB3"/>
    <w:rsid w:val="00A834E9"/>
    <w:rsid w:val="00A8367B"/>
    <w:rsid w:val="00A85151"/>
    <w:rsid w:val="00A851E3"/>
    <w:rsid w:val="00A87396"/>
    <w:rsid w:val="00A92A9B"/>
    <w:rsid w:val="00AA23BF"/>
    <w:rsid w:val="00AB172E"/>
    <w:rsid w:val="00AB3410"/>
    <w:rsid w:val="00AB656B"/>
    <w:rsid w:val="00AD15E1"/>
    <w:rsid w:val="00AD1CC7"/>
    <w:rsid w:val="00AD34E3"/>
    <w:rsid w:val="00AD5106"/>
    <w:rsid w:val="00AE3720"/>
    <w:rsid w:val="00AF2A43"/>
    <w:rsid w:val="00B00C1D"/>
    <w:rsid w:val="00B01FE6"/>
    <w:rsid w:val="00B05281"/>
    <w:rsid w:val="00B360E0"/>
    <w:rsid w:val="00B368F9"/>
    <w:rsid w:val="00B512BD"/>
    <w:rsid w:val="00B520D0"/>
    <w:rsid w:val="00B52FB4"/>
    <w:rsid w:val="00B55375"/>
    <w:rsid w:val="00B57852"/>
    <w:rsid w:val="00B608F7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9193F"/>
    <w:rsid w:val="00B9269C"/>
    <w:rsid w:val="00B92938"/>
    <w:rsid w:val="00BA12F1"/>
    <w:rsid w:val="00BA439F"/>
    <w:rsid w:val="00BA6370"/>
    <w:rsid w:val="00BC18A5"/>
    <w:rsid w:val="00BC267C"/>
    <w:rsid w:val="00BC2D47"/>
    <w:rsid w:val="00BD23BE"/>
    <w:rsid w:val="00BD2E0D"/>
    <w:rsid w:val="00BD381D"/>
    <w:rsid w:val="00BE22F8"/>
    <w:rsid w:val="00BE539E"/>
    <w:rsid w:val="00BE7917"/>
    <w:rsid w:val="00BF725C"/>
    <w:rsid w:val="00C02AC8"/>
    <w:rsid w:val="00C12F55"/>
    <w:rsid w:val="00C269D4"/>
    <w:rsid w:val="00C31F23"/>
    <w:rsid w:val="00C34040"/>
    <w:rsid w:val="00C35DB7"/>
    <w:rsid w:val="00C366F5"/>
    <w:rsid w:val="00C376C6"/>
    <w:rsid w:val="00C37ADB"/>
    <w:rsid w:val="00C4160D"/>
    <w:rsid w:val="00C42A49"/>
    <w:rsid w:val="00C43CD3"/>
    <w:rsid w:val="00C46ACA"/>
    <w:rsid w:val="00C520D8"/>
    <w:rsid w:val="00C52AEA"/>
    <w:rsid w:val="00C67164"/>
    <w:rsid w:val="00C6793E"/>
    <w:rsid w:val="00C732E6"/>
    <w:rsid w:val="00C8406E"/>
    <w:rsid w:val="00C84542"/>
    <w:rsid w:val="00C852F8"/>
    <w:rsid w:val="00C873A9"/>
    <w:rsid w:val="00C9766A"/>
    <w:rsid w:val="00CA75D6"/>
    <w:rsid w:val="00CB2709"/>
    <w:rsid w:val="00CB2C5F"/>
    <w:rsid w:val="00CB34C0"/>
    <w:rsid w:val="00CB6F89"/>
    <w:rsid w:val="00CC0AE9"/>
    <w:rsid w:val="00CC1CEA"/>
    <w:rsid w:val="00CC3628"/>
    <w:rsid w:val="00CC633F"/>
    <w:rsid w:val="00CD1A7D"/>
    <w:rsid w:val="00CD4557"/>
    <w:rsid w:val="00CD573A"/>
    <w:rsid w:val="00CE1AB3"/>
    <w:rsid w:val="00CE228C"/>
    <w:rsid w:val="00CE37C1"/>
    <w:rsid w:val="00CE5DEF"/>
    <w:rsid w:val="00CE71D9"/>
    <w:rsid w:val="00CF545B"/>
    <w:rsid w:val="00CF776C"/>
    <w:rsid w:val="00D05027"/>
    <w:rsid w:val="00D065B3"/>
    <w:rsid w:val="00D07294"/>
    <w:rsid w:val="00D1740A"/>
    <w:rsid w:val="00D209A7"/>
    <w:rsid w:val="00D27D69"/>
    <w:rsid w:val="00D31B0C"/>
    <w:rsid w:val="00D3209C"/>
    <w:rsid w:val="00D330B0"/>
    <w:rsid w:val="00D33658"/>
    <w:rsid w:val="00D37DAD"/>
    <w:rsid w:val="00D448C2"/>
    <w:rsid w:val="00D46324"/>
    <w:rsid w:val="00D53AAB"/>
    <w:rsid w:val="00D5703C"/>
    <w:rsid w:val="00D666C3"/>
    <w:rsid w:val="00D66803"/>
    <w:rsid w:val="00D6768C"/>
    <w:rsid w:val="00D712FA"/>
    <w:rsid w:val="00D7484E"/>
    <w:rsid w:val="00D81D5C"/>
    <w:rsid w:val="00D83FB6"/>
    <w:rsid w:val="00D84B9A"/>
    <w:rsid w:val="00D8610A"/>
    <w:rsid w:val="00D9189F"/>
    <w:rsid w:val="00D966D2"/>
    <w:rsid w:val="00DA141B"/>
    <w:rsid w:val="00DA2D4B"/>
    <w:rsid w:val="00DB1908"/>
    <w:rsid w:val="00DB3DFE"/>
    <w:rsid w:val="00DB687B"/>
    <w:rsid w:val="00DB6C52"/>
    <w:rsid w:val="00DC4EC7"/>
    <w:rsid w:val="00DD74C1"/>
    <w:rsid w:val="00DE263F"/>
    <w:rsid w:val="00DE5FB3"/>
    <w:rsid w:val="00DF04A0"/>
    <w:rsid w:val="00DF12A1"/>
    <w:rsid w:val="00DF47FE"/>
    <w:rsid w:val="00E0156A"/>
    <w:rsid w:val="00E05A9C"/>
    <w:rsid w:val="00E07280"/>
    <w:rsid w:val="00E0749C"/>
    <w:rsid w:val="00E07B63"/>
    <w:rsid w:val="00E101BC"/>
    <w:rsid w:val="00E11550"/>
    <w:rsid w:val="00E2045B"/>
    <w:rsid w:val="00E21889"/>
    <w:rsid w:val="00E21AD0"/>
    <w:rsid w:val="00E2379D"/>
    <w:rsid w:val="00E24F16"/>
    <w:rsid w:val="00E25805"/>
    <w:rsid w:val="00E26704"/>
    <w:rsid w:val="00E31980"/>
    <w:rsid w:val="00E31B50"/>
    <w:rsid w:val="00E36504"/>
    <w:rsid w:val="00E3777D"/>
    <w:rsid w:val="00E44C48"/>
    <w:rsid w:val="00E5059D"/>
    <w:rsid w:val="00E5474A"/>
    <w:rsid w:val="00E63D7C"/>
    <w:rsid w:val="00E6423C"/>
    <w:rsid w:val="00E6435D"/>
    <w:rsid w:val="00E86266"/>
    <w:rsid w:val="00E9297F"/>
    <w:rsid w:val="00E92A8B"/>
    <w:rsid w:val="00E93830"/>
    <w:rsid w:val="00E93E0E"/>
    <w:rsid w:val="00EB1D18"/>
    <w:rsid w:val="00EB1ED3"/>
    <w:rsid w:val="00EC0ABA"/>
    <w:rsid w:val="00EC0D17"/>
    <w:rsid w:val="00EC464A"/>
    <w:rsid w:val="00EC6660"/>
    <w:rsid w:val="00EC78D2"/>
    <w:rsid w:val="00ED5DF1"/>
    <w:rsid w:val="00EE03A9"/>
    <w:rsid w:val="00EE06CA"/>
    <w:rsid w:val="00EE1ED1"/>
    <w:rsid w:val="00EE54B3"/>
    <w:rsid w:val="00EE5709"/>
    <w:rsid w:val="00EF07F0"/>
    <w:rsid w:val="00EF524B"/>
    <w:rsid w:val="00F10BF9"/>
    <w:rsid w:val="00F1772B"/>
    <w:rsid w:val="00F278FF"/>
    <w:rsid w:val="00F33334"/>
    <w:rsid w:val="00F3354E"/>
    <w:rsid w:val="00F339BA"/>
    <w:rsid w:val="00F34504"/>
    <w:rsid w:val="00F4211E"/>
    <w:rsid w:val="00F46D6A"/>
    <w:rsid w:val="00F5211F"/>
    <w:rsid w:val="00F537DC"/>
    <w:rsid w:val="00F56BEE"/>
    <w:rsid w:val="00F60741"/>
    <w:rsid w:val="00F63481"/>
    <w:rsid w:val="00F63C1D"/>
    <w:rsid w:val="00F70CB6"/>
    <w:rsid w:val="00F74F0F"/>
    <w:rsid w:val="00F75A55"/>
    <w:rsid w:val="00F75F2A"/>
    <w:rsid w:val="00F7634A"/>
    <w:rsid w:val="00F85C75"/>
    <w:rsid w:val="00F90802"/>
    <w:rsid w:val="00F929DC"/>
    <w:rsid w:val="00F92D34"/>
    <w:rsid w:val="00FA2B0A"/>
    <w:rsid w:val="00FA5AAF"/>
    <w:rsid w:val="00FB0E5F"/>
    <w:rsid w:val="00FB687C"/>
    <w:rsid w:val="00FC5A33"/>
    <w:rsid w:val="00FD16D5"/>
    <w:rsid w:val="00FD3A5F"/>
    <w:rsid w:val="00FD7A50"/>
    <w:rsid w:val="00FE4525"/>
    <w:rsid w:val="00FE4836"/>
    <w:rsid w:val="00FE6264"/>
    <w:rsid w:val="00FF049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  <w15:docId w15:val="{E27774A5-F6A5-403F-A52E-FE9EF62A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za-listopad-2020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8A5D-1191-4C58-951C-24807A90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5540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Urbanová</dc:creator>
  <cp:keywords/>
  <dc:description/>
  <cp:lastModifiedBy>Jana Henkrichová</cp:lastModifiedBy>
  <cp:revision>3</cp:revision>
  <cp:lastPrinted>2020-11-05T10:49:00Z</cp:lastPrinted>
  <dcterms:created xsi:type="dcterms:W3CDTF">2020-12-07T20:00:00Z</dcterms:created>
  <dcterms:modified xsi:type="dcterms:W3CDTF">2020-12-08T10:49:00Z</dcterms:modified>
</cp:coreProperties>
</file>