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35" w:rsidRDefault="005E266F" w:rsidP="00770C35">
      <w:pPr>
        <w:pStyle w:val="Datum"/>
      </w:pPr>
      <w:r>
        <w:t>29</w:t>
      </w:r>
      <w:r w:rsidR="00770C35">
        <w:t xml:space="preserve">. </w:t>
      </w:r>
      <w:r w:rsidR="00F21A2B">
        <w:t>7</w:t>
      </w:r>
      <w:r w:rsidR="00770C35">
        <w:t>. 202</w:t>
      </w:r>
      <w:r>
        <w:t>2</w:t>
      </w:r>
    </w:p>
    <w:p w:rsidR="00770C35" w:rsidRDefault="00770C35" w:rsidP="00770C35">
      <w:pPr>
        <w:pStyle w:val="Nzev"/>
      </w:pPr>
      <w:r>
        <w:t xml:space="preserve">HDP </w:t>
      </w:r>
      <w:r w:rsidR="0049316F">
        <w:t xml:space="preserve">vzrostl </w:t>
      </w:r>
      <w:r>
        <w:t>mezičtvrtletně o 0,</w:t>
      </w:r>
      <w:r w:rsidR="0049316F">
        <w:t>2</w:t>
      </w:r>
      <w:r>
        <w:t xml:space="preserve"> %</w:t>
      </w:r>
    </w:p>
    <w:p w:rsidR="00770C35" w:rsidRPr="002E496D" w:rsidRDefault="00770C35" w:rsidP="00770C35">
      <w:pPr>
        <w:pStyle w:val="Podtitulek"/>
      </w:pPr>
      <w:r w:rsidRPr="002E496D">
        <w:t xml:space="preserve">Předběžný odhad HDP – </w:t>
      </w:r>
      <w:r w:rsidR="00F21A2B">
        <w:t>2</w:t>
      </w:r>
      <w:r w:rsidRPr="002E496D">
        <w:t>. čtvrtletí 20</w:t>
      </w:r>
      <w:r>
        <w:t>2</w:t>
      </w:r>
      <w:r w:rsidR="005E266F">
        <w:t>2</w:t>
      </w:r>
    </w:p>
    <w:p w:rsidR="00770C35" w:rsidRPr="002E496D" w:rsidRDefault="00770C35" w:rsidP="00770C35">
      <w:pPr>
        <w:pStyle w:val="Perex"/>
      </w:pPr>
      <w:r w:rsidRPr="00915CD9">
        <w:t xml:space="preserve">Podle předběžného odhadu </w:t>
      </w:r>
      <w:r w:rsidR="0049316F">
        <w:t>vzrostl</w:t>
      </w:r>
      <w:r w:rsidRPr="00915CD9">
        <w:t xml:space="preserve"> hrubý domácí produkt v</w:t>
      </w:r>
      <w:r w:rsidR="00F21A2B">
        <w:t>e</w:t>
      </w:r>
      <w:r>
        <w:t xml:space="preserve"> </w:t>
      </w:r>
      <w:r w:rsidR="00F21A2B">
        <w:t>2</w:t>
      </w:r>
      <w:r w:rsidR="00D542D7">
        <w:t>. čtvrtletí mezičtvrtletně o 0,</w:t>
      </w:r>
      <w:r w:rsidR="0049316F">
        <w:t>2</w:t>
      </w:r>
      <w:r>
        <w:t xml:space="preserve"> % a </w:t>
      </w:r>
      <w:r w:rsidRPr="00915CD9">
        <w:t xml:space="preserve">meziročně o </w:t>
      </w:r>
      <w:r w:rsidR="0007523D">
        <w:t>3</w:t>
      </w:r>
      <w:r>
        <w:t>,</w:t>
      </w:r>
      <w:r w:rsidR="0049316F">
        <w:t>6</w:t>
      </w:r>
      <w:r w:rsidRPr="00915CD9">
        <w:t> %</w:t>
      </w:r>
      <w:r>
        <w:t>.</w:t>
      </w:r>
    </w:p>
    <w:p w:rsidR="00770C35" w:rsidRDefault="00770C35" w:rsidP="00770C35">
      <w:pPr>
        <w:rPr>
          <w:rFonts w:cs="Arial"/>
          <w:bCs/>
          <w:szCs w:val="20"/>
        </w:rPr>
      </w:pPr>
      <w:r w:rsidRPr="00FB00A2">
        <w:t xml:space="preserve">Hrubý domácí produkt </w:t>
      </w:r>
      <w:r>
        <w:t>(HDP) očištěný o cenové vlivy a </w:t>
      </w:r>
      <w:r w:rsidRPr="00FB00A2">
        <w:t>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</w:t>
      </w:r>
      <w:r w:rsidRPr="00D6142E">
        <w:rPr>
          <w:rFonts w:cs="Arial"/>
          <w:bCs/>
          <w:szCs w:val="20"/>
        </w:rPr>
        <w:t>v</w:t>
      </w:r>
      <w:r w:rsidR="00F21A2B">
        <w:rPr>
          <w:rFonts w:cs="Arial"/>
          <w:bCs/>
          <w:szCs w:val="20"/>
        </w:rPr>
        <w:t>e</w:t>
      </w:r>
      <w:r w:rsidRPr="00D6142E">
        <w:rPr>
          <w:rFonts w:cs="Arial"/>
          <w:bCs/>
          <w:szCs w:val="20"/>
        </w:rPr>
        <w:t> </w:t>
      </w:r>
      <w:r w:rsidR="00F21A2B">
        <w:rPr>
          <w:rFonts w:cs="Arial"/>
          <w:bCs/>
          <w:szCs w:val="20"/>
        </w:rPr>
        <w:t>2</w:t>
      </w:r>
      <w:r w:rsidRPr="00D6142E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 </w:t>
      </w:r>
      <w:r w:rsidRPr="00D6142E">
        <w:rPr>
          <w:rFonts w:cs="Arial"/>
          <w:bCs/>
          <w:szCs w:val="20"/>
        </w:rPr>
        <w:t xml:space="preserve">čtvrtletí </w:t>
      </w:r>
      <w:r w:rsidRPr="00FB00A2">
        <w:rPr>
          <w:rFonts w:cs="Arial"/>
          <w:bCs/>
          <w:szCs w:val="20"/>
        </w:rPr>
        <w:t>podle předběžného odhadu o </w:t>
      </w:r>
      <w:r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1C6DDE">
        <w:rPr>
          <w:rFonts w:cs="Arial"/>
          <w:bCs/>
          <w:szCs w:val="20"/>
        </w:rPr>
        <w:t>2</w:t>
      </w:r>
      <w:r w:rsidRPr="00FB00A2">
        <w:rPr>
          <w:rFonts w:cs="Arial"/>
          <w:bCs/>
          <w:szCs w:val="20"/>
        </w:rPr>
        <w:t xml:space="preserve"> % </w:t>
      </w:r>
      <w:r w:rsidR="0049316F">
        <w:rPr>
          <w:rFonts w:cs="Arial"/>
          <w:bCs/>
          <w:szCs w:val="20"/>
        </w:rPr>
        <w:t>vyšší</w:t>
      </w:r>
      <w:r w:rsidRPr="00FB00A2">
        <w:rPr>
          <w:rFonts w:cs="Arial"/>
          <w:bCs/>
          <w:szCs w:val="20"/>
        </w:rPr>
        <w:t xml:space="preserve"> než </w:t>
      </w:r>
      <w:r w:rsidR="00FF55C0">
        <w:rPr>
          <w:rFonts w:cs="Arial"/>
          <w:bCs/>
          <w:szCs w:val="20"/>
        </w:rPr>
        <w:t>v </w:t>
      </w:r>
      <w:r>
        <w:rPr>
          <w:rFonts w:cs="Arial"/>
          <w:bCs/>
          <w:szCs w:val="20"/>
        </w:rPr>
        <w:t xml:space="preserve">předchozím čtvrtletí a </w:t>
      </w:r>
      <w:r w:rsidRPr="00FB00A2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> porovnání se stejným čtvrtletím předchozího roku vzrostl</w:t>
      </w:r>
      <w:r w:rsidRPr="00FB00A2">
        <w:rPr>
          <w:rFonts w:cs="Arial"/>
          <w:bCs/>
          <w:szCs w:val="20"/>
        </w:rPr>
        <w:t xml:space="preserve"> o </w:t>
      </w:r>
      <w:r w:rsidR="0007523D">
        <w:rPr>
          <w:rFonts w:cs="Arial"/>
          <w:bCs/>
          <w:szCs w:val="20"/>
        </w:rPr>
        <w:t>3</w:t>
      </w:r>
      <w:r w:rsidRPr="00FB00A2">
        <w:rPr>
          <w:rFonts w:cs="Arial"/>
          <w:bCs/>
          <w:szCs w:val="20"/>
        </w:rPr>
        <w:t>,</w:t>
      </w:r>
      <w:r w:rsidR="0049316F">
        <w:rPr>
          <w:rFonts w:cs="Arial"/>
          <w:bCs/>
          <w:szCs w:val="20"/>
        </w:rPr>
        <w:t>6</w:t>
      </w:r>
      <w:r w:rsidRPr="00FB00A2">
        <w:rPr>
          <w:rFonts w:cs="Arial"/>
          <w:bCs/>
          <w:szCs w:val="20"/>
        </w:rPr>
        <w:t> %.</w:t>
      </w:r>
    </w:p>
    <w:p w:rsidR="001C6DDE" w:rsidRDefault="001C6DDE" w:rsidP="00770C35">
      <w:pPr>
        <w:rPr>
          <w:rFonts w:cs="Arial"/>
          <w:bCs/>
          <w:szCs w:val="20"/>
        </w:rPr>
      </w:pPr>
    </w:p>
    <w:p w:rsidR="001C6DDE" w:rsidRDefault="0087262D" w:rsidP="00770C35">
      <w:pPr>
        <w:rPr>
          <w:rFonts w:cs="Arial"/>
          <w:bCs/>
          <w:szCs w:val="20"/>
        </w:rPr>
      </w:pPr>
      <w:r>
        <w:rPr>
          <w:noProof/>
          <w:lang w:eastAsia="cs-CZ"/>
        </w:rPr>
        <w:drawing>
          <wp:inline distT="0" distB="0" distL="0" distR="0" wp14:anchorId="128DB778" wp14:editId="1DD82FC3">
            <wp:extent cx="5400040" cy="2747010"/>
            <wp:effectExtent l="0" t="0" r="10160" b="1524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1A2B" w:rsidRDefault="00F21A2B" w:rsidP="00770C35">
      <w:pPr>
        <w:rPr>
          <w:rFonts w:cs="Arial"/>
          <w:bCs/>
          <w:szCs w:val="20"/>
        </w:rPr>
      </w:pPr>
    </w:p>
    <w:p w:rsidR="0007523D" w:rsidRDefault="0007523D" w:rsidP="00C50E8B">
      <w:pPr>
        <w:rPr>
          <w:rFonts w:cs="Arial"/>
          <w:bCs/>
          <w:szCs w:val="20"/>
        </w:rPr>
      </w:pPr>
      <w:r w:rsidRPr="0007523D">
        <w:rPr>
          <w:rFonts w:cs="Arial"/>
          <w:bCs/>
          <w:szCs w:val="20"/>
        </w:rPr>
        <w:t xml:space="preserve">K meziročnímu růstu HDP pozitivně přispěly výdaje na konečnou spotřebu a tvorba hrubého kapitálu. </w:t>
      </w:r>
      <w:r>
        <w:rPr>
          <w:rFonts w:cs="Arial"/>
          <w:bCs/>
          <w:szCs w:val="20"/>
        </w:rPr>
        <w:t>Nadále však</w:t>
      </w:r>
      <w:r w:rsidRPr="0007523D">
        <w:rPr>
          <w:rFonts w:cs="Arial"/>
          <w:bCs/>
          <w:szCs w:val="20"/>
        </w:rPr>
        <w:t xml:space="preserve"> přetrvával negativní vliv zahraniční poptávky</w:t>
      </w:r>
      <w:r>
        <w:rPr>
          <w:rFonts w:cs="Arial"/>
          <w:bCs/>
          <w:szCs w:val="20"/>
        </w:rPr>
        <w:t>.</w:t>
      </w:r>
    </w:p>
    <w:p w:rsidR="00311F84" w:rsidRDefault="00311F84" w:rsidP="00C50E8B">
      <w:pPr>
        <w:rPr>
          <w:rFonts w:cs="Arial"/>
          <w:bCs/>
          <w:szCs w:val="20"/>
        </w:rPr>
      </w:pPr>
    </w:p>
    <w:p w:rsidR="00C50E8B" w:rsidRDefault="00D87917" w:rsidP="00C50E8B">
      <w:r>
        <w:rPr>
          <w:rFonts w:cs="Arial"/>
          <w:bCs/>
          <w:szCs w:val="20"/>
        </w:rPr>
        <w:t>Na meziročním růstu hrubé přidané hodnoty</w:t>
      </w:r>
      <w:r w:rsidR="00A128B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se </w:t>
      </w:r>
      <w:r w:rsidR="00770C35">
        <w:rPr>
          <w:rFonts w:cs="Arial"/>
          <w:bCs/>
          <w:szCs w:val="20"/>
        </w:rPr>
        <w:t xml:space="preserve">nejvíce </w:t>
      </w:r>
      <w:r w:rsidR="007D51A5">
        <w:rPr>
          <w:rFonts w:cs="Arial"/>
          <w:bCs/>
          <w:szCs w:val="20"/>
        </w:rPr>
        <w:t>pod</w:t>
      </w:r>
      <w:r>
        <w:rPr>
          <w:rFonts w:cs="Arial"/>
          <w:bCs/>
          <w:szCs w:val="20"/>
        </w:rPr>
        <w:t xml:space="preserve">ílela </w:t>
      </w:r>
      <w:r w:rsidR="00770C35" w:rsidRPr="00CA020A">
        <w:t>skupin</w:t>
      </w:r>
      <w:r>
        <w:t>a</w:t>
      </w:r>
      <w:r w:rsidR="00770C35">
        <w:t xml:space="preserve"> odvětví obchodu, dopravy, ubytování a pohostinství.</w:t>
      </w:r>
      <w:r w:rsidR="00A128B1">
        <w:t xml:space="preserve"> Dařilo se</w:t>
      </w:r>
      <w:r>
        <w:t xml:space="preserve"> stavebnictví</w:t>
      </w:r>
      <w:r w:rsidR="00A128B1">
        <w:t xml:space="preserve"> i většině odvětví služeb.</w:t>
      </w:r>
    </w:p>
    <w:p w:rsidR="00F35F8F" w:rsidRDefault="00F35F8F" w:rsidP="00C50E8B"/>
    <w:p w:rsidR="00F35F8F" w:rsidRPr="00311F84" w:rsidRDefault="00355425" w:rsidP="00F35F8F">
      <w:pPr>
        <w:rPr>
          <w:rFonts w:cs="Arial"/>
          <w:bCs/>
          <w:szCs w:val="20"/>
        </w:rPr>
      </w:pPr>
      <w:r w:rsidRPr="00355425">
        <w:rPr>
          <w:i/>
        </w:rPr>
        <w:t>„</w:t>
      </w:r>
      <w:r w:rsidR="005E170B">
        <w:rPr>
          <w:i/>
        </w:rPr>
        <w:t>Na výdajové straně k</w:t>
      </w:r>
      <w:bookmarkStart w:id="0" w:name="_GoBack"/>
      <w:bookmarkEnd w:id="0"/>
      <w:r w:rsidR="005E170B">
        <w:rPr>
          <w:i/>
        </w:rPr>
        <w:t> mezičtvrtletnímu růstu HDP přispěla pouze domácí poptávka. Mírný růst hrubé přidané hodnoty byl podpořen skupinou odvětví služeb, naopak průmysl a stavebnictví stagnovaly</w:t>
      </w:r>
      <w:r w:rsidRPr="00355425">
        <w:rPr>
          <w:rFonts w:cs="Arial"/>
          <w:bCs/>
          <w:i/>
          <w:szCs w:val="20"/>
        </w:rPr>
        <w:t>,</w:t>
      </w:r>
      <w:r w:rsidR="00F35F8F" w:rsidRPr="00355425">
        <w:rPr>
          <w:rFonts w:cs="Arial"/>
          <w:bCs/>
          <w:i/>
          <w:szCs w:val="20"/>
        </w:rPr>
        <w:t>“</w:t>
      </w:r>
      <w:r w:rsidR="00F35F8F">
        <w:rPr>
          <w:rFonts w:cs="Arial"/>
          <w:bCs/>
          <w:szCs w:val="20"/>
        </w:rPr>
        <w:t xml:space="preserve"> </w:t>
      </w:r>
      <w:r w:rsidR="00F35F8F" w:rsidRPr="00311F84">
        <w:rPr>
          <w:rFonts w:cs="Arial"/>
          <w:szCs w:val="20"/>
        </w:rPr>
        <w:t>sdělil Vladimír Kermiet, ředitel odboru národních účtů ČSÚ</w:t>
      </w:r>
      <w:r w:rsidR="00F35F8F" w:rsidRPr="00311F84">
        <w:rPr>
          <w:rFonts w:cs="Arial"/>
          <w:bCs/>
          <w:szCs w:val="20"/>
        </w:rPr>
        <w:t>.</w:t>
      </w:r>
    </w:p>
    <w:p w:rsidR="00355425" w:rsidRDefault="00355425" w:rsidP="00C50E8B">
      <w:pPr>
        <w:rPr>
          <w:bCs/>
        </w:rPr>
      </w:pPr>
    </w:p>
    <w:p w:rsidR="00770C35" w:rsidRDefault="00770C35" w:rsidP="00C50E8B"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 w:rsidR="004B41C8">
        <w:t xml:space="preserve"> </w:t>
      </w:r>
      <w:r w:rsidR="00BA09FD">
        <w:t xml:space="preserve">vzrostla </w:t>
      </w:r>
      <w:r>
        <w:t>mezičtvrtletně</w:t>
      </w:r>
      <w:r w:rsidR="004B41C8">
        <w:t xml:space="preserve"> o 1,4 %</w:t>
      </w:r>
      <w:r>
        <w:t xml:space="preserve"> a </w:t>
      </w:r>
      <w:r w:rsidR="004B41C8">
        <w:t xml:space="preserve">meziročně </w:t>
      </w:r>
      <w:r>
        <w:t>o </w:t>
      </w:r>
      <w:r w:rsidR="004B41C8">
        <w:t>2</w:t>
      </w:r>
      <w:r w:rsidRPr="00C10C30">
        <w:t>,</w:t>
      </w:r>
      <w:r w:rsidR="004B41C8">
        <w:t>3</w:t>
      </w:r>
      <w:r w:rsidRPr="00C10C30">
        <w:t> %.</w:t>
      </w:r>
    </w:p>
    <w:p w:rsidR="00770C35" w:rsidRPr="00304ECA" w:rsidRDefault="00770C35" w:rsidP="00770C35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lastRenderedPageBreak/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Ing. Vladimír Kermiet</w:t>
      </w:r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770C35" w:rsidRDefault="00770C35" w:rsidP="00770C35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9" w:history="1">
        <w:r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770C35" w:rsidRDefault="00770C35" w:rsidP="00770C35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>
        <w:t xml:space="preserve">26. </w:t>
      </w:r>
      <w:r w:rsidR="00F21A2B">
        <w:t>července</w:t>
      </w:r>
      <w:r>
        <w:t xml:space="preserve"> 202</w:t>
      </w:r>
      <w:r w:rsidR="005E266F">
        <w:t>2</w:t>
      </w:r>
    </w:p>
    <w:p w:rsidR="00770C35" w:rsidRPr="00D9330E" w:rsidRDefault="00770C35" w:rsidP="00770C35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770C35" w:rsidRPr="004920AD" w:rsidRDefault="00770C35" w:rsidP="00770C35">
      <w:pPr>
        <w:pStyle w:val="Poznamkytexty"/>
        <w:ind w:left="4253" w:hanging="4253"/>
        <w:jc w:val="left"/>
      </w:pPr>
      <w:r>
        <w:t>Termín zveřejnění další RI:</w:t>
      </w:r>
      <w:r>
        <w:tab/>
        <w:t>3</w:t>
      </w:r>
      <w:r w:rsidR="00F21A2B">
        <w:t>0</w:t>
      </w:r>
      <w:r>
        <w:t xml:space="preserve">. </w:t>
      </w:r>
      <w:r w:rsidR="00F21A2B">
        <w:t>srpna</w:t>
      </w:r>
      <w:r>
        <w:t xml:space="preserve"> 202</w:t>
      </w:r>
      <w:r w:rsidR="005E266F">
        <w:t>2</w:t>
      </w:r>
      <w:r>
        <w:t xml:space="preserve"> </w:t>
      </w:r>
      <w:r>
        <w:br/>
        <w:t xml:space="preserve">(Tvorba a užití HDP za </w:t>
      </w:r>
      <w:r w:rsidR="00F21A2B">
        <w:t>2</w:t>
      </w:r>
      <w:r>
        <w:t>. čtvrtletí 202</w:t>
      </w:r>
      <w:r w:rsidR="005E266F">
        <w:t>2</w:t>
      </w:r>
      <w:r>
        <w:t>)</w:t>
      </w:r>
    </w:p>
    <w:p w:rsidR="00D209A7" w:rsidRPr="00770C35" w:rsidRDefault="00D209A7" w:rsidP="00770C35"/>
    <w:sectPr w:rsidR="00D209A7" w:rsidRPr="00770C35" w:rsidSect="002F03BD">
      <w:headerReference w:type="default" r:id="rId11"/>
      <w:footerReference w:type="default" r:id="rId12"/>
      <w:pgSz w:w="11907" w:h="16839" w:code="9"/>
      <w:pgMar w:top="2836" w:right="1418" w:bottom="1843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3A" w:rsidRDefault="00E70E3A" w:rsidP="00BA6370">
      <w:r>
        <w:separator/>
      </w:r>
    </w:p>
  </w:endnote>
  <w:endnote w:type="continuationSeparator" w:id="0">
    <w:p w:rsidR="00E70E3A" w:rsidRDefault="00E70E3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2627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2627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67E9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3A" w:rsidRDefault="00E70E3A" w:rsidP="00BA6370">
      <w:r>
        <w:separator/>
      </w:r>
    </w:p>
  </w:footnote>
  <w:footnote w:type="continuationSeparator" w:id="0">
    <w:p w:rsidR="00E70E3A" w:rsidRDefault="00E70E3A" w:rsidP="00BA6370">
      <w:r>
        <w:continuationSeparator/>
      </w:r>
    </w:p>
  </w:footnote>
  <w:footnote w:id="1">
    <w:p w:rsidR="00770C35" w:rsidRPr="00943006" w:rsidRDefault="00770C35" w:rsidP="00770C35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770C35" w:rsidRPr="00943006" w:rsidRDefault="00770C35" w:rsidP="00770C3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81B6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7D21"/>
    <w:rsid w:val="00043BF4"/>
    <w:rsid w:val="000671A9"/>
    <w:rsid w:val="0007523D"/>
    <w:rsid w:val="000754C2"/>
    <w:rsid w:val="000843A5"/>
    <w:rsid w:val="000910DA"/>
    <w:rsid w:val="00096D6C"/>
    <w:rsid w:val="000B6F63"/>
    <w:rsid w:val="000D093F"/>
    <w:rsid w:val="000D3E39"/>
    <w:rsid w:val="000D6152"/>
    <w:rsid w:val="000E43CC"/>
    <w:rsid w:val="001378E6"/>
    <w:rsid w:val="001404AB"/>
    <w:rsid w:val="001511B3"/>
    <w:rsid w:val="00152BAF"/>
    <w:rsid w:val="0017231D"/>
    <w:rsid w:val="001810DC"/>
    <w:rsid w:val="00187632"/>
    <w:rsid w:val="001B607F"/>
    <w:rsid w:val="001C6DDE"/>
    <w:rsid w:val="001D369A"/>
    <w:rsid w:val="001E480A"/>
    <w:rsid w:val="001F08B3"/>
    <w:rsid w:val="001F2FE0"/>
    <w:rsid w:val="00200854"/>
    <w:rsid w:val="002070FB"/>
    <w:rsid w:val="00213729"/>
    <w:rsid w:val="002301BF"/>
    <w:rsid w:val="002406FA"/>
    <w:rsid w:val="00244039"/>
    <w:rsid w:val="00254511"/>
    <w:rsid w:val="0026107B"/>
    <w:rsid w:val="00275DF8"/>
    <w:rsid w:val="00283787"/>
    <w:rsid w:val="00284C2C"/>
    <w:rsid w:val="002B2E47"/>
    <w:rsid w:val="002D2649"/>
    <w:rsid w:val="002D7F4F"/>
    <w:rsid w:val="002F03BD"/>
    <w:rsid w:val="00311F84"/>
    <w:rsid w:val="00321A0B"/>
    <w:rsid w:val="00324416"/>
    <w:rsid w:val="003301A3"/>
    <w:rsid w:val="00355425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3576"/>
    <w:rsid w:val="003D529B"/>
    <w:rsid w:val="003F526A"/>
    <w:rsid w:val="00405244"/>
    <w:rsid w:val="004154C7"/>
    <w:rsid w:val="004436EE"/>
    <w:rsid w:val="0045547F"/>
    <w:rsid w:val="004569D5"/>
    <w:rsid w:val="00471DEF"/>
    <w:rsid w:val="00472310"/>
    <w:rsid w:val="004767C2"/>
    <w:rsid w:val="004920AD"/>
    <w:rsid w:val="0049316F"/>
    <w:rsid w:val="004B41C8"/>
    <w:rsid w:val="004C1BBB"/>
    <w:rsid w:val="004D05B3"/>
    <w:rsid w:val="004E479E"/>
    <w:rsid w:val="004E7B34"/>
    <w:rsid w:val="004F134E"/>
    <w:rsid w:val="004F2EB1"/>
    <w:rsid w:val="004F686C"/>
    <w:rsid w:val="004F78E6"/>
    <w:rsid w:val="0050420E"/>
    <w:rsid w:val="00512D99"/>
    <w:rsid w:val="005211E4"/>
    <w:rsid w:val="00526271"/>
    <w:rsid w:val="00531644"/>
    <w:rsid w:val="00531DBB"/>
    <w:rsid w:val="00573994"/>
    <w:rsid w:val="00585F13"/>
    <w:rsid w:val="005E007D"/>
    <w:rsid w:val="005E170B"/>
    <w:rsid w:val="005E266F"/>
    <w:rsid w:val="005E7011"/>
    <w:rsid w:val="005F79FB"/>
    <w:rsid w:val="00604406"/>
    <w:rsid w:val="00605F4A"/>
    <w:rsid w:val="00607822"/>
    <w:rsid w:val="006103AA"/>
    <w:rsid w:val="00613BBF"/>
    <w:rsid w:val="00622B80"/>
    <w:rsid w:val="0064139A"/>
    <w:rsid w:val="00680927"/>
    <w:rsid w:val="00683F5C"/>
    <w:rsid w:val="00692211"/>
    <w:rsid w:val="006931CF"/>
    <w:rsid w:val="006C05CC"/>
    <w:rsid w:val="006C0678"/>
    <w:rsid w:val="006D21EB"/>
    <w:rsid w:val="006E024F"/>
    <w:rsid w:val="006E4E81"/>
    <w:rsid w:val="007048E3"/>
    <w:rsid w:val="00707F7D"/>
    <w:rsid w:val="00717EC5"/>
    <w:rsid w:val="00734E3E"/>
    <w:rsid w:val="00754C20"/>
    <w:rsid w:val="00770C35"/>
    <w:rsid w:val="007A2048"/>
    <w:rsid w:val="007A57F2"/>
    <w:rsid w:val="007B1333"/>
    <w:rsid w:val="007C771E"/>
    <w:rsid w:val="007D51A5"/>
    <w:rsid w:val="007D6941"/>
    <w:rsid w:val="007F4AEB"/>
    <w:rsid w:val="007F75B2"/>
    <w:rsid w:val="00803993"/>
    <w:rsid w:val="008043C4"/>
    <w:rsid w:val="00817ADC"/>
    <w:rsid w:val="00831B1B"/>
    <w:rsid w:val="00844154"/>
    <w:rsid w:val="00855FB3"/>
    <w:rsid w:val="00861D0E"/>
    <w:rsid w:val="00862A04"/>
    <w:rsid w:val="008662BB"/>
    <w:rsid w:val="00867569"/>
    <w:rsid w:val="00870B17"/>
    <w:rsid w:val="0087262D"/>
    <w:rsid w:val="00884917"/>
    <w:rsid w:val="00896680"/>
    <w:rsid w:val="008976A5"/>
    <w:rsid w:val="008A750A"/>
    <w:rsid w:val="008B3970"/>
    <w:rsid w:val="008C384C"/>
    <w:rsid w:val="008D0F11"/>
    <w:rsid w:val="008D5290"/>
    <w:rsid w:val="008D7206"/>
    <w:rsid w:val="008F24E5"/>
    <w:rsid w:val="008F7395"/>
    <w:rsid w:val="008F73B4"/>
    <w:rsid w:val="00904B72"/>
    <w:rsid w:val="00930BA9"/>
    <w:rsid w:val="009322A4"/>
    <w:rsid w:val="0094322B"/>
    <w:rsid w:val="00981D35"/>
    <w:rsid w:val="00986DD7"/>
    <w:rsid w:val="009B55B1"/>
    <w:rsid w:val="009B62A7"/>
    <w:rsid w:val="00A06AD5"/>
    <w:rsid w:val="00A0762A"/>
    <w:rsid w:val="00A1095E"/>
    <w:rsid w:val="00A128B1"/>
    <w:rsid w:val="00A15612"/>
    <w:rsid w:val="00A16A1F"/>
    <w:rsid w:val="00A25FB7"/>
    <w:rsid w:val="00A31C2D"/>
    <w:rsid w:val="00A4343D"/>
    <w:rsid w:val="00A502F1"/>
    <w:rsid w:val="00A70A83"/>
    <w:rsid w:val="00A81EB3"/>
    <w:rsid w:val="00A955BC"/>
    <w:rsid w:val="00AB3410"/>
    <w:rsid w:val="00AD04BF"/>
    <w:rsid w:val="00AD7489"/>
    <w:rsid w:val="00B00C1D"/>
    <w:rsid w:val="00B55375"/>
    <w:rsid w:val="00B632CC"/>
    <w:rsid w:val="00B82AB1"/>
    <w:rsid w:val="00B93527"/>
    <w:rsid w:val="00BA09FD"/>
    <w:rsid w:val="00BA12F1"/>
    <w:rsid w:val="00BA439F"/>
    <w:rsid w:val="00BA6370"/>
    <w:rsid w:val="00BC706A"/>
    <w:rsid w:val="00BF7B16"/>
    <w:rsid w:val="00C009CE"/>
    <w:rsid w:val="00C269D4"/>
    <w:rsid w:val="00C31C8E"/>
    <w:rsid w:val="00C35900"/>
    <w:rsid w:val="00C37ADB"/>
    <w:rsid w:val="00C4160D"/>
    <w:rsid w:val="00C50E8B"/>
    <w:rsid w:val="00C8406E"/>
    <w:rsid w:val="00CA2DB0"/>
    <w:rsid w:val="00CB2709"/>
    <w:rsid w:val="00CB6F89"/>
    <w:rsid w:val="00CC0AE9"/>
    <w:rsid w:val="00CC6BC1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448C2"/>
    <w:rsid w:val="00D542D7"/>
    <w:rsid w:val="00D62B6D"/>
    <w:rsid w:val="00D666C3"/>
    <w:rsid w:val="00D67AAE"/>
    <w:rsid w:val="00D87917"/>
    <w:rsid w:val="00D9189F"/>
    <w:rsid w:val="00DC014F"/>
    <w:rsid w:val="00DD6F49"/>
    <w:rsid w:val="00DF0E94"/>
    <w:rsid w:val="00DF47FE"/>
    <w:rsid w:val="00E0156A"/>
    <w:rsid w:val="00E13264"/>
    <w:rsid w:val="00E256DA"/>
    <w:rsid w:val="00E26704"/>
    <w:rsid w:val="00E31980"/>
    <w:rsid w:val="00E6423C"/>
    <w:rsid w:val="00E70E3A"/>
    <w:rsid w:val="00E93830"/>
    <w:rsid w:val="00E93E0E"/>
    <w:rsid w:val="00E960EF"/>
    <w:rsid w:val="00EB1ED3"/>
    <w:rsid w:val="00ED5A9F"/>
    <w:rsid w:val="00F04EC3"/>
    <w:rsid w:val="00F21A2B"/>
    <w:rsid w:val="00F35F8F"/>
    <w:rsid w:val="00F60982"/>
    <w:rsid w:val="00F72DE7"/>
    <w:rsid w:val="00F73827"/>
    <w:rsid w:val="00F75F2A"/>
    <w:rsid w:val="00FB687C"/>
    <w:rsid w:val="00FF37CD"/>
    <w:rsid w:val="00FF55C0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37AE61B2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70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2\2Q\T30\Graf_RI_T30_2Q22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data!$G$4</c:f>
              <c:strCache>
                <c:ptCount val="1"/>
                <c:pt idx="0">
                  <c:v>Hrubý domácí produkt
Gross domestic product 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data!$B$75:$C$112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data!$G$75:$G$112</c:f>
              <c:numCache>
                <c:formatCode>#\ ##0.0</c:formatCode>
                <c:ptCount val="38"/>
                <c:pt idx="0">
                  <c:v>-1.4371188673953412</c:v>
                </c:pt>
                <c:pt idx="1">
                  <c:v>-0.54201759043044717</c:v>
                </c:pt>
                <c:pt idx="2">
                  <c:v>0.24722671302646404</c:v>
                </c:pt>
                <c:pt idx="3">
                  <c:v>1.5823624133539056</c:v>
                </c:pt>
                <c:pt idx="4">
                  <c:v>1.4569279637957351</c:v>
                </c:pt>
                <c:pt idx="5">
                  <c:v>2.0307271782242822</c:v>
                </c:pt>
                <c:pt idx="6">
                  <c:v>2.8019890527146316</c:v>
                </c:pt>
                <c:pt idx="7">
                  <c:v>2.7398907211888996</c:v>
                </c:pt>
                <c:pt idx="8">
                  <c:v>5.2625750083517033</c:v>
                </c:pt>
                <c:pt idx="9">
                  <c:v>5.7040489994861048</c:v>
                </c:pt>
                <c:pt idx="10">
                  <c:v>5.7265806487638855</c:v>
                </c:pt>
                <c:pt idx="11">
                  <c:v>5.1483356307124382</c:v>
                </c:pt>
                <c:pt idx="12">
                  <c:v>3.3561473070734138</c:v>
                </c:pt>
                <c:pt idx="13">
                  <c:v>2.3091959917000082</c:v>
                </c:pt>
                <c:pt idx="14">
                  <c:v>1.9918473659531628</c:v>
                </c:pt>
                <c:pt idx="15">
                  <c:v>2.1722730142149658</c:v>
                </c:pt>
                <c:pt idx="16">
                  <c:v>3.695024939296502</c:v>
                </c:pt>
                <c:pt idx="17">
                  <c:v>5.9154748938585584</c:v>
                </c:pt>
                <c:pt idx="18">
                  <c:v>5.8516412927584582</c:v>
                </c:pt>
                <c:pt idx="19">
                  <c:v>5.8958110920111153</c:v>
                </c:pt>
                <c:pt idx="20">
                  <c:v>4.7409332982438741</c:v>
                </c:pt>
                <c:pt idx="21">
                  <c:v>2.821338885097731</c:v>
                </c:pt>
                <c:pt idx="22">
                  <c:v>2.6959141687858903</c:v>
                </c:pt>
                <c:pt idx="23">
                  <c:v>2.6197437017841025</c:v>
                </c:pt>
                <c:pt idx="24">
                  <c:v>2.9978799448777949</c:v>
                </c:pt>
                <c:pt idx="25">
                  <c:v>3.0712313540949907</c:v>
                </c:pt>
                <c:pt idx="26">
                  <c:v>3.0292239015638387</c:v>
                </c:pt>
                <c:pt idx="27">
                  <c:v>2.7681270582493624</c:v>
                </c:pt>
                <c:pt idx="28">
                  <c:v>-1.4629386956710846</c:v>
                </c:pt>
                <c:pt idx="29">
                  <c:v>-10.78290466571336</c:v>
                </c:pt>
                <c:pt idx="30">
                  <c:v>-5.2159569739525011</c:v>
                </c:pt>
                <c:pt idx="31">
                  <c:v>-4.5960804470275178</c:v>
                </c:pt>
                <c:pt idx="32">
                  <c:v>-1.9073894441670518</c:v>
                </c:pt>
                <c:pt idx="33">
                  <c:v>9.1293353391871648</c:v>
                </c:pt>
                <c:pt idx="34">
                  <c:v>3.7680361202100983</c:v>
                </c:pt>
                <c:pt idx="35">
                  <c:v>3.4666809246014765</c:v>
                </c:pt>
                <c:pt idx="36">
                  <c:v>4.8187168843322468</c:v>
                </c:pt>
                <c:pt idx="37">
                  <c:v>3.5759213973581865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2-4B0E-AA8B-8566C0D14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9682210806195898"/>
              <c:y val="0.90533307136991759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Hrubý domácí produkt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meziroční reálná změna, sezónně očištěno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0.04651</cdr:x>
      <cdr:y>0.93868</cdr:y>
    </cdr:from>
    <cdr:to>
      <cdr:x>0.52372</cdr:x>
      <cdr:y>0.96538</cdr:y>
    </cdr:to>
    <cdr:sp macro="" textlink="">
      <cdr:nvSpPr>
        <cdr:cNvPr id="6" name="TextovéPole 3"/>
        <cdr:cNvSpPr txBox="1"/>
      </cdr:nvSpPr>
      <cdr:spPr>
        <a:xfrm xmlns:a="http://schemas.openxmlformats.org/drawingml/2006/main">
          <a:off x="476217" y="6714628"/>
          <a:ext cx="4886332" cy="1909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600">
              <a:latin typeface="Arial" panose="020B0604020202020204" pitchFamily="34" charset="0"/>
              <a:cs typeface="Arial" panose="020B0604020202020204" pitchFamily="34" charset="0"/>
            </a:rPr>
            <a:t>Poznámka: Údaje do 1. čtvrtletí 2022 platné k 30.6.2022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8585-1063-4385-8049-DC370DAD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Krump Jiří</cp:lastModifiedBy>
  <cp:revision>2</cp:revision>
  <dcterms:created xsi:type="dcterms:W3CDTF">2022-07-28T08:18:00Z</dcterms:created>
  <dcterms:modified xsi:type="dcterms:W3CDTF">2022-07-28T08:18:00Z</dcterms:modified>
</cp:coreProperties>
</file>