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C196727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0E1613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0E1613">
        <w:rPr>
          <w:rFonts w:cs="Arial"/>
          <w:b/>
          <w:sz w:val="18"/>
        </w:rPr>
        <w:t>1</w:t>
      </w:r>
      <w:r w:rsidR="00C55327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341C4D65" w14:textId="6EECF53F" w:rsidR="00B328BA" w:rsidRDefault="001713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meziměsíčně mírně zvýšila</w:t>
      </w:r>
    </w:p>
    <w:p w14:paraId="1D71B660" w14:textId="1ADD7441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C55327">
        <w:rPr>
          <w:rFonts w:eastAsia="Times New Roman"/>
          <w:b/>
          <w:bCs/>
          <w:sz w:val="28"/>
          <w:szCs w:val="28"/>
        </w:rPr>
        <w:t>listopad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6D15F72E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E31DB5">
        <w:rPr>
          <w:rFonts w:cs="Arial"/>
          <w:b/>
          <w:szCs w:val="18"/>
        </w:rPr>
        <w:t xml:space="preserve">ve srovnání </w:t>
      </w:r>
      <w:r w:rsidR="00171328">
        <w:rPr>
          <w:rFonts w:cs="Arial"/>
          <w:b/>
          <w:szCs w:val="18"/>
        </w:rPr>
        <w:t>s říjnem</w:t>
      </w:r>
      <w:r w:rsidR="00B328BA" w:rsidRPr="007E1180">
        <w:rPr>
          <w:rFonts w:cs="Arial"/>
          <w:b/>
          <w:szCs w:val="18"/>
        </w:rPr>
        <w:t xml:space="preserve"> </w:t>
      </w:r>
      <w:r w:rsidR="000E39C3">
        <w:rPr>
          <w:rFonts w:cs="Arial"/>
          <w:b/>
          <w:szCs w:val="18"/>
        </w:rPr>
        <w:t xml:space="preserve">mírně </w:t>
      </w:r>
      <w:r w:rsidR="00171328">
        <w:rPr>
          <w:rFonts w:cs="Arial"/>
          <w:b/>
          <w:szCs w:val="18"/>
        </w:rPr>
        <w:t>zvýšil</w:t>
      </w:r>
      <w:r w:rsidRPr="007E1180">
        <w:rPr>
          <w:rFonts w:cs="Arial"/>
          <w:b/>
          <w:szCs w:val="18"/>
        </w:rPr>
        <w:t xml:space="preserve"> o </w:t>
      </w:r>
      <w:r w:rsidR="000E39C3">
        <w:rPr>
          <w:rFonts w:cs="Arial"/>
          <w:b/>
          <w:szCs w:val="18"/>
        </w:rPr>
        <w:t>0,3</w:t>
      </w:r>
      <w:r w:rsidRPr="007E1180">
        <w:rPr>
          <w:rFonts w:cs="Arial"/>
          <w:b/>
          <w:szCs w:val="18"/>
        </w:rPr>
        <w:t xml:space="preserve"> bodu na hodnotu </w:t>
      </w:r>
      <w:r w:rsidR="00171328">
        <w:rPr>
          <w:rFonts w:cs="Arial"/>
          <w:b/>
          <w:szCs w:val="18"/>
        </w:rPr>
        <w:t>90,1</w:t>
      </w:r>
      <w:r w:rsidRPr="007E1180">
        <w:rPr>
          <w:rFonts w:cs="Arial"/>
          <w:b/>
          <w:szCs w:val="18"/>
        </w:rPr>
        <w:t xml:space="preserve">, při </w:t>
      </w:r>
      <w:r w:rsidR="00171328">
        <w:rPr>
          <w:rFonts w:cs="Arial"/>
          <w:b/>
          <w:szCs w:val="18"/>
        </w:rPr>
        <w:t>rozdílném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171328">
        <w:rPr>
          <w:rFonts w:cs="Arial"/>
          <w:b/>
          <w:szCs w:val="18"/>
        </w:rPr>
        <w:t>jeho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se snížil </w:t>
      </w:r>
      <w:r w:rsidRPr="008F0570">
        <w:rPr>
          <w:rFonts w:cs="Arial"/>
          <w:b/>
          <w:szCs w:val="18"/>
        </w:rPr>
        <w:t xml:space="preserve">o </w:t>
      </w:r>
      <w:r w:rsidR="000E39C3">
        <w:rPr>
          <w:rFonts w:cs="Arial"/>
          <w:b/>
          <w:szCs w:val="18"/>
        </w:rPr>
        <w:t>0,</w:t>
      </w:r>
      <w:r w:rsidR="00171328">
        <w:rPr>
          <w:rFonts w:cs="Arial"/>
          <w:b/>
          <w:szCs w:val="18"/>
        </w:rPr>
        <w:t xml:space="preserve">4 </w:t>
      </w:r>
      <w:r w:rsidRPr="008F0570">
        <w:rPr>
          <w:rFonts w:cs="Arial"/>
          <w:b/>
          <w:szCs w:val="18"/>
        </w:rPr>
        <w:t xml:space="preserve">bodu na hodnotu </w:t>
      </w:r>
      <w:r w:rsidR="00171328">
        <w:rPr>
          <w:rFonts w:cs="Arial"/>
          <w:b/>
          <w:szCs w:val="18"/>
        </w:rPr>
        <w:t>93,0</w:t>
      </w:r>
      <w:r w:rsidR="00B328BA">
        <w:rPr>
          <w:rFonts w:cs="Arial"/>
          <w:b/>
          <w:szCs w:val="18"/>
        </w:rPr>
        <w:t xml:space="preserve"> a</w:t>
      </w:r>
      <w:r w:rsidR="00B168D4">
        <w:rPr>
          <w:rFonts w:cs="Arial"/>
          <w:b/>
          <w:szCs w:val="18"/>
        </w:rPr>
        <w:t> 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171328">
        <w:rPr>
          <w:rFonts w:cs="Arial"/>
          <w:b/>
          <w:szCs w:val="18"/>
        </w:rPr>
        <w:t>vzrostl</w:t>
      </w:r>
      <w:r w:rsidR="00E31DB5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o </w:t>
      </w:r>
      <w:r w:rsidR="00171328">
        <w:rPr>
          <w:rFonts w:cs="Arial"/>
          <w:b/>
          <w:szCs w:val="18"/>
        </w:rPr>
        <w:t>4,1</w:t>
      </w:r>
      <w:r w:rsidRPr="007E1180">
        <w:rPr>
          <w:rFonts w:cs="Arial"/>
          <w:b/>
          <w:szCs w:val="18"/>
        </w:rPr>
        <w:t xml:space="preserve"> bodu na hodnotu </w:t>
      </w:r>
      <w:r w:rsidR="00171328">
        <w:rPr>
          <w:rFonts w:cs="Arial"/>
          <w:b/>
          <w:szCs w:val="18"/>
        </w:rPr>
        <w:t>76,0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1EA03B43" w:rsidR="00CF484D" w:rsidRDefault="00171328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6B7EB7B7" wp14:editId="42AE4BB7">
            <wp:extent cx="5444490" cy="3806659"/>
            <wp:effectExtent l="0" t="0" r="381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62" cy="381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3C365F28" w:rsidR="00CF484D" w:rsidRPr="00201ABC" w:rsidRDefault="00171328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listopadu se důvěra v ekonomiku mezi podnikateli snížila v</w:t>
      </w:r>
      <w:r w:rsidR="00C063B9">
        <w:rPr>
          <w:rFonts w:cs="Arial"/>
          <w:szCs w:val="18"/>
        </w:rPr>
        <w:t>e všech odvětvích s výjimkou stavebnictví</w:t>
      </w:r>
      <w:r>
        <w:rPr>
          <w:rFonts w:cs="Arial"/>
          <w:szCs w:val="18"/>
        </w:rPr>
        <w:t>.</w:t>
      </w:r>
      <w:r w:rsidR="00D56088">
        <w:rPr>
          <w:rFonts w:cs="Arial"/>
          <w:szCs w:val="18"/>
        </w:rPr>
        <w:t xml:space="preserve"> </w:t>
      </w:r>
    </w:p>
    <w:p w14:paraId="376E3B19" w14:textId="378D64CF" w:rsidR="00CF484D" w:rsidRDefault="0042395C" w:rsidP="00CF484D">
      <w:r>
        <w:rPr>
          <w:i/>
          <w:iCs/>
        </w:rPr>
        <w:t>„</w:t>
      </w:r>
      <w:r w:rsidR="00D537C2">
        <w:rPr>
          <w:i/>
          <w:iCs/>
        </w:rPr>
        <w:t xml:space="preserve">Největší váhu v indikátoru důvěry podnikatelů má průmysl, kde </w:t>
      </w:r>
      <w:r w:rsidR="00C34E62">
        <w:rPr>
          <w:i/>
          <w:iCs/>
        </w:rPr>
        <w:t>důvěra</w:t>
      </w:r>
      <w:r w:rsidR="00D537C2">
        <w:rPr>
          <w:i/>
          <w:iCs/>
        </w:rPr>
        <w:t xml:space="preserve"> </w:t>
      </w:r>
      <w:r w:rsidR="00C34E62">
        <w:rPr>
          <w:i/>
          <w:iCs/>
        </w:rPr>
        <w:t xml:space="preserve">v ekonomiku </w:t>
      </w:r>
      <w:r w:rsidR="00D537C2">
        <w:rPr>
          <w:i/>
          <w:iCs/>
        </w:rPr>
        <w:t>nepřetržitě klesá</w:t>
      </w:r>
      <w:r w:rsidR="00C34E62">
        <w:rPr>
          <w:i/>
          <w:iCs/>
        </w:rPr>
        <w:t xml:space="preserve"> již od června. </w:t>
      </w:r>
      <w:r w:rsidR="00D537C2">
        <w:rPr>
          <w:i/>
          <w:iCs/>
        </w:rPr>
        <w:t xml:space="preserve">Důvodem je </w:t>
      </w:r>
      <w:r w:rsidR="0026776E">
        <w:rPr>
          <w:i/>
          <w:iCs/>
        </w:rPr>
        <w:t xml:space="preserve">nejen </w:t>
      </w:r>
      <w:r w:rsidR="00D537C2">
        <w:rPr>
          <w:i/>
          <w:iCs/>
        </w:rPr>
        <w:t xml:space="preserve">klesající poptávka, </w:t>
      </w:r>
      <w:r w:rsidR="008018D8">
        <w:rPr>
          <w:i/>
          <w:iCs/>
        </w:rPr>
        <w:t>která se projevuje</w:t>
      </w:r>
      <w:r w:rsidR="0026776E">
        <w:rPr>
          <w:i/>
          <w:iCs/>
        </w:rPr>
        <w:t xml:space="preserve"> také </w:t>
      </w:r>
      <w:r w:rsidR="008018D8">
        <w:rPr>
          <w:i/>
          <w:iCs/>
        </w:rPr>
        <w:t xml:space="preserve">sníženou očekávanou </w:t>
      </w:r>
      <w:r w:rsidR="00D537C2">
        <w:rPr>
          <w:i/>
          <w:iCs/>
        </w:rPr>
        <w:t>výrob</w:t>
      </w:r>
      <w:r w:rsidR="008018D8">
        <w:rPr>
          <w:i/>
          <w:iCs/>
        </w:rPr>
        <w:t>ou</w:t>
      </w:r>
      <w:r w:rsidR="0026776E">
        <w:rPr>
          <w:i/>
          <w:iCs/>
        </w:rPr>
        <w:t xml:space="preserve">, ale i v setrvalém </w:t>
      </w:r>
      <w:r w:rsidR="00C34E62">
        <w:rPr>
          <w:i/>
          <w:iCs/>
        </w:rPr>
        <w:t>r</w:t>
      </w:r>
      <w:r w:rsidR="00D537C2">
        <w:rPr>
          <w:i/>
          <w:iCs/>
        </w:rPr>
        <w:t>ů</w:t>
      </w:r>
      <w:r w:rsidR="00C34E62">
        <w:rPr>
          <w:i/>
          <w:iCs/>
        </w:rPr>
        <w:t>st</w:t>
      </w:r>
      <w:r w:rsidR="0026776E">
        <w:rPr>
          <w:i/>
          <w:iCs/>
        </w:rPr>
        <w:t>u</w:t>
      </w:r>
      <w:r w:rsidR="00C34E62">
        <w:rPr>
          <w:i/>
          <w:iCs/>
        </w:rPr>
        <w:t xml:space="preserve"> p</w:t>
      </w:r>
      <w:r w:rsidR="00C34E62" w:rsidRPr="00C34E62">
        <w:rPr>
          <w:i/>
        </w:rPr>
        <w:t>očt</w:t>
      </w:r>
      <w:r w:rsidR="00D537C2">
        <w:rPr>
          <w:i/>
        </w:rPr>
        <w:t>u</w:t>
      </w:r>
      <w:r w:rsidR="00C34E62" w:rsidRPr="00C34E62">
        <w:rPr>
          <w:i/>
        </w:rPr>
        <w:t xml:space="preserve"> podnik</w:t>
      </w:r>
      <w:r w:rsidR="00D537C2">
        <w:rPr>
          <w:i/>
        </w:rPr>
        <w:t>atelů</w:t>
      </w:r>
      <w:r w:rsidR="00C34E62" w:rsidRPr="00C34E62">
        <w:rPr>
          <w:i/>
        </w:rPr>
        <w:t>, kte</w:t>
      </w:r>
      <w:r w:rsidR="00D537C2">
        <w:rPr>
          <w:i/>
        </w:rPr>
        <w:t>ří</w:t>
      </w:r>
      <w:r w:rsidR="00C34E62" w:rsidRPr="00C34E62">
        <w:rPr>
          <w:i/>
        </w:rPr>
        <w:t xml:space="preserve"> </w:t>
      </w:r>
      <w:r w:rsidR="0026776E">
        <w:rPr>
          <w:i/>
        </w:rPr>
        <w:t xml:space="preserve">v </w:t>
      </w:r>
      <w:r w:rsidR="0026776E" w:rsidRPr="0026776E">
        <w:rPr>
          <w:i/>
        </w:rPr>
        <w:t xml:space="preserve">posledních měsících </w:t>
      </w:r>
      <w:r w:rsidR="00C34E62" w:rsidRPr="00C34E62">
        <w:rPr>
          <w:i/>
        </w:rPr>
        <w:t xml:space="preserve">zvažují </w:t>
      </w:r>
      <w:r w:rsidR="00D537C2">
        <w:rPr>
          <w:i/>
        </w:rPr>
        <w:t xml:space="preserve">snižování </w:t>
      </w:r>
      <w:r w:rsidR="00C34E62">
        <w:rPr>
          <w:i/>
        </w:rPr>
        <w:t>počt</w:t>
      </w:r>
      <w:r w:rsidR="00D537C2">
        <w:rPr>
          <w:i/>
        </w:rPr>
        <w:t>u</w:t>
      </w:r>
      <w:r w:rsidR="00C34E62">
        <w:rPr>
          <w:i/>
        </w:rPr>
        <w:t xml:space="preserve"> zaměstnanců</w:t>
      </w:r>
      <w:r w:rsidR="00E34133" w:rsidRPr="00171328">
        <w:rPr>
          <w:i/>
          <w:iCs/>
        </w:rPr>
        <w:t>,</w:t>
      </w:r>
      <w:r>
        <w:rPr>
          <w:i/>
          <w:iCs/>
        </w:rPr>
        <w:t>“</w:t>
      </w:r>
      <w:r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7EB895B8" w:rsidR="00CF484D" w:rsidRPr="003E5321" w:rsidRDefault="007B2176" w:rsidP="00CF484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Důvěra v ekonomiku </w:t>
      </w:r>
      <w:r w:rsidR="00393EFD">
        <w:rPr>
          <w:color w:val="000000" w:themeColor="text1"/>
        </w:rPr>
        <w:t>m</w:t>
      </w:r>
      <w:r w:rsidR="004868FF" w:rsidRPr="004868FF">
        <w:rPr>
          <w:color w:val="000000" w:themeColor="text1"/>
        </w:rPr>
        <w:t>ezi</w:t>
      </w:r>
      <w:r w:rsidR="004868FF">
        <w:rPr>
          <w:b/>
          <w:color w:val="000000" w:themeColor="text1"/>
        </w:rPr>
        <w:t xml:space="preserve"> spotřebiteli</w:t>
      </w:r>
      <w:r w:rsidR="00CF484D" w:rsidRPr="003E5321">
        <w:rPr>
          <w:color w:val="000000" w:themeColor="text1"/>
        </w:rPr>
        <w:t xml:space="preserve"> </w:t>
      </w:r>
      <w:r w:rsidR="00C063B9">
        <w:rPr>
          <w:color w:val="000000" w:themeColor="text1"/>
        </w:rPr>
        <w:t xml:space="preserve">se </w:t>
      </w:r>
      <w:r>
        <w:rPr>
          <w:color w:val="000000" w:themeColor="text1"/>
        </w:rPr>
        <w:t xml:space="preserve">v listopadu </w:t>
      </w:r>
      <w:r w:rsidR="0064421D">
        <w:rPr>
          <w:color w:val="000000" w:themeColor="text1"/>
        </w:rPr>
        <w:t xml:space="preserve">odrazila ode dna a </w:t>
      </w:r>
      <w:r>
        <w:rPr>
          <w:color w:val="000000" w:themeColor="text1"/>
        </w:rPr>
        <w:t xml:space="preserve">meziměsíčně </w:t>
      </w:r>
      <w:r w:rsidR="0064421D">
        <w:rPr>
          <w:color w:val="000000" w:themeColor="text1"/>
        </w:rPr>
        <w:t xml:space="preserve">vzrostla o </w:t>
      </w:r>
      <w:r w:rsidR="00B168D4">
        <w:rPr>
          <w:color w:val="000000" w:themeColor="text1"/>
        </w:rPr>
        <w:t> </w:t>
      </w:r>
      <w:r w:rsidR="0064421D">
        <w:rPr>
          <w:color w:val="000000" w:themeColor="text1"/>
        </w:rPr>
        <w:t>4,1 bodu</w:t>
      </w:r>
      <w:r w:rsidR="007B2812">
        <w:rPr>
          <w:color w:val="000000" w:themeColor="text1"/>
        </w:rPr>
        <w:t xml:space="preserve">. </w:t>
      </w:r>
      <w:r w:rsidR="004868FF">
        <w:rPr>
          <w:color w:val="000000" w:themeColor="text1"/>
        </w:rPr>
        <w:t xml:space="preserve">Respondenti </w:t>
      </w:r>
      <w:r w:rsidR="00393EFD">
        <w:rPr>
          <w:color w:val="000000" w:themeColor="text1"/>
        </w:rPr>
        <w:t xml:space="preserve">se </w:t>
      </w:r>
      <w:r>
        <w:rPr>
          <w:color w:val="000000" w:themeColor="text1"/>
        </w:rPr>
        <w:t>ve srovnání s říjnem méně</w:t>
      </w:r>
      <w:r w:rsidR="00393EFD">
        <w:rPr>
          <w:color w:val="000000" w:themeColor="text1"/>
        </w:rPr>
        <w:t xml:space="preserve"> </w:t>
      </w:r>
      <w:r w:rsidR="004868FF">
        <w:rPr>
          <w:color w:val="000000" w:themeColor="text1"/>
        </w:rPr>
        <w:t xml:space="preserve">obávají zhoršení </w:t>
      </w:r>
      <w:r w:rsidR="004868FF" w:rsidRPr="004027C9">
        <w:rPr>
          <w:i/>
          <w:color w:val="000000" w:themeColor="text1"/>
        </w:rPr>
        <w:t>celkové ekonomické situace</w:t>
      </w:r>
      <w:r w:rsidR="004868FF">
        <w:rPr>
          <w:color w:val="000000" w:themeColor="text1"/>
        </w:rPr>
        <w:t xml:space="preserve"> i jejich </w:t>
      </w:r>
      <w:r w:rsidR="004868FF" w:rsidRPr="004027C9">
        <w:rPr>
          <w:i/>
          <w:color w:val="000000" w:themeColor="text1"/>
        </w:rPr>
        <w:t xml:space="preserve">vlastní finanční </w:t>
      </w:r>
      <w:r w:rsidR="00393EFD">
        <w:rPr>
          <w:i/>
          <w:color w:val="000000" w:themeColor="text1"/>
        </w:rPr>
        <w:t>situace.</w:t>
      </w:r>
      <w:r w:rsidR="004868FF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7E3BA9">
        <w:rPr>
          <w:color w:val="000000" w:themeColor="text1"/>
        </w:rPr>
        <w:t xml:space="preserve">očet respondentů hodnotících svou finanční situaci hůře ve srovnání s obdobím </w:t>
      </w:r>
      <w:r w:rsidR="00786FC9">
        <w:rPr>
          <w:color w:val="000000" w:themeColor="text1"/>
        </w:rPr>
        <w:t xml:space="preserve">předcházejících dvanácti </w:t>
      </w:r>
      <w:r w:rsidR="007E3BA9">
        <w:rPr>
          <w:color w:val="000000" w:themeColor="text1"/>
        </w:rPr>
        <w:t>měsíců</w:t>
      </w:r>
      <w:r>
        <w:rPr>
          <w:color w:val="000000" w:themeColor="text1"/>
        </w:rPr>
        <w:t xml:space="preserve"> se téměř nezměnil a zůstává stále vysoký</w:t>
      </w:r>
      <w:r w:rsidR="007E3BA9">
        <w:rPr>
          <w:color w:val="000000" w:themeColor="text1"/>
        </w:rPr>
        <w:t xml:space="preserve">. </w:t>
      </w:r>
      <w:r w:rsidR="00B0500D">
        <w:rPr>
          <w:color w:val="000000" w:themeColor="text1"/>
        </w:rPr>
        <w:t>P</w:t>
      </w:r>
      <w:r w:rsidR="00393EFD">
        <w:rPr>
          <w:color w:val="000000" w:themeColor="text1"/>
        </w:rPr>
        <w:t>očet respondentů, kteří neshledávají současnou dobu vhodnou k pořizování</w:t>
      </w:r>
      <w:r w:rsidR="004027C9" w:rsidRPr="007E1180">
        <w:rPr>
          <w:rFonts w:eastAsia="Times New Roman"/>
          <w:bCs/>
          <w:szCs w:val="20"/>
        </w:rPr>
        <w:t xml:space="preserve"> </w:t>
      </w:r>
      <w:r w:rsidR="004027C9" w:rsidRPr="007E1180">
        <w:rPr>
          <w:rFonts w:eastAsia="Times New Roman"/>
          <w:bCs/>
          <w:i/>
          <w:szCs w:val="20"/>
        </w:rPr>
        <w:t>velkých nákupů</w:t>
      </w:r>
      <w:r w:rsidR="00786FC9">
        <w:rPr>
          <w:rFonts w:eastAsia="Times New Roman"/>
          <w:bCs/>
          <w:i/>
          <w:szCs w:val="20"/>
        </w:rPr>
        <w:t>,</w:t>
      </w:r>
      <w:r w:rsidR="00B0500D">
        <w:rPr>
          <w:rFonts w:eastAsia="Times New Roman"/>
          <w:bCs/>
          <w:i/>
          <w:szCs w:val="20"/>
        </w:rPr>
        <w:t xml:space="preserve"> </w:t>
      </w:r>
      <w:r w:rsidR="00B0500D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rovněž téměř nezměnil</w:t>
      </w:r>
      <w:r w:rsidR="003E5321">
        <w:rPr>
          <w:color w:val="000000" w:themeColor="text1"/>
        </w:rPr>
        <w:t xml:space="preserve">.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392AF576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8018D8">
        <w:rPr>
          <w:i/>
          <w:color w:val="000000" w:themeColor="text1"/>
          <w:szCs w:val="20"/>
        </w:rPr>
        <w:t>P</w:t>
      </w:r>
      <w:r w:rsidR="00B168D4">
        <w:rPr>
          <w:i/>
          <w:color w:val="000000" w:themeColor="text1"/>
          <w:szCs w:val="20"/>
        </w:rPr>
        <w:t>oté</w:t>
      </w:r>
      <w:r w:rsidR="008018D8">
        <w:rPr>
          <w:i/>
          <w:color w:val="000000" w:themeColor="text1"/>
          <w:szCs w:val="20"/>
        </w:rPr>
        <w:t xml:space="preserve">, co v říjnu </w:t>
      </w:r>
      <w:r w:rsidR="00993570">
        <w:rPr>
          <w:i/>
          <w:color w:val="000000" w:themeColor="text1"/>
          <w:szCs w:val="20"/>
        </w:rPr>
        <w:t>klesl indikátor důvěry spotřebitelů na historicky nejnižší hodnotu, zaznamenala v</w:t>
      </w:r>
      <w:r w:rsidR="006376E8">
        <w:rPr>
          <w:i/>
          <w:color w:val="000000" w:themeColor="text1"/>
          <w:szCs w:val="20"/>
        </w:rPr>
        <w:t xml:space="preserve"> listopadu většina sledovaných ukazatelů mírné zlepšení. </w:t>
      </w:r>
      <w:r w:rsidR="00993570">
        <w:rPr>
          <w:i/>
          <w:color w:val="000000" w:themeColor="text1"/>
          <w:szCs w:val="20"/>
        </w:rPr>
        <w:t xml:space="preserve">Mluvit o změně trendu by však zatím bylo předčasné, </w:t>
      </w:r>
      <w:r w:rsidR="0026776E">
        <w:rPr>
          <w:i/>
          <w:color w:val="000000" w:themeColor="text1"/>
          <w:szCs w:val="20"/>
        </w:rPr>
        <w:t>neboť</w:t>
      </w:r>
      <w:r w:rsidR="00993570">
        <w:rPr>
          <w:i/>
          <w:color w:val="000000" w:themeColor="text1"/>
          <w:szCs w:val="20"/>
        </w:rPr>
        <w:t xml:space="preserve"> většina respondentů zůstává v hodnocení klíčových ukazatelů </w:t>
      </w:r>
      <w:r w:rsidR="00B168D4">
        <w:rPr>
          <w:i/>
          <w:color w:val="000000" w:themeColor="text1"/>
          <w:szCs w:val="20"/>
        </w:rPr>
        <w:t>stále</w:t>
      </w:r>
      <w:r w:rsidR="00993570">
        <w:rPr>
          <w:i/>
          <w:color w:val="000000" w:themeColor="text1"/>
          <w:szCs w:val="20"/>
        </w:rPr>
        <w:t xml:space="preserve"> výrazně pesimistická</w:t>
      </w:r>
      <w:r w:rsidR="007B2812" w:rsidRPr="00786FC9">
        <w:rPr>
          <w:i/>
          <w:szCs w:val="20"/>
        </w:rPr>
        <w:t>,</w:t>
      </w:r>
      <w:r w:rsidR="00DA28B9" w:rsidRPr="00786FC9">
        <w:rPr>
          <w:i/>
          <w:szCs w:val="20"/>
        </w:rPr>
        <w:t xml:space="preserve">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="007B2176">
        <w:rPr>
          <w:szCs w:val="20"/>
        </w:rPr>
        <w:t>Anastasija Nejasova</w:t>
      </w:r>
      <w:r w:rsidRPr="00D26E75">
        <w:rPr>
          <w:szCs w:val="20"/>
        </w:rPr>
        <w:t xml:space="preserve">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6DAF7A21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985966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60DB1F33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C55327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0E1613">
        <w:rPr>
          <w:rFonts w:cs="ArialMT"/>
          <w:i/>
          <w:iCs/>
          <w:color w:val="000000"/>
          <w:sz w:val="18"/>
          <w:szCs w:val="18"/>
        </w:rPr>
        <w:t>1</w:t>
      </w:r>
      <w:r w:rsidR="00C55327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2B13B414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C55327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0E1613">
        <w:rPr>
          <w:rFonts w:cs="ArialMT"/>
          <w:i/>
          <w:iCs/>
          <w:color w:val="000000"/>
          <w:sz w:val="18"/>
          <w:szCs w:val="18"/>
        </w:rPr>
        <w:t>1</w:t>
      </w:r>
      <w:r w:rsidR="00C55327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1F7AC33F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C1AFD">
        <w:rPr>
          <w:rFonts w:cs="ArialMT"/>
          <w:i/>
          <w:iCs/>
          <w:color w:val="000000"/>
          <w:sz w:val="18"/>
          <w:szCs w:val="18"/>
        </w:rPr>
        <w:t>2</w:t>
      </w:r>
      <w:r w:rsidR="00C55327">
        <w:rPr>
          <w:rFonts w:cs="ArialMT"/>
          <w:i/>
          <w:iCs/>
          <w:color w:val="000000"/>
          <w:sz w:val="18"/>
          <w:szCs w:val="18"/>
        </w:rPr>
        <w:t>7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406E">
        <w:rPr>
          <w:rFonts w:cs="ArialMT"/>
          <w:i/>
          <w:iCs/>
          <w:color w:val="000000"/>
          <w:sz w:val="18"/>
          <w:szCs w:val="18"/>
        </w:rPr>
        <w:t>1</w:t>
      </w:r>
      <w:r w:rsidR="00C55327">
        <w:rPr>
          <w:rFonts w:cs="ArialMT"/>
          <w:i/>
          <w:iCs/>
          <w:color w:val="000000"/>
          <w:sz w:val="18"/>
          <w:szCs w:val="18"/>
        </w:rPr>
        <w:t>2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F23251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534C74B" w14:textId="0A54B759" w:rsidR="000E1613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sectPr w:rsidR="000E1613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2A101" w14:textId="77777777" w:rsidR="00F23251" w:rsidRDefault="00F23251" w:rsidP="00BA6370">
      <w:r>
        <w:separator/>
      </w:r>
    </w:p>
  </w:endnote>
  <w:endnote w:type="continuationSeparator" w:id="0">
    <w:p w14:paraId="5747F408" w14:textId="77777777" w:rsidR="00F23251" w:rsidRDefault="00F2325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1D01" w14:textId="77777777" w:rsidR="00F23251" w:rsidRDefault="00F23251" w:rsidP="00BA6370">
      <w:r>
        <w:separator/>
      </w:r>
    </w:p>
  </w:footnote>
  <w:footnote w:type="continuationSeparator" w:id="0">
    <w:p w14:paraId="4E273A14" w14:textId="77777777" w:rsidR="00F23251" w:rsidRDefault="00F2325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3A1A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14F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A56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449F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1319"/>
    <w:rsid w:val="00152C98"/>
    <w:rsid w:val="001544D2"/>
    <w:rsid w:val="001567AD"/>
    <w:rsid w:val="00157375"/>
    <w:rsid w:val="001611A3"/>
    <w:rsid w:val="00161662"/>
    <w:rsid w:val="00161D08"/>
    <w:rsid w:val="001676CD"/>
    <w:rsid w:val="00167863"/>
    <w:rsid w:val="00171328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2F07"/>
    <w:rsid w:val="001C4FE9"/>
    <w:rsid w:val="001C5065"/>
    <w:rsid w:val="001C764B"/>
    <w:rsid w:val="001D3019"/>
    <w:rsid w:val="001D369A"/>
    <w:rsid w:val="001D431C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854"/>
    <w:rsid w:val="002013E9"/>
    <w:rsid w:val="00201ABC"/>
    <w:rsid w:val="002049CE"/>
    <w:rsid w:val="00204C41"/>
    <w:rsid w:val="00206369"/>
    <w:rsid w:val="002070FB"/>
    <w:rsid w:val="0021264D"/>
    <w:rsid w:val="0021270A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50C4"/>
    <w:rsid w:val="003A5B20"/>
    <w:rsid w:val="003A60A8"/>
    <w:rsid w:val="003A667C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2247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51F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1B97"/>
    <w:rsid w:val="0054249D"/>
    <w:rsid w:val="005436FE"/>
    <w:rsid w:val="005442A9"/>
    <w:rsid w:val="00546541"/>
    <w:rsid w:val="00550183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C48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011A"/>
    <w:rsid w:val="005B108B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5F34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74FD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3D7B"/>
    <w:rsid w:val="007740D0"/>
    <w:rsid w:val="00775133"/>
    <w:rsid w:val="00775D99"/>
    <w:rsid w:val="0077603D"/>
    <w:rsid w:val="007766C3"/>
    <w:rsid w:val="00776C85"/>
    <w:rsid w:val="00781773"/>
    <w:rsid w:val="00782E59"/>
    <w:rsid w:val="00786FC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5FF2"/>
    <w:rsid w:val="007A6352"/>
    <w:rsid w:val="007A728A"/>
    <w:rsid w:val="007B1333"/>
    <w:rsid w:val="007B140A"/>
    <w:rsid w:val="007B197F"/>
    <w:rsid w:val="007B2176"/>
    <w:rsid w:val="007B2812"/>
    <w:rsid w:val="007B5A03"/>
    <w:rsid w:val="007B69E4"/>
    <w:rsid w:val="007C2B72"/>
    <w:rsid w:val="007C3646"/>
    <w:rsid w:val="007C5BEF"/>
    <w:rsid w:val="007C6B4B"/>
    <w:rsid w:val="007C7F45"/>
    <w:rsid w:val="007D30C5"/>
    <w:rsid w:val="007D3408"/>
    <w:rsid w:val="007D3C05"/>
    <w:rsid w:val="007D3E59"/>
    <w:rsid w:val="007E032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486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741B"/>
    <w:rsid w:val="008B78BB"/>
    <w:rsid w:val="008C3824"/>
    <w:rsid w:val="008C384C"/>
    <w:rsid w:val="008C72D9"/>
    <w:rsid w:val="008D0CF7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C16"/>
    <w:rsid w:val="0094292C"/>
    <w:rsid w:val="00946B35"/>
    <w:rsid w:val="00950F62"/>
    <w:rsid w:val="00951D2D"/>
    <w:rsid w:val="0095200F"/>
    <w:rsid w:val="009527D7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5966"/>
    <w:rsid w:val="00986DD7"/>
    <w:rsid w:val="009872BC"/>
    <w:rsid w:val="009903A9"/>
    <w:rsid w:val="0099266A"/>
    <w:rsid w:val="00992AD4"/>
    <w:rsid w:val="00993570"/>
    <w:rsid w:val="00993BD1"/>
    <w:rsid w:val="00993E18"/>
    <w:rsid w:val="00995144"/>
    <w:rsid w:val="00996087"/>
    <w:rsid w:val="009A001B"/>
    <w:rsid w:val="009A1454"/>
    <w:rsid w:val="009A5F86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79FF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D37"/>
    <w:rsid w:val="00AF2F74"/>
    <w:rsid w:val="00AF59AB"/>
    <w:rsid w:val="00AF625E"/>
    <w:rsid w:val="00AF65DC"/>
    <w:rsid w:val="00AF7F19"/>
    <w:rsid w:val="00B00C1D"/>
    <w:rsid w:val="00B01BBF"/>
    <w:rsid w:val="00B024E8"/>
    <w:rsid w:val="00B02CCB"/>
    <w:rsid w:val="00B0387D"/>
    <w:rsid w:val="00B0500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6096"/>
    <w:rsid w:val="00BC67DF"/>
    <w:rsid w:val="00BC7F95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063B9"/>
    <w:rsid w:val="00C10BFC"/>
    <w:rsid w:val="00C10F13"/>
    <w:rsid w:val="00C11177"/>
    <w:rsid w:val="00C15DD3"/>
    <w:rsid w:val="00C21DE2"/>
    <w:rsid w:val="00C23231"/>
    <w:rsid w:val="00C23EDA"/>
    <w:rsid w:val="00C269D4"/>
    <w:rsid w:val="00C30266"/>
    <w:rsid w:val="00C31C52"/>
    <w:rsid w:val="00C34E6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E75"/>
    <w:rsid w:val="00D27D69"/>
    <w:rsid w:val="00D30D77"/>
    <w:rsid w:val="00D33658"/>
    <w:rsid w:val="00D3368E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37C2"/>
    <w:rsid w:val="00D55A16"/>
    <w:rsid w:val="00D56088"/>
    <w:rsid w:val="00D60FA5"/>
    <w:rsid w:val="00D62ECB"/>
    <w:rsid w:val="00D62F48"/>
    <w:rsid w:val="00D66492"/>
    <w:rsid w:val="00D666C3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5ABC"/>
    <w:rsid w:val="00DA6B3C"/>
    <w:rsid w:val="00DA72B2"/>
    <w:rsid w:val="00DB0110"/>
    <w:rsid w:val="00DB0F75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0E0B"/>
    <w:rsid w:val="00E31980"/>
    <w:rsid w:val="00E31DB5"/>
    <w:rsid w:val="00E34133"/>
    <w:rsid w:val="00E34146"/>
    <w:rsid w:val="00E40B89"/>
    <w:rsid w:val="00E41467"/>
    <w:rsid w:val="00E41D3D"/>
    <w:rsid w:val="00E42FE4"/>
    <w:rsid w:val="00E448F4"/>
    <w:rsid w:val="00E4538F"/>
    <w:rsid w:val="00E45F7B"/>
    <w:rsid w:val="00E476D2"/>
    <w:rsid w:val="00E4789E"/>
    <w:rsid w:val="00E47E53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1356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80B"/>
    <w:rsid w:val="00F21E7B"/>
    <w:rsid w:val="00F2318D"/>
    <w:rsid w:val="00F23251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2BD"/>
    <w:rsid w:val="00F80FFC"/>
    <w:rsid w:val="00F81F9B"/>
    <w:rsid w:val="00F84E66"/>
    <w:rsid w:val="00F856E3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65533653/ckpr112422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business-and-consumer%20survey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7989-DF00-4C65-A9A3-AE3385F1E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F875D-0407-47FC-9CAC-3B4A11293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EDA0A-31D5-47D0-B1BB-3CFA2213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B669C-5C22-4061-BE3F-9D10EB77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4</cp:revision>
  <cp:lastPrinted>2021-10-21T08:47:00Z</cp:lastPrinted>
  <dcterms:created xsi:type="dcterms:W3CDTF">2022-11-22T06:06:00Z</dcterms:created>
  <dcterms:modified xsi:type="dcterms:W3CDTF">2022-11-23T09:54:00Z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