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rawings/drawing1.xml" ContentType="application/vnd.openxmlformats-officedocument.drawingml.chartshap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C35" w:rsidRDefault="00B81492" w:rsidP="00770C35">
      <w:pPr>
        <w:pStyle w:val="Datum"/>
      </w:pPr>
      <w:r>
        <w:t>31</w:t>
      </w:r>
      <w:r w:rsidR="00770C35">
        <w:t xml:space="preserve">. </w:t>
      </w:r>
      <w:r w:rsidR="001D41AA">
        <w:t>10</w:t>
      </w:r>
      <w:r w:rsidR="00770C35">
        <w:t>. 202</w:t>
      </w:r>
      <w:r w:rsidR="00EC5239">
        <w:t>3</w:t>
      </w:r>
    </w:p>
    <w:p w:rsidR="00770C35" w:rsidRDefault="000F5155" w:rsidP="00770C35">
      <w:pPr>
        <w:pStyle w:val="Nzev"/>
      </w:pPr>
      <w:r>
        <w:t xml:space="preserve">HDP klesl </w:t>
      </w:r>
      <w:proofErr w:type="spellStart"/>
      <w:r>
        <w:t>mezi</w:t>
      </w:r>
      <w:r w:rsidR="00153C11">
        <w:t>čtvrtletně</w:t>
      </w:r>
      <w:proofErr w:type="spellEnd"/>
      <w:r>
        <w:t xml:space="preserve"> </w:t>
      </w:r>
      <w:r w:rsidR="00770C35">
        <w:t>o 0,</w:t>
      </w:r>
      <w:r w:rsidR="00FD0BAA">
        <w:t>3</w:t>
      </w:r>
      <w:r w:rsidR="00770C35">
        <w:t xml:space="preserve"> %</w:t>
      </w:r>
    </w:p>
    <w:p w:rsidR="00770C35" w:rsidRPr="002E496D" w:rsidRDefault="00770C35" w:rsidP="00770C35">
      <w:pPr>
        <w:pStyle w:val="Podtitulek"/>
      </w:pPr>
      <w:r w:rsidRPr="002E496D">
        <w:t xml:space="preserve">Předběžný odhad HDP – </w:t>
      </w:r>
      <w:r w:rsidR="001D41AA">
        <w:t>3</w:t>
      </w:r>
      <w:r w:rsidRPr="002E496D">
        <w:t>. čtvrtletí 20</w:t>
      </w:r>
      <w:r>
        <w:t>2</w:t>
      </w:r>
      <w:r w:rsidR="00EC5239">
        <w:t>3</w:t>
      </w:r>
    </w:p>
    <w:p w:rsidR="00770C35" w:rsidRPr="002E496D" w:rsidRDefault="00770C35" w:rsidP="00770C35">
      <w:pPr>
        <w:pStyle w:val="Perex"/>
      </w:pPr>
      <w:r w:rsidRPr="00915CD9">
        <w:t xml:space="preserve">Podle předběžného odhadu </w:t>
      </w:r>
      <w:r w:rsidR="00DA1B7D">
        <w:t>klesl</w:t>
      </w:r>
      <w:r w:rsidRPr="00915CD9">
        <w:t xml:space="preserve"> hrubý domácí produkt v</w:t>
      </w:r>
      <w:r w:rsidR="00153C11">
        <w:t>e</w:t>
      </w:r>
      <w:r>
        <w:t xml:space="preserve"> </w:t>
      </w:r>
      <w:r w:rsidR="001D41AA">
        <w:t>3</w:t>
      </w:r>
      <w:r w:rsidR="00D542D7">
        <w:t xml:space="preserve">. čtvrtletí </w:t>
      </w:r>
      <w:proofErr w:type="spellStart"/>
      <w:r w:rsidR="00D542D7">
        <w:t>mezičtvrtletně</w:t>
      </w:r>
      <w:proofErr w:type="spellEnd"/>
      <w:r w:rsidR="00D542D7">
        <w:t> o 0,</w:t>
      </w:r>
      <w:r w:rsidR="00FD0BAA">
        <w:t>3</w:t>
      </w:r>
      <w:r>
        <w:t xml:space="preserve"> % a </w:t>
      </w:r>
      <w:r w:rsidRPr="00915CD9">
        <w:t xml:space="preserve">meziročně o </w:t>
      </w:r>
      <w:r w:rsidR="00086DF2">
        <w:t>0</w:t>
      </w:r>
      <w:r>
        <w:t>,</w:t>
      </w:r>
      <w:r w:rsidR="00FD0BAA">
        <w:t>6</w:t>
      </w:r>
      <w:r w:rsidRPr="00915CD9">
        <w:t> %</w:t>
      </w:r>
      <w:r>
        <w:t>.</w:t>
      </w:r>
    </w:p>
    <w:p w:rsidR="00770C35" w:rsidRDefault="00770C35" w:rsidP="00770C35">
      <w:pPr>
        <w:rPr>
          <w:rFonts w:cs="Arial"/>
          <w:bCs/>
          <w:szCs w:val="20"/>
        </w:rPr>
      </w:pPr>
      <w:r w:rsidRPr="00FB00A2">
        <w:t xml:space="preserve">Hrubý domácí produkt </w:t>
      </w:r>
      <w:r>
        <w:t>(HDP) očištěný o cenové vlivy a </w:t>
      </w:r>
      <w:r w:rsidRPr="00FB00A2">
        <w:t>sezónnost</w:t>
      </w:r>
      <w:r w:rsidRPr="00FB00A2">
        <w:rPr>
          <w:rStyle w:val="Znakapoznpodarou"/>
        </w:rPr>
        <w:footnoteReference w:id="1"/>
      </w:r>
      <w:r w:rsidRPr="00FB00A2">
        <w:rPr>
          <w:rFonts w:cs="Arial"/>
          <w:bCs/>
          <w:szCs w:val="20"/>
        </w:rPr>
        <w:t xml:space="preserve"> byl </w:t>
      </w:r>
      <w:r w:rsidRPr="00D6142E">
        <w:rPr>
          <w:rFonts w:cs="Arial"/>
          <w:bCs/>
          <w:szCs w:val="20"/>
        </w:rPr>
        <w:t>v</w:t>
      </w:r>
      <w:r w:rsidR="00153C11">
        <w:rPr>
          <w:rFonts w:cs="Arial"/>
          <w:bCs/>
          <w:szCs w:val="20"/>
        </w:rPr>
        <w:t>e</w:t>
      </w:r>
      <w:r w:rsidRPr="00D6142E">
        <w:rPr>
          <w:rFonts w:cs="Arial"/>
          <w:bCs/>
          <w:szCs w:val="20"/>
        </w:rPr>
        <w:t> </w:t>
      </w:r>
      <w:r w:rsidR="001D41AA">
        <w:rPr>
          <w:rFonts w:cs="Arial"/>
          <w:bCs/>
          <w:szCs w:val="20"/>
        </w:rPr>
        <w:t>3</w:t>
      </w:r>
      <w:r w:rsidRPr="00D6142E">
        <w:rPr>
          <w:rFonts w:cs="Arial"/>
          <w:bCs/>
          <w:szCs w:val="20"/>
        </w:rPr>
        <w:t>.</w:t>
      </w:r>
      <w:r>
        <w:rPr>
          <w:rFonts w:cs="Arial"/>
          <w:bCs/>
          <w:szCs w:val="20"/>
        </w:rPr>
        <w:t> </w:t>
      </w:r>
      <w:r w:rsidRPr="00D6142E">
        <w:rPr>
          <w:rFonts w:cs="Arial"/>
          <w:bCs/>
          <w:szCs w:val="20"/>
        </w:rPr>
        <w:t xml:space="preserve">čtvrtletí </w:t>
      </w:r>
      <w:r w:rsidRPr="00FB00A2">
        <w:rPr>
          <w:rFonts w:cs="Arial"/>
          <w:bCs/>
          <w:szCs w:val="20"/>
        </w:rPr>
        <w:t>podle předběžného odhadu o </w:t>
      </w:r>
      <w:r>
        <w:rPr>
          <w:rFonts w:cs="Arial"/>
          <w:bCs/>
          <w:szCs w:val="20"/>
        </w:rPr>
        <w:t>0</w:t>
      </w:r>
      <w:r w:rsidRPr="00FB00A2">
        <w:rPr>
          <w:rFonts w:cs="Arial"/>
          <w:bCs/>
          <w:szCs w:val="20"/>
        </w:rPr>
        <w:t>,</w:t>
      </w:r>
      <w:r w:rsidR="00FD0BAA">
        <w:rPr>
          <w:rFonts w:cs="Arial"/>
          <w:bCs/>
          <w:szCs w:val="20"/>
        </w:rPr>
        <w:t>3</w:t>
      </w:r>
      <w:r w:rsidRPr="00FB00A2">
        <w:rPr>
          <w:rFonts w:cs="Arial"/>
          <w:bCs/>
          <w:szCs w:val="20"/>
        </w:rPr>
        <w:t xml:space="preserve"> % </w:t>
      </w:r>
      <w:r w:rsidR="00FD0BAA">
        <w:rPr>
          <w:rFonts w:cs="Arial"/>
          <w:bCs/>
          <w:szCs w:val="20"/>
        </w:rPr>
        <w:t>nižší</w:t>
      </w:r>
      <w:r w:rsidRPr="00FB00A2">
        <w:rPr>
          <w:rFonts w:cs="Arial"/>
          <w:bCs/>
          <w:szCs w:val="20"/>
        </w:rPr>
        <w:t xml:space="preserve"> než </w:t>
      </w:r>
      <w:r w:rsidR="00FF55C0">
        <w:rPr>
          <w:rFonts w:cs="Arial"/>
          <w:bCs/>
          <w:szCs w:val="20"/>
        </w:rPr>
        <w:t>v </w:t>
      </w:r>
      <w:r>
        <w:rPr>
          <w:rFonts w:cs="Arial"/>
          <w:bCs/>
          <w:szCs w:val="20"/>
        </w:rPr>
        <w:t xml:space="preserve">předchozím čtvrtletí a </w:t>
      </w:r>
      <w:r w:rsidRPr="00FB00A2">
        <w:rPr>
          <w:rFonts w:cs="Arial"/>
          <w:bCs/>
          <w:szCs w:val="20"/>
        </w:rPr>
        <w:t>v</w:t>
      </w:r>
      <w:r>
        <w:rPr>
          <w:rFonts w:cs="Arial"/>
          <w:bCs/>
          <w:szCs w:val="20"/>
        </w:rPr>
        <w:t xml:space="preserve"> porovnání se stejným čtvrtletím předchozího roku </w:t>
      </w:r>
      <w:r w:rsidR="00FD0BAA">
        <w:rPr>
          <w:rFonts w:cs="Arial"/>
          <w:bCs/>
          <w:szCs w:val="20"/>
        </w:rPr>
        <w:t>klesl</w:t>
      </w:r>
      <w:r w:rsidRPr="00FB00A2">
        <w:rPr>
          <w:rFonts w:cs="Arial"/>
          <w:bCs/>
          <w:szCs w:val="20"/>
        </w:rPr>
        <w:t xml:space="preserve"> o </w:t>
      </w:r>
      <w:r w:rsidR="000D43C4">
        <w:rPr>
          <w:rFonts w:cs="Arial"/>
          <w:bCs/>
          <w:szCs w:val="20"/>
        </w:rPr>
        <w:t>0</w:t>
      </w:r>
      <w:r w:rsidRPr="00FB00A2">
        <w:rPr>
          <w:rFonts w:cs="Arial"/>
          <w:bCs/>
          <w:szCs w:val="20"/>
        </w:rPr>
        <w:t>,</w:t>
      </w:r>
      <w:r w:rsidR="00FD0BAA">
        <w:rPr>
          <w:rFonts w:cs="Arial"/>
          <w:bCs/>
          <w:szCs w:val="20"/>
        </w:rPr>
        <w:t>6</w:t>
      </w:r>
      <w:r w:rsidRPr="00FB00A2">
        <w:rPr>
          <w:rFonts w:cs="Arial"/>
          <w:bCs/>
          <w:szCs w:val="20"/>
        </w:rPr>
        <w:t> %.</w:t>
      </w:r>
    </w:p>
    <w:p w:rsidR="00770C35" w:rsidRDefault="00770C35" w:rsidP="00770C35">
      <w:pPr>
        <w:rPr>
          <w:rFonts w:cs="Arial"/>
          <w:bCs/>
          <w:szCs w:val="20"/>
        </w:rPr>
      </w:pPr>
    </w:p>
    <w:p w:rsidR="00770C35" w:rsidRDefault="001E4048" w:rsidP="00770C35">
      <w:pPr>
        <w:rPr>
          <w:rFonts w:cs="Arial"/>
          <w:bCs/>
          <w:szCs w:val="20"/>
        </w:rPr>
      </w:pPr>
      <w:r>
        <w:rPr>
          <w:noProof/>
          <w:lang w:eastAsia="cs-CZ"/>
        </w:rPr>
        <w:drawing>
          <wp:inline distT="0" distB="0" distL="0" distR="0" wp14:anchorId="4E8C98FF" wp14:editId="4FD084F3">
            <wp:extent cx="5400040" cy="2747010"/>
            <wp:effectExtent l="0" t="0" r="10160" b="1524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70C35" w:rsidRDefault="00770C35" w:rsidP="00770C35">
      <w:pPr>
        <w:rPr>
          <w:rFonts w:cs="Arial"/>
          <w:bCs/>
          <w:szCs w:val="20"/>
        </w:rPr>
      </w:pPr>
    </w:p>
    <w:p w:rsidR="007C31D8" w:rsidRDefault="007C31D8" w:rsidP="006B07AD">
      <w:pPr>
        <w:rPr>
          <w:rFonts w:cs="Arial"/>
          <w:bCs/>
          <w:i/>
          <w:szCs w:val="20"/>
        </w:rPr>
      </w:pPr>
    </w:p>
    <w:p w:rsidR="0051104F" w:rsidRDefault="00FD0BAA" w:rsidP="0051104F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M</w:t>
      </w:r>
      <w:r w:rsidR="0051104F" w:rsidRPr="00F02839">
        <w:rPr>
          <w:rFonts w:cs="Arial"/>
          <w:bCs/>
          <w:szCs w:val="20"/>
        </w:rPr>
        <w:t xml:space="preserve">ezičtvrtletní </w:t>
      </w:r>
      <w:r w:rsidR="00C460EC">
        <w:rPr>
          <w:rFonts w:cs="Arial"/>
          <w:bCs/>
          <w:szCs w:val="20"/>
        </w:rPr>
        <w:t>pokles</w:t>
      </w:r>
      <w:r w:rsidR="0051104F" w:rsidRPr="00F02839">
        <w:rPr>
          <w:rFonts w:cs="Arial"/>
          <w:bCs/>
          <w:szCs w:val="20"/>
        </w:rPr>
        <w:t xml:space="preserve"> </w:t>
      </w:r>
      <w:r w:rsidR="00C460EC">
        <w:rPr>
          <w:rFonts w:cs="Arial"/>
          <w:bCs/>
          <w:szCs w:val="20"/>
        </w:rPr>
        <w:t xml:space="preserve">HDP </w:t>
      </w:r>
      <w:r w:rsidR="00675C13">
        <w:rPr>
          <w:rFonts w:cs="Arial"/>
          <w:bCs/>
          <w:szCs w:val="20"/>
        </w:rPr>
        <w:t>byl ovlivněn</w:t>
      </w:r>
      <w:r>
        <w:rPr>
          <w:rFonts w:cs="Arial"/>
          <w:bCs/>
          <w:szCs w:val="20"/>
        </w:rPr>
        <w:t xml:space="preserve"> zejména zahraniční poptávk</w:t>
      </w:r>
      <w:r w:rsidR="00675C13">
        <w:rPr>
          <w:rFonts w:cs="Arial"/>
          <w:bCs/>
          <w:szCs w:val="20"/>
        </w:rPr>
        <w:t xml:space="preserve">ou. </w:t>
      </w:r>
      <w:r w:rsidR="00F23889">
        <w:rPr>
          <w:rFonts w:cs="Arial"/>
          <w:bCs/>
          <w:szCs w:val="20"/>
        </w:rPr>
        <w:t>D</w:t>
      </w:r>
      <w:r w:rsidR="00DA1B7D">
        <w:rPr>
          <w:rFonts w:cs="Arial"/>
          <w:bCs/>
          <w:szCs w:val="20"/>
        </w:rPr>
        <w:t>omácí poptávk</w:t>
      </w:r>
      <w:r w:rsidR="00F23889">
        <w:rPr>
          <w:rFonts w:cs="Arial"/>
          <w:bCs/>
          <w:szCs w:val="20"/>
        </w:rPr>
        <w:t>a</w:t>
      </w:r>
      <w:r w:rsidR="00C460EC">
        <w:rPr>
          <w:rFonts w:cs="Arial"/>
          <w:bCs/>
          <w:szCs w:val="20"/>
        </w:rPr>
        <w:t xml:space="preserve"> </w:t>
      </w:r>
      <w:r w:rsidR="00F23889">
        <w:rPr>
          <w:rFonts w:cs="Arial"/>
          <w:bCs/>
          <w:szCs w:val="20"/>
        </w:rPr>
        <w:t>stagnovala</w:t>
      </w:r>
      <w:r w:rsidR="00C460EC">
        <w:rPr>
          <w:rFonts w:cs="Arial"/>
          <w:bCs/>
          <w:szCs w:val="20"/>
        </w:rPr>
        <w:t>.</w:t>
      </w:r>
    </w:p>
    <w:p w:rsidR="00FD0BAA" w:rsidRDefault="00FD0BAA" w:rsidP="0051104F">
      <w:pPr>
        <w:rPr>
          <w:rFonts w:cs="Arial"/>
          <w:bCs/>
          <w:szCs w:val="20"/>
        </w:rPr>
      </w:pPr>
    </w:p>
    <w:p w:rsidR="002E7888" w:rsidRDefault="002E7888" w:rsidP="002E7888">
      <w:pPr>
        <w:rPr>
          <w:rFonts w:cs="Arial"/>
          <w:bCs/>
          <w:szCs w:val="20"/>
        </w:rPr>
      </w:pPr>
      <w:r>
        <w:rPr>
          <w:rFonts w:cs="Arial"/>
          <w:bCs/>
          <w:i/>
          <w:szCs w:val="20"/>
        </w:rPr>
        <w:t>„</w:t>
      </w:r>
      <w:r w:rsidR="00FD0BAA" w:rsidRPr="002E7888">
        <w:rPr>
          <w:rFonts w:cs="Arial"/>
          <w:bCs/>
          <w:i/>
          <w:szCs w:val="20"/>
        </w:rPr>
        <w:t>Meziroční pokles HDP byl ne</w:t>
      </w:r>
      <w:bookmarkStart w:id="0" w:name="_GoBack"/>
      <w:bookmarkEnd w:id="0"/>
      <w:r w:rsidR="00FD0BAA" w:rsidRPr="002E7888">
        <w:rPr>
          <w:rFonts w:cs="Arial"/>
          <w:bCs/>
          <w:i/>
          <w:szCs w:val="20"/>
        </w:rPr>
        <w:t>gativně ovlivněn nižšími výdaji na konečnou spotřebu domácností a nižší tvorbou hrubého kapitálu. Pozitivní vliv měla zahraniční poptávka</w:t>
      </w:r>
      <w:r w:rsidRPr="00426EF7">
        <w:rPr>
          <w:rFonts w:cs="Arial"/>
          <w:bCs/>
          <w:i/>
          <w:szCs w:val="20"/>
        </w:rPr>
        <w:t>,</w:t>
      </w:r>
      <w:r>
        <w:rPr>
          <w:rFonts w:cs="Arial"/>
          <w:bCs/>
          <w:i/>
          <w:szCs w:val="20"/>
        </w:rPr>
        <w:t>“</w:t>
      </w:r>
      <w:r>
        <w:rPr>
          <w:rFonts w:cs="Arial"/>
          <w:bCs/>
          <w:szCs w:val="20"/>
        </w:rPr>
        <w:t xml:space="preserve"> </w:t>
      </w:r>
      <w:r w:rsidRPr="00311F84">
        <w:rPr>
          <w:rFonts w:cs="Arial"/>
          <w:szCs w:val="20"/>
        </w:rPr>
        <w:t>sdělil Vladimír Kermiet, ředitel odboru národních účtů ČSÚ</w:t>
      </w:r>
      <w:r w:rsidRPr="00311F84">
        <w:rPr>
          <w:rFonts w:cs="Arial"/>
          <w:bCs/>
          <w:szCs w:val="20"/>
        </w:rPr>
        <w:t>.</w:t>
      </w:r>
    </w:p>
    <w:p w:rsidR="00FD0BAA" w:rsidRDefault="00FD0BAA" w:rsidP="0051104F">
      <w:pPr>
        <w:rPr>
          <w:rFonts w:cs="Arial"/>
          <w:bCs/>
          <w:szCs w:val="20"/>
        </w:rPr>
      </w:pPr>
    </w:p>
    <w:p w:rsidR="000B5788" w:rsidRDefault="000B5788" w:rsidP="000B5788">
      <w:r>
        <w:t xml:space="preserve">V mezičtvrtletním srovnání došlo k poklesu </w:t>
      </w:r>
      <w:r>
        <w:rPr>
          <w:rFonts w:cs="Arial"/>
          <w:bCs/>
          <w:szCs w:val="20"/>
        </w:rPr>
        <w:t xml:space="preserve">hrubé přidané hodnoty (HPH) </w:t>
      </w:r>
      <w:r>
        <w:t>ve většině odvětví národního hospodářství.</w:t>
      </w:r>
      <w:r w:rsidR="00937D59">
        <w:t xml:space="preserve"> Negativní vliv měl především průmysl a </w:t>
      </w:r>
      <w:r w:rsidR="00937D59" w:rsidRPr="00CA020A">
        <w:t>skupin</w:t>
      </w:r>
      <w:r w:rsidR="00937D59">
        <w:t>a odvětví obchodu, dopravy, ubytování a pohostinství.</w:t>
      </w:r>
    </w:p>
    <w:p w:rsidR="00C50E8B" w:rsidRDefault="00937D59" w:rsidP="00C50E8B">
      <w:r>
        <w:rPr>
          <w:rFonts w:cs="Arial"/>
          <w:bCs/>
          <w:szCs w:val="20"/>
        </w:rPr>
        <w:lastRenderedPageBreak/>
        <w:t>Stejná odvětví nejvíce ovlivnila i me</w:t>
      </w:r>
      <w:r w:rsidR="00F93A00">
        <w:rPr>
          <w:rFonts w:cs="Arial"/>
          <w:bCs/>
          <w:szCs w:val="20"/>
        </w:rPr>
        <w:t xml:space="preserve">ziroční </w:t>
      </w:r>
      <w:r>
        <w:rPr>
          <w:rFonts w:cs="Arial"/>
          <w:bCs/>
          <w:szCs w:val="20"/>
        </w:rPr>
        <w:t>pokles</w:t>
      </w:r>
      <w:r w:rsidR="00F93A00">
        <w:rPr>
          <w:rFonts w:cs="Arial"/>
          <w:bCs/>
          <w:szCs w:val="20"/>
        </w:rPr>
        <w:t xml:space="preserve"> </w:t>
      </w:r>
      <w:r w:rsidR="000B5788">
        <w:rPr>
          <w:rFonts w:cs="Arial"/>
          <w:bCs/>
          <w:szCs w:val="20"/>
        </w:rPr>
        <w:t>HPH</w:t>
      </w:r>
      <w:r>
        <w:rPr>
          <w:rFonts w:cs="Arial"/>
          <w:bCs/>
          <w:szCs w:val="20"/>
        </w:rPr>
        <w:t>. Naopak</w:t>
      </w:r>
      <w:r w:rsidR="00B313AE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se dařilo </w:t>
      </w:r>
      <w:r>
        <w:t xml:space="preserve">informačním </w:t>
      </w:r>
      <w:r w:rsidR="009F6573">
        <w:t>a </w:t>
      </w:r>
      <w:r w:rsidR="00F93A00">
        <w:t>komunikační činnost</w:t>
      </w:r>
      <w:r>
        <w:t>em a p</w:t>
      </w:r>
      <w:r w:rsidRPr="00B63F22">
        <w:t>rofesní</w:t>
      </w:r>
      <w:r>
        <w:t>m</w:t>
      </w:r>
      <w:r w:rsidRPr="00B63F22">
        <w:t>, vědeck</w:t>
      </w:r>
      <w:r>
        <w:t>ým</w:t>
      </w:r>
      <w:r w:rsidRPr="00B63F22">
        <w:t>, technick</w:t>
      </w:r>
      <w:r>
        <w:t>ým</w:t>
      </w:r>
      <w:r w:rsidRPr="00B63F22">
        <w:t xml:space="preserve"> a administrativní</w:t>
      </w:r>
      <w:r>
        <w:t>m</w:t>
      </w:r>
      <w:r w:rsidRPr="00B63F22">
        <w:t xml:space="preserve"> činnost</w:t>
      </w:r>
      <w:r>
        <w:t>em.</w:t>
      </w:r>
    </w:p>
    <w:p w:rsidR="00AE4CA5" w:rsidRDefault="00AE4CA5" w:rsidP="00C50E8B">
      <w:pPr>
        <w:rPr>
          <w:bCs/>
        </w:rPr>
      </w:pPr>
    </w:p>
    <w:p w:rsidR="00770C35" w:rsidRDefault="00770C35" w:rsidP="00C50E8B">
      <w:r w:rsidRPr="00C10C30">
        <w:rPr>
          <w:bCs/>
        </w:rPr>
        <w:t>Zaměstnanost</w:t>
      </w:r>
      <w:r w:rsidRPr="00C10C30">
        <w:rPr>
          <w:rStyle w:val="Znakapoznpodarou"/>
        </w:rPr>
        <w:footnoteReference w:id="2"/>
      </w:r>
      <w:r>
        <w:t xml:space="preserve"> </w:t>
      </w:r>
      <w:proofErr w:type="spellStart"/>
      <w:r>
        <w:t>mezičtvrtletně</w:t>
      </w:r>
      <w:proofErr w:type="spellEnd"/>
      <w:r>
        <w:t xml:space="preserve"> </w:t>
      </w:r>
      <w:r w:rsidR="00FD0BAA">
        <w:t>klesla</w:t>
      </w:r>
      <w:r w:rsidR="00970E4E">
        <w:t xml:space="preserve"> o 0,</w:t>
      </w:r>
      <w:r w:rsidR="00FD0BAA">
        <w:t>7</w:t>
      </w:r>
      <w:r w:rsidR="00970E4E">
        <w:t xml:space="preserve"> %</w:t>
      </w:r>
      <w:r>
        <w:t xml:space="preserve"> a </w:t>
      </w:r>
      <w:r w:rsidRPr="00C10C30">
        <w:t>oproti ste</w:t>
      </w:r>
      <w:r>
        <w:t xml:space="preserve">jnému čtvrtletí </w:t>
      </w:r>
      <w:r w:rsidR="00937D59">
        <w:t>minulého</w:t>
      </w:r>
      <w:r>
        <w:t xml:space="preserve"> roku vzrostla o </w:t>
      </w:r>
      <w:r w:rsidR="001C32EC">
        <w:t>0</w:t>
      </w:r>
      <w:r w:rsidRPr="00C10C30">
        <w:t>,</w:t>
      </w:r>
      <w:r w:rsidR="00FD0BAA">
        <w:t>5</w:t>
      </w:r>
      <w:r w:rsidRPr="00C10C30">
        <w:t> %.</w:t>
      </w:r>
    </w:p>
    <w:p w:rsidR="00770C35" w:rsidRPr="00304ECA" w:rsidRDefault="00770C35" w:rsidP="00770C35">
      <w:pPr>
        <w:pStyle w:val="Poznmky"/>
        <w:tabs>
          <w:tab w:val="left" w:pos="284"/>
        </w:tabs>
        <w:spacing w:before="600"/>
        <w:ind w:left="4253" w:hanging="4253"/>
        <w:rPr>
          <w:i/>
        </w:rPr>
      </w:pPr>
      <w:r>
        <w:rPr>
          <w:i/>
        </w:rPr>
        <w:t>Zodpovědný vedoucí pracovník</w:t>
      </w:r>
      <w:r w:rsidRPr="00304ECA">
        <w:rPr>
          <w:i/>
        </w:rPr>
        <w:t>:</w:t>
      </w:r>
      <w:r w:rsidRPr="00304ECA">
        <w:rPr>
          <w:i/>
        </w:rPr>
        <w:tab/>
      </w:r>
      <w:r>
        <w:rPr>
          <w:i/>
        </w:rPr>
        <w:t>Ing. Vladimír Kermiet</w:t>
      </w:r>
      <w:r w:rsidRPr="00304ECA">
        <w:rPr>
          <w:i/>
        </w:rPr>
        <w:t xml:space="preserve">, ředitel </w:t>
      </w:r>
      <w:r>
        <w:rPr>
          <w:i/>
        </w:rPr>
        <w:t>o</w:t>
      </w:r>
      <w:r w:rsidRPr="00304ECA">
        <w:rPr>
          <w:i/>
        </w:rPr>
        <w:t xml:space="preserve">dboru národních </w:t>
      </w:r>
      <w:r>
        <w:rPr>
          <w:i/>
        </w:rPr>
        <w:t>účtů, tel. </w:t>
      </w:r>
      <w:r w:rsidRPr="00304ECA">
        <w:rPr>
          <w:i/>
        </w:rPr>
        <w:t>274 05</w:t>
      </w:r>
      <w:r>
        <w:rPr>
          <w:i/>
        </w:rPr>
        <w:t>4 247</w:t>
      </w:r>
      <w:r w:rsidRPr="00304ECA">
        <w:rPr>
          <w:i/>
        </w:rPr>
        <w:t>,</w:t>
      </w:r>
      <w:r>
        <w:rPr>
          <w:i/>
        </w:rPr>
        <w:t xml:space="preserve"> e</w:t>
      </w:r>
      <w:r>
        <w:rPr>
          <w:i/>
        </w:rPr>
        <w:noBreakHyphen/>
        <w:t>mail: </w:t>
      </w:r>
      <w:hyperlink r:id="rId8" w:history="1">
        <w:r w:rsidRPr="002F0441">
          <w:rPr>
            <w:rStyle w:val="Hypertextovodkaz"/>
            <w:i/>
          </w:rPr>
          <w:t>vladimir.kermiet@czso.cz</w:t>
        </w:r>
      </w:hyperlink>
      <w:r>
        <w:rPr>
          <w:i/>
        </w:rPr>
        <w:t xml:space="preserve"> </w:t>
      </w:r>
    </w:p>
    <w:p w:rsidR="00770C35" w:rsidRDefault="00770C35" w:rsidP="00770C35">
      <w:pPr>
        <w:pStyle w:val="Poznamkytexty"/>
        <w:ind w:left="4253" w:hanging="4253"/>
        <w:jc w:val="left"/>
      </w:pPr>
      <w:r>
        <w:t>Kontaktní osoba:</w:t>
      </w:r>
      <w:r>
        <w:tab/>
        <w:t>Ing. Jan Benedikt</w:t>
      </w:r>
      <w:r w:rsidRPr="00315471">
        <w:t xml:space="preserve">, </w:t>
      </w:r>
      <w:r>
        <w:t xml:space="preserve">vedoucí oddělení čtvrtletních odhadů, </w:t>
      </w:r>
      <w:r w:rsidRPr="00315471">
        <w:t>tel.</w:t>
      </w:r>
      <w:r>
        <w:t> </w:t>
      </w:r>
      <w:r w:rsidRPr="00315471">
        <w:t>274 052 750, e</w:t>
      </w:r>
      <w:r w:rsidRPr="00315471">
        <w:noBreakHyphen/>
        <w:t>mail: </w:t>
      </w:r>
      <w:hyperlink r:id="rId9" w:history="1">
        <w:r w:rsidRPr="00D82385">
          <w:rPr>
            <w:rStyle w:val="Hypertextovodkaz"/>
          </w:rPr>
          <w:t>jan.benedikt@czso.cz</w:t>
        </w:r>
      </w:hyperlink>
      <w:r>
        <w:t xml:space="preserve"> </w:t>
      </w:r>
    </w:p>
    <w:p w:rsidR="00770C35" w:rsidRDefault="00770C35" w:rsidP="00770C35">
      <w:pPr>
        <w:pStyle w:val="Poznamkytexty"/>
        <w:ind w:left="4253" w:hanging="4253"/>
      </w:pPr>
      <w:r>
        <w:t>Aktuálnost použitých datových zdrojů</w:t>
      </w:r>
      <w:r w:rsidRPr="00B13ABB">
        <w:t>:</w:t>
      </w:r>
      <w:r w:rsidRPr="00B13ABB">
        <w:tab/>
      </w:r>
      <w:r w:rsidR="00EC5239">
        <w:t>2</w:t>
      </w:r>
      <w:r w:rsidR="00937D59">
        <w:t>3</w:t>
      </w:r>
      <w:r>
        <w:t xml:space="preserve">. </w:t>
      </w:r>
      <w:r w:rsidR="001D41AA">
        <w:t>října</w:t>
      </w:r>
      <w:r>
        <w:t xml:space="preserve"> 202</w:t>
      </w:r>
      <w:r w:rsidR="00EC5239">
        <w:t>3</w:t>
      </w:r>
    </w:p>
    <w:p w:rsidR="00770C35" w:rsidRPr="00D9330E" w:rsidRDefault="00770C35" w:rsidP="00770C35">
      <w:pPr>
        <w:pStyle w:val="Poznamkytexty"/>
        <w:ind w:left="4253" w:hanging="4253"/>
        <w:rPr>
          <w:color w:val="auto"/>
        </w:rPr>
      </w:pPr>
      <w:r>
        <w:t>Internetové stránky ČSÚ</w:t>
      </w:r>
      <w:r w:rsidRPr="00B13ABB">
        <w:t>:</w:t>
      </w:r>
      <w:r w:rsidRPr="00B13ABB">
        <w:tab/>
      </w:r>
      <w:hyperlink r:id="rId10" w:history="1">
        <w:r w:rsidRPr="002F0441">
          <w:rPr>
            <w:rStyle w:val="Hypertextovodkaz"/>
          </w:rPr>
          <w:t>https://www.czso.cz/csu/czso/ctvrtletni-narodni-ucty-tvorba-a-uziti-hdp-a-predbezny-odhad-hdp</w:t>
        </w:r>
      </w:hyperlink>
      <w:r>
        <w:rPr>
          <w:color w:val="auto"/>
        </w:rPr>
        <w:t xml:space="preserve"> </w:t>
      </w:r>
    </w:p>
    <w:p w:rsidR="00770C35" w:rsidRPr="004920AD" w:rsidRDefault="00770C35" w:rsidP="00770C35">
      <w:pPr>
        <w:pStyle w:val="Poznamkytexty"/>
        <w:ind w:left="4253" w:hanging="4253"/>
        <w:jc w:val="left"/>
      </w:pPr>
      <w:r>
        <w:t>Termín zveřejnění další RI:</w:t>
      </w:r>
      <w:r>
        <w:tab/>
      </w:r>
      <w:r w:rsidR="001D41AA">
        <w:t>1</w:t>
      </w:r>
      <w:r>
        <w:t xml:space="preserve">. </w:t>
      </w:r>
      <w:r w:rsidR="001D41AA">
        <w:t>prosince</w:t>
      </w:r>
      <w:r>
        <w:t xml:space="preserve"> 202</w:t>
      </w:r>
      <w:r w:rsidR="00EC5239">
        <w:t>3</w:t>
      </w:r>
      <w:r>
        <w:t xml:space="preserve"> </w:t>
      </w:r>
      <w:r>
        <w:br/>
        <w:t xml:space="preserve">(Tvorba a užití HDP za </w:t>
      </w:r>
      <w:r w:rsidR="001D41AA">
        <w:t>3</w:t>
      </w:r>
      <w:r>
        <w:t>. čtvrtletí 202</w:t>
      </w:r>
      <w:r w:rsidR="00EC5239">
        <w:t>3</w:t>
      </w:r>
      <w:r>
        <w:t>)</w:t>
      </w:r>
    </w:p>
    <w:p w:rsidR="00D209A7" w:rsidRPr="00770C35" w:rsidRDefault="00D209A7" w:rsidP="00770C35"/>
    <w:sectPr w:rsidR="00D209A7" w:rsidRPr="00770C35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AA4" w:rsidRDefault="00EE2AA4" w:rsidP="00BA6370">
      <w:r>
        <w:separator/>
      </w:r>
    </w:p>
  </w:endnote>
  <w:endnote w:type="continuationSeparator" w:id="0">
    <w:p w:rsidR="00EE2AA4" w:rsidRDefault="00EE2AA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675C13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675C13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D9D60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AA4" w:rsidRDefault="00EE2AA4" w:rsidP="00BA6370">
      <w:r>
        <w:separator/>
      </w:r>
    </w:p>
  </w:footnote>
  <w:footnote w:type="continuationSeparator" w:id="0">
    <w:p w:rsidR="00EE2AA4" w:rsidRDefault="00EE2AA4" w:rsidP="00BA6370">
      <w:r>
        <w:continuationSeparator/>
      </w:r>
    </w:p>
  </w:footnote>
  <w:footnote w:id="1">
    <w:p w:rsidR="00770C35" w:rsidRPr="00943006" w:rsidRDefault="00770C35" w:rsidP="00770C35">
      <w:pPr>
        <w:pStyle w:val="Textpoznpodarou"/>
        <w:spacing w:before="60"/>
        <w:rPr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Všechny u</w:t>
      </w:r>
      <w:r w:rsidRPr="00943006">
        <w:rPr>
          <w:rFonts w:ascii="Arial" w:hAnsi="Arial" w:cs="Arial"/>
          <w:i/>
          <w:sz w:val="18"/>
          <w:szCs w:val="18"/>
        </w:rPr>
        <w:t xml:space="preserve">váděné údaje </w:t>
      </w:r>
      <w:r>
        <w:rPr>
          <w:rFonts w:ascii="Arial" w:hAnsi="Arial" w:cs="Arial"/>
          <w:i/>
          <w:sz w:val="18"/>
          <w:szCs w:val="18"/>
        </w:rPr>
        <w:t xml:space="preserve">jsou </w:t>
      </w:r>
      <w:r w:rsidRPr="00943006">
        <w:rPr>
          <w:rFonts w:ascii="Arial" w:hAnsi="Arial" w:cs="Arial"/>
          <w:i/>
          <w:sz w:val="18"/>
          <w:szCs w:val="18"/>
        </w:rPr>
        <w:t xml:space="preserve">očištěny o sezónní vlivy a nestejný počet pracovních dní. </w:t>
      </w:r>
    </w:p>
  </w:footnote>
  <w:footnote w:id="2">
    <w:p w:rsidR="00770C35" w:rsidRPr="00943006" w:rsidRDefault="00770C35" w:rsidP="00770C35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</w:t>
      </w:r>
      <w:r w:rsidRPr="00943006">
        <w:rPr>
          <w:rFonts w:ascii="Arial" w:hAnsi="Arial" w:cs="Arial"/>
          <w:i/>
          <w:sz w:val="18"/>
          <w:szCs w:val="18"/>
        </w:rPr>
        <w:t> pojetí národních účtů.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97EB3D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DC"/>
    <w:rsid w:val="00007D21"/>
    <w:rsid w:val="00021827"/>
    <w:rsid w:val="00043BF4"/>
    <w:rsid w:val="000452F7"/>
    <w:rsid w:val="0006605B"/>
    <w:rsid w:val="000671A9"/>
    <w:rsid w:val="000754C2"/>
    <w:rsid w:val="000843A5"/>
    <w:rsid w:val="00086DF2"/>
    <w:rsid w:val="000910DA"/>
    <w:rsid w:val="00096D6C"/>
    <w:rsid w:val="000B5788"/>
    <w:rsid w:val="000B6F63"/>
    <w:rsid w:val="000D093F"/>
    <w:rsid w:val="000D3E39"/>
    <w:rsid w:val="000D43C4"/>
    <w:rsid w:val="000E43CC"/>
    <w:rsid w:val="000F5155"/>
    <w:rsid w:val="00100AD7"/>
    <w:rsid w:val="00106975"/>
    <w:rsid w:val="001404AB"/>
    <w:rsid w:val="001511B3"/>
    <w:rsid w:val="00152BAF"/>
    <w:rsid w:val="00153C11"/>
    <w:rsid w:val="0017231D"/>
    <w:rsid w:val="001810DC"/>
    <w:rsid w:val="00187632"/>
    <w:rsid w:val="001B607F"/>
    <w:rsid w:val="001C32EC"/>
    <w:rsid w:val="001D369A"/>
    <w:rsid w:val="001D41AA"/>
    <w:rsid w:val="001E4048"/>
    <w:rsid w:val="001F08B3"/>
    <w:rsid w:val="001F2FE0"/>
    <w:rsid w:val="001F662E"/>
    <w:rsid w:val="00200854"/>
    <w:rsid w:val="00204D2E"/>
    <w:rsid w:val="002070FB"/>
    <w:rsid w:val="00212A59"/>
    <w:rsid w:val="00213729"/>
    <w:rsid w:val="00221ABB"/>
    <w:rsid w:val="002345FB"/>
    <w:rsid w:val="002406FA"/>
    <w:rsid w:val="00244039"/>
    <w:rsid w:val="0024665B"/>
    <w:rsid w:val="00254511"/>
    <w:rsid w:val="00257E5C"/>
    <w:rsid w:val="0026107B"/>
    <w:rsid w:val="00275DF8"/>
    <w:rsid w:val="00283787"/>
    <w:rsid w:val="00284C2C"/>
    <w:rsid w:val="00290A6A"/>
    <w:rsid w:val="00292421"/>
    <w:rsid w:val="002A445A"/>
    <w:rsid w:val="002B2E47"/>
    <w:rsid w:val="002D2649"/>
    <w:rsid w:val="002D7F4F"/>
    <w:rsid w:val="002E7888"/>
    <w:rsid w:val="00311F84"/>
    <w:rsid w:val="00324416"/>
    <w:rsid w:val="003301A3"/>
    <w:rsid w:val="003574AA"/>
    <w:rsid w:val="0036777B"/>
    <w:rsid w:val="003734EA"/>
    <w:rsid w:val="0038282A"/>
    <w:rsid w:val="00397580"/>
    <w:rsid w:val="003A45C8"/>
    <w:rsid w:val="003C2DCF"/>
    <w:rsid w:val="003C4F7B"/>
    <w:rsid w:val="003C7FE7"/>
    <w:rsid w:val="003D0499"/>
    <w:rsid w:val="003D3576"/>
    <w:rsid w:val="003D529B"/>
    <w:rsid w:val="003F526A"/>
    <w:rsid w:val="00405244"/>
    <w:rsid w:val="004154C7"/>
    <w:rsid w:val="00426EF7"/>
    <w:rsid w:val="004436EE"/>
    <w:rsid w:val="0045547F"/>
    <w:rsid w:val="00471DEF"/>
    <w:rsid w:val="00472310"/>
    <w:rsid w:val="004767C2"/>
    <w:rsid w:val="004920AD"/>
    <w:rsid w:val="004C1BBB"/>
    <w:rsid w:val="004D05B3"/>
    <w:rsid w:val="004E479E"/>
    <w:rsid w:val="004E7B34"/>
    <w:rsid w:val="004F134E"/>
    <w:rsid w:val="004F686C"/>
    <w:rsid w:val="004F78E6"/>
    <w:rsid w:val="0050420E"/>
    <w:rsid w:val="0051104F"/>
    <w:rsid w:val="00512D99"/>
    <w:rsid w:val="005211E4"/>
    <w:rsid w:val="00531644"/>
    <w:rsid w:val="00531DBB"/>
    <w:rsid w:val="00573994"/>
    <w:rsid w:val="00585F13"/>
    <w:rsid w:val="00590A95"/>
    <w:rsid w:val="005D176A"/>
    <w:rsid w:val="005E007D"/>
    <w:rsid w:val="005E266F"/>
    <w:rsid w:val="005E7011"/>
    <w:rsid w:val="005F79FB"/>
    <w:rsid w:val="00604406"/>
    <w:rsid w:val="00605F4A"/>
    <w:rsid w:val="00607822"/>
    <w:rsid w:val="006103AA"/>
    <w:rsid w:val="00613BBF"/>
    <w:rsid w:val="00622B80"/>
    <w:rsid w:val="0064139A"/>
    <w:rsid w:val="00675C13"/>
    <w:rsid w:val="00680927"/>
    <w:rsid w:val="00683F5C"/>
    <w:rsid w:val="00692211"/>
    <w:rsid w:val="006931CF"/>
    <w:rsid w:val="006933A5"/>
    <w:rsid w:val="006B07AD"/>
    <w:rsid w:val="006C05CC"/>
    <w:rsid w:val="006C0678"/>
    <w:rsid w:val="006D21EB"/>
    <w:rsid w:val="006D545E"/>
    <w:rsid w:val="006E024F"/>
    <w:rsid w:val="006E2589"/>
    <w:rsid w:val="006E4E81"/>
    <w:rsid w:val="007048E3"/>
    <w:rsid w:val="00707F7D"/>
    <w:rsid w:val="00717EC5"/>
    <w:rsid w:val="00734E3E"/>
    <w:rsid w:val="00754C20"/>
    <w:rsid w:val="007705E2"/>
    <w:rsid w:val="00770C35"/>
    <w:rsid w:val="00787248"/>
    <w:rsid w:val="007A2048"/>
    <w:rsid w:val="007A57F2"/>
    <w:rsid w:val="007B1333"/>
    <w:rsid w:val="007C31D8"/>
    <w:rsid w:val="007C771E"/>
    <w:rsid w:val="007D51A5"/>
    <w:rsid w:val="007D6941"/>
    <w:rsid w:val="007F4AEB"/>
    <w:rsid w:val="007F75B2"/>
    <w:rsid w:val="00803993"/>
    <w:rsid w:val="008043C4"/>
    <w:rsid w:val="00817ADC"/>
    <w:rsid w:val="00824FAE"/>
    <w:rsid w:val="00831B1B"/>
    <w:rsid w:val="00844154"/>
    <w:rsid w:val="00855FB3"/>
    <w:rsid w:val="00861D0E"/>
    <w:rsid w:val="00862A04"/>
    <w:rsid w:val="008662BB"/>
    <w:rsid w:val="00867569"/>
    <w:rsid w:val="00870B17"/>
    <w:rsid w:val="00875591"/>
    <w:rsid w:val="00884917"/>
    <w:rsid w:val="00896680"/>
    <w:rsid w:val="008976A5"/>
    <w:rsid w:val="008A750A"/>
    <w:rsid w:val="008B3970"/>
    <w:rsid w:val="008C384C"/>
    <w:rsid w:val="008D0F11"/>
    <w:rsid w:val="008D5290"/>
    <w:rsid w:val="008D7206"/>
    <w:rsid w:val="008E402E"/>
    <w:rsid w:val="008F24E5"/>
    <w:rsid w:val="008F7395"/>
    <w:rsid w:val="008F73B4"/>
    <w:rsid w:val="00904B72"/>
    <w:rsid w:val="00912183"/>
    <w:rsid w:val="00930BA9"/>
    <w:rsid w:val="00937D59"/>
    <w:rsid w:val="0094322B"/>
    <w:rsid w:val="0094521E"/>
    <w:rsid w:val="00952CB9"/>
    <w:rsid w:val="009650E5"/>
    <w:rsid w:val="00970E4E"/>
    <w:rsid w:val="00981D35"/>
    <w:rsid w:val="00986DD7"/>
    <w:rsid w:val="009B3772"/>
    <w:rsid w:val="009B55B1"/>
    <w:rsid w:val="009B62A7"/>
    <w:rsid w:val="009F6573"/>
    <w:rsid w:val="00A0762A"/>
    <w:rsid w:val="00A1095E"/>
    <w:rsid w:val="00A128B1"/>
    <w:rsid w:val="00A15612"/>
    <w:rsid w:val="00A16A1F"/>
    <w:rsid w:val="00A25FB7"/>
    <w:rsid w:val="00A4343D"/>
    <w:rsid w:val="00A502F1"/>
    <w:rsid w:val="00A634B4"/>
    <w:rsid w:val="00A70A83"/>
    <w:rsid w:val="00A773BB"/>
    <w:rsid w:val="00A81EB3"/>
    <w:rsid w:val="00A955BC"/>
    <w:rsid w:val="00AB3410"/>
    <w:rsid w:val="00AD04BF"/>
    <w:rsid w:val="00AD7489"/>
    <w:rsid w:val="00AE4CA5"/>
    <w:rsid w:val="00AF17BC"/>
    <w:rsid w:val="00B00C1D"/>
    <w:rsid w:val="00B313AE"/>
    <w:rsid w:val="00B55375"/>
    <w:rsid w:val="00B632CC"/>
    <w:rsid w:val="00B81492"/>
    <w:rsid w:val="00BA12F1"/>
    <w:rsid w:val="00BA439F"/>
    <w:rsid w:val="00BA6370"/>
    <w:rsid w:val="00BB7CFF"/>
    <w:rsid w:val="00BF7B16"/>
    <w:rsid w:val="00C009CE"/>
    <w:rsid w:val="00C2083C"/>
    <w:rsid w:val="00C20872"/>
    <w:rsid w:val="00C269D4"/>
    <w:rsid w:val="00C31C8E"/>
    <w:rsid w:val="00C35900"/>
    <w:rsid w:val="00C37ADB"/>
    <w:rsid w:val="00C4160D"/>
    <w:rsid w:val="00C460EC"/>
    <w:rsid w:val="00C50E8B"/>
    <w:rsid w:val="00C8406E"/>
    <w:rsid w:val="00CA2DB0"/>
    <w:rsid w:val="00CB2709"/>
    <w:rsid w:val="00CB6F89"/>
    <w:rsid w:val="00CC0AE9"/>
    <w:rsid w:val="00CC6BC1"/>
    <w:rsid w:val="00CD618A"/>
    <w:rsid w:val="00CE13A2"/>
    <w:rsid w:val="00CE228C"/>
    <w:rsid w:val="00CE71D9"/>
    <w:rsid w:val="00CF4C28"/>
    <w:rsid w:val="00CF545B"/>
    <w:rsid w:val="00D209A7"/>
    <w:rsid w:val="00D27D69"/>
    <w:rsid w:val="00D33658"/>
    <w:rsid w:val="00D3597A"/>
    <w:rsid w:val="00D448C2"/>
    <w:rsid w:val="00D542D7"/>
    <w:rsid w:val="00D62B6D"/>
    <w:rsid w:val="00D666C3"/>
    <w:rsid w:val="00D67AAE"/>
    <w:rsid w:val="00D9189F"/>
    <w:rsid w:val="00DA1B7D"/>
    <w:rsid w:val="00DC014F"/>
    <w:rsid w:val="00DD6F49"/>
    <w:rsid w:val="00DF0E94"/>
    <w:rsid w:val="00DF47FE"/>
    <w:rsid w:val="00E0156A"/>
    <w:rsid w:val="00E13264"/>
    <w:rsid w:val="00E256DA"/>
    <w:rsid w:val="00E26704"/>
    <w:rsid w:val="00E31980"/>
    <w:rsid w:val="00E33152"/>
    <w:rsid w:val="00E6423C"/>
    <w:rsid w:val="00E7005C"/>
    <w:rsid w:val="00E93830"/>
    <w:rsid w:val="00E93E0E"/>
    <w:rsid w:val="00E960EF"/>
    <w:rsid w:val="00EB1ED3"/>
    <w:rsid w:val="00EC5239"/>
    <w:rsid w:val="00ED5A9F"/>
    <w:rsid w:val="00EE2AA4"/>
    <w:rsid w:val="00EE7526"/>
    <w:rsid w:val="00F02839"/>
    <w:rsid w:val="00F04EC3"/>
    <w:rsid w:val="00F20A70"/>
    <w:rsid w:val="00F21F7D"/>
    <w:rsid w:val="00F23889"/>
    <w:rsid w:val="00F60982"/>
    <w:rsid w:val="00F73827"/>
    <w:rsid w:val="00F75F2A"/>
    <w:rsid w:val="00F93A00"/>
    <w:rsid w:val="00FB687C"/>
    <w:rsid w:val="00FC2901"/>
    <w:rsid w:val="00FD0BAA"/>
    <w:rsid w:val="00FF37CD"/>
    <w:rsid w:val="00FF55C0"/>
    <w:rsid w:val="00FF5D4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4:docId w14:val="611BC386"/>
  <w15:docId w15:val="{E6155C0E-5F67-4EC3-A7EB-F374DDEE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981D35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981D35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81D35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semiHidden/>
    <w:rsid w:val="00981D35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770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A1B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ermiet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czso.cz/csu/czso/ctvrtletni-narodni-ucty-tvorba-a-uziti-hdp-a-predbezny-odhad-hd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benedikt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ecova8495\Downloads\Rychl&#225;%20informace%20CZ_2022-02-08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ABFS3\BARANNU\nu\QU\HDP\VYS\RI\2023\3Q\T30\Graf_HDP_T30_&#382;iv&#28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054117072575236E-2"/>
          <c:y val="0.14749411982623345"/>
          <c:w val="0.91732965970245384"/>
          <c:h val="0.6605133475398108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data!$D$5</c:f>
              <c:strCache>
                <c:ptCount val="1"/>
                <c:pt idx="0">
                  <c:v>Mezičtvrtletní reálná změna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multiLvlStrRef>
              <c:f>data!$B$79:$C$117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  <c:pt idx="28">
                    <c:v>2021</c:v>
                  </c:pt>
                  <c:pt idx="32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data!$D$79:$D$117</c:f>
              <c:numCache>
                <c:formatCode>#\ ##0.0</c:formatCode>
                <c:ptCount val="39"/>
                <c:pt idx="0">
                  <c:v>-0.5472596648587853</c:v>
                </c:pt>
                <c:pt idx="1">
                  <c:v>0.93305778146203977</c:v>
                </c:pt>
                <c:pt idx="2">
                  <c:v>1.1848893105208589</c:v>
                </c:pt>
                <c:pt idx="3">
                  <c:v>1.1558890782385873</c:v>
                </c:pt>
                <c:pt idx="4">
                  <c:v>1.8888755985913832</c:v>
                </c:pt>
                <c:pt idx="5">
                  <c:v>1.3568774225193749</c:v>
                </c:pt>
                <c:pt idx="6">
                  <c:v>1.212205693605739</c:v>
                </c:pt>
                <c:pt idx="7">
                  <c:v>0.59715455076982948</c:v>
                </c:pt>
                <c:pt idx="8">
                  <c:v>0.1528358160694836</c:v>
                </c:pt>
                <c:pt idx="9">
                  <c:v>0.32306313223966754</c:v>
                </c:pt>
                <c:pt idx="10">
                  <c:v>0.90692480534380593</c:v>
                </c:pt>
                <c:pt idx="11">
                  <c:v>0.77759726062416235</c:v>
                </c:pt>
                <c:pt idx="12">
                  <c:v>1.6343481108357309</c:v>
                </c:pt>
                <c:pt idx="13">
                  <c:v>2.4820544790542982</c:v>
                </c:pt>
                <c:pt idx="14">
                  <c:v>0.84419801980197917</c:v>
                </c:pt>
                <c:pt idx="15">
                  <c:v>0.82574197389484993</c:v>
                </c:pt>
                <c:pt idx="16">
                  <c:v>0.51859772519729574</c:v>
                </c:pt>
                <c:pt idx="17">
                  <c:v>0.5912374750303826</c:v>
                </c:pt>
                <c:pt idx="18">
                  <c:v>0.73257343037091971</c:v>
                </c:pt>
                <c:pt idx="19">
                  <c:v>0.76492186562109055</c:v>
                </c:pt>
                <c:pt idx="20">
                  <c:v>0.87101711877043897</c:v>
                </c:pt>
                <c:pt idx="21">
                  <c:v>0.65493675873298685</c:v>
                </c:pt>
                <c:pt idx="22">
                  <c:v>0.69787672499455766</c:v>
                </c:pt>
                <c:pt idx="23">
                  <c:v>0.53962669151388809</c:v>
                </c:pt>
                <c:pt idx="24">
                  <c:v>-3.3149705245738517</c:v>
                </c:pt>
                <c:pt idx="25">
                  <c:v>-8.8756873103285301</c:v>
                </c:pt>
                <c:pt idx="26">
                  <c:v>7.0042605595799046</c:v>
                </c:pt>
                <c:pt idx="27">
                  <c:v>1.2293333255930037</c:v>
                </c:pt>
                <c:pt idx="28">
                  <c:v>-0.63240914714887708</c:v>
                </c:pt>
                <c:pt idx="29">
                  <c:v>1.4350510102822795</c:v>
                </c:pt>
                <c:pt idx="30">
                  <c:v>1.7526194188431674</c:v>
                </c:pt>
                <c:pt idx="31">
                  <c:v>0.83193694511574279</c:v>
                </c:pt>
                <c:pt idx="32">
                  <c:v>0.58737418161310018</c:v>
                </c:pt>
                <c:pt idx="33">
                  <c:v>0.15286316349390461</c:v>
                </c:pt>
                <c:pt idx="34">
                  <c:v>-0.22565726268484809</c:v>
                </c:pt>
                <c:pt idx="35">
                  <c:v>-0.39168266154831599</c:v>
                </c:pt>
                <c:pt idx="36">
                  <c:v>8.7121063941907551E-2</c:v>
                </c:pt>
                <c:pt idx="37">
                  <c:v>-2.4774033029288489E-2</c:v>
                </c:pt>
                <c:pt idx="38">
                  <c:v>-0.29937286648041095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87-4833-B233-8483F62E730E}"/>
            </c:ext>
          </c:extLst>
        </c:ser>
        <c:ser>
          <c:idx val="0"/>
          <c:order val="1"/>
          <c:tx>
            <c:strRef>
              <c:f>data!$G$5</c:f>
              <c:strCache>
                <c:ptCount val="1"/>
                <c:pt idx="0">
                  <c:v>Meziroční reálná změna</c:v>
                </c:pt>
              </c:strCache>
            </c:strRef>
          </c:tx>
          <c:spPr>
            <a:solidFill>
              <a:srgbClr val="BD1B21"/>
            </a:solidFill>
            <a:ln>
              <a:noFill/>
            </a:ln>
          </c:spPr>
          <c:invertIfNegative val="0"/>
          <c:cat>
            <c:multiLvlStrRef>
              <c:f>data!$B$79:$C$117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  <c:pt idx="28">
                    <c:v>2021</c:v>
                  </c:pt>
                  <c:pt idx="32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data!$G$79:$G$117</c:f>
              <c:numCache>
                <c:formatCode>#\ ##0.0</c:formatCode>
                <c:ptCount val="39"/>
                <c:pt idx="0">
                  <c:v>1.4567521233719276</c:v>
                </c:pt>
                <c:pt idx="1">
                  <c:v>2.0289026067887619</c:v>
                </c:pt>
                <c:pt idx="2">
                  <c:v>2.8000321506305426</c:v>
                </c:pt>
                <c:pt idx="3">
                  <c:v>2.7441295551532363</c:v>
                </c:pt>
                <c:pt idx="4">
                  <c:v>5.2608887342199324</c:v>
                </c:pt>
                <c:pt idx="5">
                  <c:v>5.7028810116886746</c:v>
                </c:pt>
                <c:pt idx="6">
                  <c:v>5.7314170946015253</c:v>
                </c:pt>
                <c:pt idx="7">
                  <c:v>5.1474096393038451</c:v>
                </c:pt>
                <c:pt idx="8">
                  <c:v>3.3558491270247117</c:v>
                </c:pt>
                <c:pt idx="9">
                  <c:v>2.3016458353616258</c:v>
                </c:pt>
                <c:pt idx="10">
                  <c:v>1.9930789278700445</c:v>
                </c:pt>
                <c:pt idx="11">
                  <c:v>2.1760255293948632</c:v>
                </c:pt>
                <c:pt idx="12">
                  <c:v>3.6874658877103172</c:v>
                </c:pt>
                <c:pt idx="13">
                  <c:v>5.9188604906604354</c:v>
                </c:pt>
                <c:pt idx="14">
                  <c:v>5.8530181348493784</c:v>
                </c:pt>
                <c:pt idx="15">
                  <c:v>5.9035875406048888</c:v>
                </c:pt>
                <c:pt idx="16">
                  <c:v>4.7409690869492067</c:v>
                </c:pt>
                <c:pt idx="17">
                  <c:v>2.8084745992628513</c:v>
                </c:pt>
                <c:pt idx="18">
                  <c:v>2.6946757492296172</c:v>
                </c:pt>
                <c:pt idx="19">
                  <c:v>2.6327282626460686</c:v>
                </c:pt>
                <c:pt idx="20">
                  <c:v>2.9925598229108203</c:v>
                </c:pt>
                <c:pt idx="21">
                  <c:v>3.0577797411869341</c:v>
                </c:pt>
                <c:pt idx="22">
                  <c:v>3.022282133028483</c:v>
                </c:pt>
                <c:pt idx="23">
                  <c:v>2.7919398416799623</c:v>
                </c:pt>
                <c:pt idx="24">
                  <c:v>-1.4737630559722419</c:v>
                </c:pt>
                <c:pt idx="25">
                  <c:v>-10.802828827516109</c:v>
                </c:pt>
                <c:pt idx="26">
                  <c:v>-5.2166971565464166</c:v>
                </c:pt>
                <c:pt idx="27">
                  <c:v>-4.5664791785978451</c:v>
                </c:pt>
                <c:pt idx="28">
                  <c:v>-1.9186413648622107</c:v>
                </c:pt>
                <c:pt idx="29">
                  <c:v>9.1792884100474765</c:v>
                </c:pt>
                <c:pt idx="30">
                  <c:v>3.8208995035486311</c:v>
                </c:pt>
                <c:pt idx="31">
                  <c:v>3.4133294018282072</c:v>
                </c:pt>
                <c:pt idx="32">
                  <c:v>4.6827760503125972</c:v>
                </c:pt>
                <c:pt idx="33">
                  <c:v>3.3595353964859953</c:v>
                </c:pt>
                <c:pt idx="34">
                  <c:v>1.3500170189121974</c:v>
                </c:pt>
                <c:pt idx="35">
                  <c:v>0.12011038697296783</c:v>
                </c:pt>
                <c:pt idx="36">
                  <c:v>-0.37781887870443143</c:v>
                </c:pt>
                <c:pt idx="37">
                  <c:v>-0.55451482534974161</c:v>
                </c:pt>
                <c:pt idx="38">
                  <c:v>-0.62798746153329432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87-4833-B233-8483F62E73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6"/>
        <c:axId val="200844800"/>
        <c:axId val="44289984"/>
      </c:barChart>
      <c:catAx>
        <c:axId val="2008448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algn="ctr">
                  <a:defRPr/>
                </a:pPr>
                <a:r>
                  <a:rPr lang="cs-CZ" sz="600" b="1" i="0"/>
                  <a:t>Čtvrtletí</a:t>
                </a:r>
              </a:p>
            </c:rich>
          </c:tx>
          <c:layout>
            <c:manualLayout>
              <c:xMode val="edge"/>
              <c:yMode val="edge"/>
              <c:x val="0.47599321872045641"/>
              <c:y val="0.88230044181137623"/>
            </c:manualLayout>
          </c:layout>
          <c:overlay val="0"/>
        </c:title>
        <c:numFmt formatCode="General" sourceLinked="0"/>
        <c:majorTickMark val="out"/>
        <c:minorTickMark val="none"/>
        <c:tickLblPos val="low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430" baseline="0"/>
            </a:pPr>
            <a:endParaRPr lang="cs-CZ"/>
          </a:p>
        </c:txPr>
        <c:crossAx val="44289984"/>
        <c:crossesAt val="0"/>
        <c:auto val="1"/>
        <c:lblAlgn val="ctr"/>
        <c:lblOffset val="100"/>
        <c:noMultiLvlLbl val="0"/>
      </c:catAx>
      <c:valAx>
        <c:axId val="44289984"/>
        <c:scaling>
          <c:orientation val="minMax"/>
          <c:max val="10"/>
          <c:min val="-12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600" baseline="0"/>
                </a:pPr>
                <a:r>
                  <a:rPr lang="cs-CZ" sz="600" baseline="0"/>
                  <a:t>%</a:t>
                </a:r>
                <a:endParaRPr lang="cs-CZ" sz="600" b="0" i="1" baseline="0"/>
              </a:p>
            </c:rich>
          </c:tx>
          <c:layout>
            <c:manualLayout>
              <c:xMode val="edge"/>
              <c:yMode val="edge"/>
              <c:x val="1.800704635586178E-2"/>
              <c:y val="0.42288854967985046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430" baseline="0"/>
            </a:pPr>
            <a:endParaRPr lang="cs-CZ"/>
          </a:p>
        </c:txPr>
        <c:crossAx val="200844800"/>
        <c:crosses val="autoZero"/>
        <c:crossBetween val="between"/>
        <c:majorUnit val="2"/>
      </c:valAx>
      <c:spPr>
        <a:ln>
          <a:solidFill>
            <a:schemeClr val="bg1">
              <a:lumMod val="75000"/>
            </a:schemeClr>
          </a:solidFill>
        </a:ln>
      </c:spPr>
    </c:plotArea>
    <c:legend>
      <c:legendPos val="r"/>
      <c:legendEntry>
        <c:idx val="0"/>
        <c:txPr>
          <a:bodyPr/>
          <a:lstStyle/>
          <a:p>
            <a:pPr>
              <a:defRPr sz="600"/>
            </a:pPr>
            <a:endParaRPr lang="cs-CZ"/>
          </a:p>
        </c:txPr>
      </c:legendEntry>
      <c:legendEntry>
        <c:idx val="1"/>
        <c:txPr>
          <a:bodyPr/>
          <a:lstStyle/>
          <a:p>
            <a:pPr>
              <a:defRPr sz="600"/>
            </a:pPr>
            <a:endParaRPr lang="cs-CZ"/>
          </a:p>
        </c:txPr>
      </c:legendEntry>
      <c:layout>
        <c:manualLayout>
          <c:xMode val="edge"/>
          <c:yMode val="edge"/>
          <c:x val="1.0071260017624607E-2"/>
          <c:y val="0.91938196784902826"/>
          <c:w val="0.97560887856009215"/>
          <c:h val="4.1594148140311635E-2"/>
        </c:manualLayout>
      </c:layout>
      <c:overlay val="0"/>
      <c:spPr>
        <a:solidFill>
          <a:schemeClr val="bg1">
            <a:lumMod val="95000"/>
          </a:schemeClr>
        </a:solidFill>
      </c:spPr>
    </c:legend>
    <c:plotVisOnly val="1"/>
    <c:dispBlanksAs val="gap"/>
    <c:showDLblsOverMax val="0"/>
  </c:chart>
  <c:spPr>
    <a:ln w="6350">
      <a:solidFill>
        <a:schemeClr val="bg1">
          <a:lumMod val="50000"/>
        </a:schemeClr>
      </a:solidFill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0.01172</cdr:x>
      <cdr:y>0.01536</cdr:y>
    </cdr:from>
    <cdr:to>
      <cdr:x>0.98783</cdr:x>
      <cdr:y>0.12092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14300" y="76201"/>
          <a:ext cx="9522637" cy="52387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95000"/>
          </a:schemeClr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10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Hrubý domácí produkt</a:t>
          </a:r>
        </a:p>
        <a:p xmlns:a="http://schemas.openxmlformats.org/drawingml/2006/main"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1000" b="0" i="1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mezičtvrtletní a meziroční reálná změna, sezónně očištěno</a:t>
          </a:r>
          <a:endParaRPr lang="cs-CZ" sz="1000" b="0" i="1" cap="none" baseline="0">
            <a:latin typeface="Arial" pitchFamily="34" charset="0"/>
            <a:ea typeface="+mn-ea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175005e2ea5ecf0e1a948e55b2687d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11fdabfc6cbe7f4b8473a085417dff9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33FD48-8067-4F8B-9783-75B5FBD8DD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BF81A1-BD36-48BB-8524-21E1C9B71647}"/>
</file>

<file path=customXml/itemProps3.xml><?xml version="1.0" encoding="utf-8"?>
<ds:datastoreItem xmlns:ds="http://schemas.openxmlformats.org/officeDocument/2006/customXml" ds:itemID="{6932FAEF-7F38-4BB0-8DC2-06BC6F87654D}"/>
</file>

<file path=customXml/itemProps4.xml><?xml version="1.0" encoding="utf-8"?>
<ds:datastoreItem xmlns:ds="http://schemas.openxmlformats.org/officeDocument/2006/customXml" ds:itemID="{E86897C8-B758-4E29-AC71-98FFF848037E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317</TotalTime>
  <Pages>2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1959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svecova8495</dc:creator>
  <cp:lastModifiedBy>Kermiet Vladimír</cp:lastModifiedBy>
  <cp:revision>53</cp:revision>
  <dcterms:created xsi:type="dcterms:W3CDTF">2022-04-26T12:58:00Z</dcterms:created>
  <dcterms:modified xsi:type="dcterms:W3CDTF">2023-10-30T08:37:00Z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fcc7f346f9d57ca3e9fdceab71da11931c11cb5433d1dfb07e1f92a123241916</vt:lpwstr>
  </property>
  <property fmtid="{D5CDD505-2E9C-101B-9397-08002B2CF9AE}" pid="3" name="ContentTypeId">
    <vt:lpwstr>0x0101009B8972258C6CE84A9BC1C4F526E18580</vt:lpwstr>
  </property>
</Properties>
</file>