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77" w:rsidRPr="000533DD" w:rsidRDefault="000A2EE6" w:rsidP="00DF3F77">
      <w:pPr>
        <w:pStyle w:val="datum0"/>
        <w:spacing w:line="276" w:lineRule="auto"/>
        <w:rPr>
          <w:lang w:val="cs-CZ"/>
        </w:rPr>
      </w:pPr>
      <w:r>
        <w:rPr>
          <w:lang w:val="cs-CZ"/>
        </w:rPr>
        <w:t>6</w:t>
      </w:r>
      <w:r w:rsidR="00DF3F77" w:rsidRPr="000533DD">
        <w:rPr>
          <w:lang w:val="cs-CZ"/>
        </w:rPr>
        <w:t xml:space="preserve">. </w:t>
      </w:r>
      <w:r w:rsidR="00800720">
        <w:rPr>
          <w:lang w:val="cs-CZ"/>
        </w:rPr>
        <w:t>2</w:t>
      </w:r>
      <w:r w:rsidR="00DF3F77" w:rsidRPr="000533DD">
        <w:rPr>
          <w:lang w:val="cs-CZ"/>
        </w:rPr>
        <w:t>. 202</w:t>
      </w:r>
      <w:r w:rsidR="00800720">
        <w:rPr>
          <w:lang w:val="cs-CZ"/>
        </w:rPr>
        <w:t>4</w:t>
      </w:r>
    </w:p>
    <w:p w:rsidR="00DF3F77" w:rsidRDefault="00163846" w:rsidP="00DF3F77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 w:rsidRPr="00CF6368">
        <w:rPr>
          <w:color w:val="BD1B21"/>
          <w:sz w:val="32"/>
          <w:szCs w:val="32"/>
        </w:rPr>
        <w:t>Stavebn</w:t>
      </w:r>
      <w:r w:rsidR="003D5BA6" w:rsidRPr="00CF6368">
        <w:rPr>
          <w:color w:val="BD1B21"/>
          <w:sz w:val="32"/>
          <w:szCs w:val="32"/>
        </w:rPr>
        <w:t>í produkce</w:t>
      </w:r>
      <w:r w:rsidRPr="00CF6368">
        <w:rPr>
          <w:color w:val="BD1B21"/>
          <w:sz w:val="32"/>
          <w:szCs w:val="32"/>
        </w:rPr>
        <w:t xml:space="preserve"> v </w:t>
      </w:r>
      <w:r w:rsidR="00CB0834" w:rsidRPr="00CF6368">
        <w:rPr>
          <w:color w:val="BD1B21"/>
          <w:sz w:val="32"/>
          <w:szCs w:val="32"/>
        </w:rPr>
        <w:t>roce</w:t>
      </w:r>
      <w:r w:rsidRPr="00CF6368">
        <w:rPr>
          <w:color w:val="BD1B21"/>
          <w:sz w:val="32"/>
          <w:szCs w:val="32"/>
        </w:rPr>
        <w:t xml:space="preserve"> 202</w:t>
      </w:r>
      <w:r w:rsidR="0089574E" w:rsidRPr="00CF6368">
        <w:rPr>
          <w:color w:val="BD1B21"/>
          <w:sz w:val="32"/>
          <w:szCs w:val="32"/>
        </w:rPr>
        <w:t>3</w:t>
      </w:r>
      <w:r w:rsidR="003D5BA6" w:rsidRPr="00CF6368">
        <w:rPr>
          <w:color w:val="BD1B21"/>
          <w:sz w:val="32"/>
          <w:szCs w:val="32"/>
        </w:rPr>
        <w:t xml:space="preserve"> </w:t>
      </w:r>
      <w:r w:rsidR="00A012C8" w:rsidRPr="00CF6368">
        <w:rPr>
          <w:color w:val="BD1B21"/>
          <w:sz w:val="32"/>
          <w:szCs w:val="32"/>
        </w:rPr>
        <w:t>klesla</w:t>
      </w:r>
      <w:r w:rsidR="00441BB4" w:rsidRPr="00CF6368">
        <w:rPr>
          <w:color w:val="BD1B21"/>
          <w:sz w:val="32"/>
          <w:szCs w:val="32"/>
        </w:rPr>
        <w:t xml:space="preserve"> o </w:t>
      </w:r>
      <w:r w:rsidR="00CE1FD1" w:rsidRPr="00CF6368">
        <w:rPr>
          <w:color w:val="BD1B21"/>
          <w:sz w:val="32"/>
          <w:szCs w:val="32"/>
        </w:rPr>
        <w:t>2,6</w:t>
      </w:r>
      <w:r w:rsidR="003D5BA6" w:rsidRPr="00CF6368">
        <w:rPr>
          <w:color w:val="BD1B21"/>
          <w:sz w:val="32"/>
          <w:szCs w:val="32"/>
        </w:rPr>
        <w:t> %</w:t>
      </w:r>
    </w:p>
    <w:p w:rsidR="00CB2FA3" w:rsidRPr="00C6404B" w:rsidRDefault="00CB2FA3" w:rsidP="00CB2FA3">
      <w:pPr>
        <w:pStyle w:val="Podtitulek"/>
      </w:pPr>
      <w:r>
        <w:t>Doplňující informace k RI Stavebnictví</w:t>
      </w:r>
      <w:r w:rsidRPr="00C6404B">
        <w:t xml:space="preserve"> – </w:t>
      </w:r>
      <w:r w:rsidR="000F520B">
        <w:t>prosinec</w:t>
      </w:r>
      <w:r w:rsidRPr="00C6404B">
        <w:t xml:space="preserve"> 202</w:t>
      </w:r>
      <w:r w:rsidR="0089574E">
        <w:t>3</w:t>
      </w:r>
    </w:p>
    <w:p w:rsidR="00B176CB" w:rsidRPr="00B176CB" w:rsidRDefault="00B176CB" w:rsidP="00B176CB">
      <w:pPr>
        <w:spacing w:before="120"/>
        <w:rPr>
          <w:rFonts w:cs="Arial"/>
        </w:rPr>
      </w:pPr>
      <w:r w:rsidRPr="00B176CB">
        <w:rPr>
          <w:rFonts w:cs="Arial"/>
        </w:rPr>
        <w:t>Stavební produkce v roce 2023 meziročně klesla o 2,</w:t>
      </w:r>
      <w:r>
        <w:rPr>
          <w:rFonts w:cs="Arial"/>
        </w:rPr>
        <w:t>6</w:t>
      </w:r>
      <w:r w:rsidRPr="00B176CB">
        <w:rPr>
          <w:rFonts w:cs="Arial"/>
        </w:rPr>
        <w:t xml:space="preserve"> </w:t>
      </w:r>
      <w:r w:rsidRPr="00CF6368">
        <w:rPr>
          <w:rFonts w:cs="Arial"/>
        </w:rPr>
        <w:t>%</w:t>
      </w:r>
      <w:r w:rsidR="00CF6368" w:rsidRPr="00CF6368">
        <w:rPr>
          <w:rFonts w:cs="Arial"/>
          <w:szCs w:val="20"/>
        </w:rPr>
        <w:t xml:space="preserve"> a prudší pokles byl zaznamenán v segmentu inženýrského stavitelství</w:t>
      </w:r>
      <w:r w:rsidRPr="00B176CB">
        <w:rPr>
          <w:rFonts w:cs="Arial"/>
        </w:rPr>
        <w:t xml:space="preserve">, </w:t>
      </w:r>
      <w:r w:rsidR="00CF6368">
        <w:rPr>
          <w:rFonts w:cs="Arial"/>
        </w:rPr>
        <w:t>jehož produkce</w:t>
      </w:r>
      <w:r w:rsidRPr="00B176CB">
        <w:rPr>
          <w:rFonts w:cs="Arial"/>
        </w:rPr>
        <w:t xml:space="preserve"> meziročně klesl</w:t>
      </w:r>
      <w:r w:rsidR="00CF6368">
        <w:rPr>
          <w:rFonts w:cs="Arial"/>
        </w:rPr>
        <w:t>a</w:t>
      </w:r>
      <w:r w:rsidRPr="00B176CB">
        <w:rPr>
          <w:rFonts w:cs="Arial"/>
        </w:rPr>
        <w:t xml:space="preserve"> o </w:t>
      </w:r>
      <w:r>
        <w:rPr>
          <w:rFonts w:cs="Arial"/>
        </w:rPr>
        <w:t>4,7 %</w:t>
      </w:r>
      <w:r w:rsidR="00AC4A45">
        <w:rPr>
          <w:rFonts w:cs="Arial"/>
        </w:rPr>
        <w:t>. Produkce v </w:t>
      </w:r>
      <w:r w:rsidRPr="00B176CB">
        <w:rPr>
          <w:rFonts w:cs="Arial"/>
        </w:rPr>
        <w:t>pozemním stavitels</w:t>
      </w:r>
      <w:r>
        <w:rPr>
          <w:rFonts w:cs="Arial"/>
        </w:rPr>
        <w:t xml:space="preserve">tví klesla </w:t>
      </w:r>
      <w:r w:rsidR="00AC4A45">
        <w:rPr>
          <w:rFonts w:cs="Arial"/>
        </w:rPr>
        <w:t>o </w:t>
      </w:r>
      <w:r>
        <w:rPr>
          <w:rFonts w:cs="Arial"/>
        </w:rPr>
        <w:t>1,8</w:t>
      </w:r>
      <w:r w:rsidRPr="00B176CB">
        <w:rPr>
          <w:rFonts w:cs="Arial"/>
        </w:rPr>
        <w:t xml:space="preserve"> %</w:t>
      </w:r>
      <w:r w:rsidR="00AC4A45">
        <w:rPr>
          <w:rFonts w:cs="Arial"/>
        </w:rPr>
        <w:t xml:space="preserve">. Příspěvek obou segmentů </w:t>
      </w:r>
      <w:r w:rsidR="00CC2579">
        <w:rPr>
          <w:rFonts w:cs="Arial"/>
        </w:rPr>
        <w:t>k</w:t>
      </w:r>
      <w:bookmarkStart w:id="0" w:name="_GoBack"/>
      <w:bookmarkEnd w:id="0"/>
      <w:r w:rsidR="00AC4A45">
        <w:rPr>
          <w:rFonts w:cs="Arial"/>
        </w:rPr>
        <w:t> celkovému poklesu byl stejný (</w:t>
      </w:r>
      <w:r w:rsidRPr="00B176CB">
        <w:rPr>
          <w:rFonts w:cs="Arial"/>
        </w:rPr>
        <w:t>-1,</w:t>
      </w:r>
      <w:r>
        <w:rPr>
          <w:rFonts w:cs="Arial"/>
        </w:rPr>
        <w:t>3</w:t>
      </w:r>
      <w:r w:rsidRPr="00B176CB">
        <w:rPr>
          <w:rFonts w:cs="Arial"/>
        </w:rPr>
        <w:t xml:space="preserve"> </w:t>
      </w:r>
      <w:r w:rsidR="00AC4A45" w:rsidRPr="00B176CB">
        <w:rPr>
          <w:rFonts w:cs="Arial"/>
        </w:rPr>
        <w:t>procentního bodu</w:t>
      </w:r>
      <w:r w:rsidRPr="00B176CB">
        <w:rPr>
          <w:rFonts w:cs="Arial"/>
        </w:rPr>
        <w:t>)</w:t>
      </w:r>
      <w:r w:rsidR="00AC4A45">
        <w:rPr>
          <w:rFonts w:cs="Arial"/>
        </w:rPr>
        <w:t xml:space="preserve"> z důvodu rozdílného váhového zastoupení.</w:t>
      </w:r>
      <w:r w:rsidRPr="00B176CB">
        <w:rPr>
          <w:rFonts w:cs="Arial"/>
        </w:rPr>
        <w:t xml:space="preserve"> V 1. čtvrtletí klesala stavební produkce pomaleji (-1,2 %). Na poklesu se podepsalo inženýrské stavitelství a naopak pozemní stavitelství se pohybovalo v kladných číslech. Ve 2. čtvrtletí meziro</w:t>
      </w:r>
      <w:r w:rsidR="004C420B">
        <w:rPr>
          <w:rFonts w:cs="Arial"/>
        </w:rPr>
        <w:t>ční pokles zrychlil na -3,0 % a </w:t>
      </w:r>
      <w:r w:rsidRPr="00B176CB">
        <w:rPr>
          <w:rFonts w:cs="Arial"/>
        </w:rPr>
        <w:t>rozdíly mezi segmenty již nebyly tak výrazné, když oba klesly pod úroveň loňs</w:t>
      </w:r>
      <w:r w:rsidR="004C420B">
        <w:rPr>
          <w:rFonts w:cs="Arial"/>
        </w:rPr>
        <w:t>kého roku. Ve 3. </w:t>
      </w:r>
      <w:r w:rsidRPr="00B176CB">
        <w:rPr>
          <w:rFonts w:cs="Arial"/>
        </w:rPr>
        <w:t xml:space="preserve">čtvrtletí stavební produkce meziročně </w:t>
      </w:r>
      <w:r w:rsidR="004C420B">
        <w:rPr>
          <w:rFonts w:cs="Arial"/>
        </w:rPr>
        <w:t>dále klesala</w:t>
      </w:r>
      <w:r>
        <w:rPr>
          <w:rFonts w:cs="Arial"/>
        </w:rPr>
        <w:t> (-1,7 </w:t>
      </w:r>
      <w:r w:rsidRPr="00B176CB">
        <w:rPr>
          <w:rFonts w:cs="Arial"/>
        </w:rPr>
        <w:t xml:space="preserve">%) a </w:t>
      </w:r>
      <w:r w:rsidR="004C420B">
        <w:rPr>
          <w:rFonts w:cs="Arial"/>
        </w:rPr>
        <w:t>meziroční pokles v posledním čtvrtletí ještě zrychlil</w:t>
      </w:r>
      <w:r w:rsidRPr="00B176CB">
        <w:rPr>
          <w:rFonts w:cs="Arial"/>
        </w:rPr>
        <w:t xml:space="preserve"> (-</w:t>
      </w:r>
      <w:r>
        <w:rPr>
          <w:rFonts w:cs="Arial"/>
        </w:rPr>
        <w:t>4,0</w:t>
      </w:r>
      <w:r w:rsidRPr="00B176CB">
        <w:rPr>
          <w:rFonts w:cs="Arial"/>
        </w:rPr>
        <w:t xml:space="preserve"> %). </w:t>
      </w:r>
      <w:r w:rsidR="004C420B">
        <w:rPr>
          <w:rFonts w:cs="Arial"/>
        </w:rPr>
        <w:t>V druhé polovině roku rozdíl mezi vývojem v segmentech nebyl výrazný, oba byly pod úrovní předchozího roku.</w:t>
      </w:r>
    </w:p>
    <w:p w:rsidR="00B176CB" w:rsidRDefault="00B176CB" w:rsidP="00B176CB">
      <w:pPr>
        <w:spacing w:before="120"/>
        <w:rPr>
          <w:rFonts w:cs="Arial"/>
        </w:rPr>
      </w:pPr>
      <w:r w:rsidRPr="00B176CB">
        <w:rPr>
          <w:rFonts w:cs="Arial"/>
        </w:rPr>
        <w:t>Stavební podniky s 50 a více zaměstnanci v roce 2023 v tuzemsku uzavřely 75</w:t>
      </w:r>
      <w:r>
        <w:rPr>
          <w:rFonts w:cs="Arial"/>
        </w:rPr>
        <w:t> </w:t>
      </w:r>
      <w:r w:rsidRPr="00B176CB">
        <w:rPr>
          <w:rFonts w:cs="Arial"/>
        </w:rPr>
        <w:t>986</w:t>
      </w:r>
      <w:r>
        <w:rPr>
          <w:rFonts w:cs="Arial"/>
        </w:rPr>
        <w:t xml:space="preserve"> </w:t>
      </w:r>
      <w:r w:rsidRPr="00B176CB">
        <w:rPr>
          <w:rFonts w:cs="Arial"/>
        </w:rPr>
        <w:t>stavebních zakázek</w:t>
      </w:r>
      <w:r w:rsidR="006A2229">
        <w:rPr>
          <w:rFonts w:cs="Arial"/>
        </w:rPr>
        <w:t>,</w:t>
      </w:r>
      <w:r w:rsidRPr="00B176CB">
        <w:rPr>
          <w:rFonts w:cs="Arial"/>
        </w:rPr>
        <w:t xml:space="preserve"> me</w:t>
      </w:r>
      <w:r>
        <w:rPr>
          <w:rFonts w:cs="Arial"/>
        </w:rPr>
        <w:t xml:space="preserve">ziročně </w:t>
      </w:r>
      <w:r w:rsidR="006A2229">
        <w:rPr>
          <w:rFonts w:cs="Arial"/>
        </w:rPr>
        <w:t>o </w:t>
      </w:r>
      <w:r>
        <w:rPr>
          <w:rFonts w:cs="Arial"/>
        </w:rPr>
        <w:t>3,7</w:t>
      </w:r>
      <w:r w:rsidRPr="00B176CB">
        <w:rPr>
          <w:rFonts w:cs="Arial"/>
        </w:rPr>
        <w:t xml:space="preserve"> % </w:t>
      </w:r>
      <w:r w:rsidR="006A2229">
        <w:rPr>
          <w:rFonts w:cs="Arial"/>
        </w:rPr>
        <w:t>méně</w:t>
      </w:r>
      <w:r w:rsidRPr="00B176CB">
        <w:rPr>
          <w:rFonts w:cs="Arial"/>
        </w:rPr>
        <w:t xml:space="preserve">. Celková hodnota těchto zakázek se meziročně </w:t>
      </w:r>
      <w:r w:rsidR="006A2229">
        <w:rPr>
          <w:rFonts w:cs="Arial"/>
        </w:rPr>
        <w:t>stagnovala (</w:t>
      </w:r>
      <w:r w:rsidR="006A2229">
        <w:rPr>
          <w:rFonts w:cs="Arial"/>
        </w:rPr>
        <w:noBreakHyphen/>
      </w:r>
      <w:r>
        <w:rPr>
          <w:rFonts w:cs="Arial"/>
        </w:rPr>
        <w:t xml:space="preserve">0,6 </w:t>
      </w:r>
      <w:r w:rsidRPr="00B176CB">
        <w:rPr>
          <w:rFonts w:cs="Arial"/>
        </w:rPr>
        <w:t>%</w:t>
      </w:r>
      <w:r w:rsidR="006A2229">
        <w:rPr>
          <w:rFonts w:cs="Arial"/>
        </w:rPr>
        <w:t>)</w:t>
      </w:r>
      <w:r w:rsidRPr="00B176CB">
        <w:rPr>
          <w:rFonts w:cs="Arial"/>
        </w:rPr>
        <w:t xml:space="preserve"> a činila </w:t>
      </w:r>
      <w:r>
        <w:rPr>
          <w:rFonts w:cs="Arial"/>
        </w:rPr>
        <w:t>3</w:t>
      </w:r>
      <w:r w:rsidR="006A2229">
        <w:rPr>
          <w:rFonts w:cs="Arial"/>
        </w:rPr>
        <w:t>29</w:t>
      </w:r>
      <w:r w:rsidRPr="00B176CB">
        <w:rPr>
          <w:rFonts w:cs="Arial"/>
        </w:rPr>
        <w:t xml:space="preserve"> mld. Kč běžných cen. Za mírným </w:t>
      </w:r>
      <w:r>
        <w:rPr>
          <w:rFonts w:cs="Arial"/>
        </w:rPr>
        <w:t>poklesem</w:t>
      </w:r>
      <w:r w:rsidRPr="00B176CB">
        <w:rPr>
          <w:rFonts w:cs="Arial"/>
        </w:rPr>
        <w:t xml:space="preserve"> hodnoty stavebních zakázek stojí </w:t>
      </w:r>
      <w:r>
        <w:rPr>
          <w:rFonts w:cs="Arial"/>
        </w:rPr>
        <w:t>inženýrské</w:t>
      </w:r>
      <w:r w:rsidRPr="00B176CB">
        <w:rPr>
          <w:rFonts w:cs="Arial"/>
        </w:rPr>
        <w:t xml:space="preserve"> stavitelství s celkovou hodnotou </w:t>
      </w:r>
      <w:r>
        <w:rPr>
          <w:rFonts w:cs="Arial"/>
        </w:rPr>
        <w:t>178</w:t>
      </w:r>
      <w:r w:rsidRPr="00B176CB">
        <w:rPr>
          <w:rFonts w:cs="Arial"/>
        </w:rPr>
        <w:t xml:space="preserve"> mld. Kč (meziroční </w:t>
      </w:r>
      <w:r>
        <w:rPr>
          <w:rFonts w:cs="Arial"/>
        </w:rPr>
        <w:t>pokles</w:t>
      </w:r>
      <w:r w:rsidRPr="00B176CB">
        <w:rPr>
          <w:rFonts w:cs="Arial"/>
        </w:rPr>
        <w:t xml:space="preserve"> o </w:t>
      </w:r>
      <w:r>
        <w:rPr>
          <w:rFonts w:cs="Arial"/>
        </w:rPr>
        <w:t>6,0</w:t>
      </w:r>
      <w:r w:rsidR="006A2229">
        <w:rPr>
          <w:rFonts w:cs="Arial"/>
        </w:rPr>
        <w:t xml:space="preserve"> %). V </w:t>
      </w:r>
      <w:r>
        <w:rPr>
          <w:rFonts w:cs="Arial"/>
        </w:rPr>
        <w:t>pozemním</w:t>
      </w:r>
      <w:r w:rsidRPr="00B176CB">
        <w:rPr>
          <w:rFonts w:cs="Arial"/>
        </w:rPr>
        <w:t xml:space="preserve"> stavitelství nové stavební zakázky v roce 2023</w:t>
      </w:r>
      <w:r w:rsidR="00CE1FD1">
        <w:rPr>
          <w:rFonts w:cs="Arial"/>
        </w:rPr>
        <w:t xml:space="preserve"> naopak meziročně vzrostly o 6,6 % a dosáhly hodnoty 151 mld</w:t>
      </w:r>
      <w:r w:rsidRPr="00B176CB">
        <w:rPr>
          <w:rFonts w:cs="Arial"/>
        </w:rPr>
        <w:t>.</w:t>
      </w:r>
      <w:r w:rsidR="00CE1FD1">
        <w:rPr>
          <w:rFonts w:cs="Arial"/>
        </w:rPr>
        <w:t xml:space="preserve"> Kč.</w:t>
      </w:r>
      <w:r w:rsidRPr="00B176CB">
        <w:rPr>
          <w:rFonts w:cs="Arial"/>
        </w:rPr>
        <w:t xml:space="preserve"> </w:t>
      </w:r>
      <w:r w:rsidR="00CE1FD1">
        <w:rPr>
          <w:rFonts w:cs="Arial"/>
        </w:rPr>
        <w:t>I</w:t>
      </w:r>
      <w:r w:rsidR="00CE1FD1" w:rsidRPr="00B176CB">
        <w:rPr>
          <w:rFonts w:cs="Arial"/>
        </w:rPr>
        <w:t xml:space="preserve">nženýrské stavitelství před vysokým meziročním propadem </w:t>
      </w:r>
      <w:r w:rsidR="00CE1FD1">
        <w:rPr>
          <w:rFonts w:cs="Arial"/>
        </w:rPr>
        <w:t xml:space="preserve">zachránily vysoké </w:t>
      </w:r>
      <w:r w:rsidRPr="00B176CB">
        <w:rPr>
          <w:rFonts w:cs="Arial"/>
        </w:rPr>
        <w:t>hodnoty zakázek ve 3. čtvrtletí (meziroční růst o 42 %)</w:t>
      </w:r>
      <w:r w:rsidR="00CE1FD1">
        <w:rPr>
          <w:rFonts w:cs="Arial"/>
        </w:rPr>
        <w:t xml:space="preserve">, díky tomu není </w:t>
      </w:r>
      <w:r w:rsidR="0000028E">
        <w:rPr>
          <w:rFonts w:cs="Arial"/>
        </w:rPr>
        <w:t xml:space="preserve">celkový </w:t>
      </w:r>
      <w:r w:rsidR="00CE1FD1">
        <w:rPr>
          <w:rFonts w:cs="Arial"/>
        </w:rPr>
        <w:t xml:space="preserve">meziroční index tak hluboko pod </w:t>
      </w:r>
      <w:r w:rsidR="006A2229">
        <w:rPr>
          <w:rFonts w:cs="Arial"/>
        </w:rPr>
        <w:t>úrovní předchozího roku</w:t>
      </w:r>
      <w:r w:rsidRPr="00B176CB">
        <w:rPr>
          <w:rFonts w:cs="Arial"/>
        </w:rPr>
        <w:t xml:space="preserve">. U pozemního stavitelství bylo </w:t>
      </w:r>
      <w:r w:rsidR="003C2F3F">
        <w:rPr>
          <w:rFonts w:cs="Arial"/>
        </w:rPr>
        <w:t xml:space="preserve">objemově </w:t>
      </w:r>
      <w:r w:rsidRPr="00B176CB">
        <w:rPr>
          <w:rFonts w:cs="Arial"/>
        </w:rPr>
        <w:t xml:space="preserve">nejsilnější </w:t>
      </w:r>
      <w:r w:rsidR="003C2F3F">
        <w:rPr>
          <w:rFonts w:cs="Arial"/>
        </w:rPr>
        <w:t>také 3</w:t>
      </w:r>
      <w:r w:rsidRPr="00B176CB">
        <w:rPr>
          <w:rFonts w:cs="Arial"/>
        </w:rPr>
        <w:t>. čtvrtletí, kde byl</w:t>
      </w:r>
      <w:r w:rsidR="003C2F3F">
        <w:rPr>
          <w:rFonts w:cs="Arial"/>
        </w:rPr>
        <w:t>a ovšem vysoká srovnávací základna, takže nejrychleji rostly nové pozemní zakázky v posledním čtvrtletí (+</w:t>
      </w:r>
      <w:r w:rsidR="00CE1FD1">
        <w:rPr>
          <w:rFonts w:cs="Arial"/>
        </w:rPr>
        <w:t>2</w:t>
      </w:r>
      <w:r w:rsidR="006A2229">
        <w:rPr>
          <w:rFonts w:cs="Arial"/>
        </w:rPr>
        <w:t>2,3 </w:t>
      </w:r>
      <w:r w:rsidR="00CE1FD1">
        <w:rPr>
          <w:rFonts w:cs="Arial"/>
        </w:rPr>
        <w:t>%</w:t>
      </w:r>
      <w:r w:rsidR="003C2F3F">
        <w:rPr>
          <w:rFonts w:cs="Arial"/>
        </w:rPr>
        <w:t>)</w:t>
      </w:r>
      <w:r w:rsidR="00CE1FD1">
        <w:rPr>
          <w:rFonts w:cs="Arial"/>
        </w:rPr>
        <w:t xml:space="preserve">.  </w:t>
      </w:r>
      <w:r w:rsidRPr="00B176CB">
        <w:rPr>
          <w:rFonts w:cs="Arial"/>
        </w:rPr>
        <w:t>Průměrná hodnota nově uzavřené stavební zakázky v roce 2023 činila 4,</w:t>
      </w:r>
      <w:r w:rsidR="00CE1FD1">
        <w:rPr>
          <w:rFonts w:cs="Arial"/>
        </w:rPr>
        <w:t>3 mil. Kč a byla meziročně o 3,3</w:t>
      </w:r>
      <w:r w:rsidRPr="00B176CB">
        <w:rPr>
          <w:rFonts w:cs="Arial"/>
        </w:rPr>
        <w:t xml:space="preserve"> % vyšší. </w:t>
      </w:r>
    </w:p>
    <w:p w:rsidR="00BB0059" w:rsidRPr="007C3234" w:rsidRDefault="002D6D37" w:rsidP="00B176CB">
      <w:pPr>
        <w:spacing w:before="120"/>
        <w:rPr>
          <w:b/>
        </w:rPr>
      </w:pPr>
      <w:r w:rsidRPr="0035008E">
        <w:rPr>
          <w:rFonts w:cs="Arial"/>
          <w:bCs/>
          <w:szCs w:val="20"/>
        </w:rPr>
        <w:t xml:space="preserve">Stavební úřady </w:t>
      </w:r>
      <w:r>
        <w:t>v </w:t>
      </w:r>
      <w:r w:rsidR="000F520B" w:rsidRPr="00F45B1D">
        <w:rPr>
          <w:rFonts w:cs="Arial"/>
          <w:szCs w:val="20"/>
        </w:rPr>
        <w:t>roce</w:t>
      </w:r>
      <w:r>
        <w:t xml:space="preserve"> 202</w:t>
      </w:r>
      <w:r w:rsidR="0089574E">
        <w:t>3</w:t>
      </w:r>
      <w:r>
        <w:t xml:space="preserve"> </w:t>
      </w:r>
      <w:r w:rsidR="004A4D7A">
        <w:rPr>
          <w:rFonts w:cs="Arial"/>
          <w:bCs/>
          <w:szCs w:val="20"/>
        </w:rPr>
        <w:t xml:space="preserve">vydaly </w:t>
      </w:r>
      <w:r w:rsidR="00CA6C2D" w:rsidRPr="00CA6C2D">
        <w:rPr>
          <w:rFonts w:cs="Arial"/>
          <w:bCs/>
          <w:szCs w:val="20"/>
        </w:rPr>
        <w:t>77</w:t>
      </w:r>
      <w:r w:rsidR="00CA6C2D">
        <w:rPr>
          <w:rFonts w:cs="Arial"/>
          <w:bCs/>
          <w:szCs w:val="20"/>
        </w:rPr>
        <w:t xml:space="preserve"> </w:t>
      </w:r>
      <w:r w:rsidR="00CA6C2D" w:rsidRPr="00CA6C2D">
        <w:rPr>
          <w:rFonts w:cs="Arial"/>
          <w:bCs/>
          <w:szCs w:val="20"/>
        </w:rPr>
        <w:t>399</w:t>
      </w:r>
      <w:r w:rsidR="00BB0059">
        <w:rPr>
          <w:rFonts w:cs="Arial"/>
          <w:bCs/>
          <w:szCs w:val="20"/>
        </w:rPr>
        <w:t xml:space="preserve"> </w:t>
      </w:r>
      <w:r w:rsidRPr="00F425D2">
        <w:rPr>
          <w:rFonts w:cs="Arial"/>
          <w:bCs/>
          <w:szCs w:val="20"/>
        </w:rPr>
        <w:t>stavebních povolení</w:t>
      </w:r>
      <w:r w:rsidR="00BB0059" w:rsidRPr="00F425D2">
        <w:rPr>
          <w:rFonts w:cs="Arial"/>
          <w:bCs/>
          <w:szCs w:val="20"/>
        </w:rPr>
        <w:t xml:space="preserve">, což </w:t>
      </w:r>
      <w:r w:rsidR="00F425D2">
        <w:rPr>
          <w:rFonts w:cs="Arial"/>
          <w:bCs/>
          <w:szCs w:val="20"/>
        </w:rPr>
        <w:t xml:space="preserve">představovalo </w:t>
      </w:r>
      <w:r w:rsidR="007C3234">
        <w:rPr>
          <w:rFonts w:cs="Arial"/>
          <w:bCs/>
          <w:szCs w:val="20"/>
        </w:rPr>
        <w:t xml:space="preserve">meziroční </w:t>
      </w:r>
      <w:r w:rsidR="00F2600B">
        <w:rPr>
          <w:rFonts w:cs="Arial"/>
          <w:bCs/>
          <w:szCs w:val="20"/>
        </w:rPr>
        <w:t>pokles</w:t>
      </w:r>
      <w:r w:rsidR="00BB0059" w:rsidRPr="00F425D2">
        <w:rPr>
          <w:rFonts w:cs="Arial"/>
          <w:bCs/>
          <w:szCs w:val="20"/>
        </w:rPr>
        <w:t xml:space="preserve"> o</w:t>
      </w:r>
      <w:r w:rsidR="00F425D2">
        <w:rPr>
          <w:rFonts w:cs="Arial"/>
          <w:bCs/>
          <w:szCs w:val="20"/>
        </w:rPr>
        <w:t> </w:t>
      </w:r>
      <w:r w:rsidR="00CA6C2D">
        <w:rPr>
          <w:rFonts w:cs="Arial"/>
          <w:bCs/>
          <w:szCs w:val="20"/>
        </w:rPr>
        <w:t>10</w:t>
      </w:r>
      <w:r w:rsidR="00116633">
        <w:rPr>
          <w:rFonts w:cs="Arial"/>
          <w:bCs/>
          <w:szCs w:val="20"/>
        </w:rPr>
        <w:t>,</w:t>
      </w:r>
      <w:r w:rsidR="00CA6C2D">
        <w:rPr>
          <w:rFonts w:cs="Arial"/>
          <w:bCs/>
          <w:szCs w:val="20"/>
        </w:rPr>
        <w:t>1</w:t>
      </w:r>
      <w:r w:rsidR="00BB0059" w:rsidRPr="00F425D2">
        <w:rPr>
          <w:rFonts w:cs="Arial"/>
          <w:bCs/>
          <w:szCs w:val="20"/>
        </w:rPr>
        <w:t> %</w:t>
      </w:r>
      <w:r w:rsidR="007C3234">
        <w:rPr>
          <w:rFonts w:cs="Arial"/>
          <w:szCs w:val="20"/>
        </w:rPr>
        <w:t xml:space="preserve"> </w:t>
      </w:r>
      <w:r w:rsidR="007C3234" w:rsidRPr="0024105F">
        <w:rPr>
          <w:rFonts w:cs="Arial"/>
          <w:szCs w:val="20"/>
        </w:rPr>
        <w:t xml:space="preserve">a </w:t>
      </w:r>
      <w:r w:rsidR="00153313" w:rsidRPr="00CA6C2D">
        <w:rPr>
          <w:rFonts w:cs="Arial"/>
          <w:szCs w:val="20"/>
        </w:rPr>
        <w:t>nej</w:t>
      </w:r>
      <w:r w:rsidR="00312DC4" w:rsidRPr="00CA6C2D">
        <w:rPr>
          <w:rFonts w:cs="Arial"/>
          <w:szCs w:val="20"/>
        </w:rPr>
        <w:t>nižší</w:t>
      </w:r>
      <w:r w:rsidR="007C3234" w:rsidRPr="00CA6C2D">
        <w:rPr>
          <w:rFonts w:cs="Arial"/>
          <w:szCs w:val="20"/>
        </w:rPr>
        <w:t xml:space="preserve"> hodnotu za toto období od roku </w:t>
      </w:r>
      <w:r w:rsidR="00CA6C2D">
        <w:rPr>
          <w:rFonts w:cs="Arial"/>
          <w:szCs w:val="20"/>
        </w:rPr>
        <w:t>2015</w:t>
      </w:r>
      <w:r w:rsidR="007C3234" w:rsidRPr="0024105F">
        <w:rPr>
          <w:rFonts w:cs="Arial"/>
          <w:szCs w:val="20"/>
        </w:rPr>
        <w:t xml:space="preserve">. </w:t>
      </w:r>
      <w:r w:rsidR="00BB0059" w:rsidRPr="00CA6C2D">
        <w:rPr>
          <w:rFonts w:cs="Arial"/>
          <w:szCs w:val="20"/>
        </w:rPr>
        <w:t xml:space="preserve">Počty povolení </w:t>
      </w:r>
      <w:r w:rsidR="00F2600B" w:rsidRPr="00CA6C2D">
        <w:rPr>
          <w:rFonts w:cs="Arial"/>
          <w:szCs w:val="20"/>
        </w:rPr>
        <w:t>klesly</w:t>
      </w:r>
      <w:r w:rsidR="00BB0059" w:rsidRPr="00CA6C2D">
        <w:rPr>
          <w:rFonts w:cs="Arial"/>
          <w:szCs w:val="20"/>
        </w:rPr>
        <w:t xml:space="preserve"> především na </w:t>
      </w:r>
      <w:r w:rsidR="00312DC4" w:rsidRPr="00CA6C2D">
        <w:rPr>
          <w:rFonts w:cs="Arial"/>
          <w:szCs w:val="20"/>
        </w:rPr>
        <w:t>nové výstavbě</w:t>
      </w:r>
      <w:r w:rsidR="00153313" w:rsidRPr="00CA6C2D">
        <w:rPr>
          <w:rFonts w:cs="Arial"/>
          <w:szCs w:val="20"/>
        </w:rPr>
        <w:t xml:space="preserve">, </w:t>
      </w:r>
      <w:r w:rsidR="00312DC4" w:rsidRPr="00CA6C2D">
        <w:rPr>
          <w:rFonts w:cs="Arial"/>
          <w:szCs w:val="20"/>
        </w:rPr>
        <w:t>u změn dokončených staveb zůstaly na úrovni loňského roku</w:t>
      </w:r>
      <w:r w:rsidR="00BB0059" w:rsidRPr="00312DC4">
        <w:rPr>
          <w:rFonts w:cs="Arial"/>
          <w:szCs w:val="20"/>
        </w:rPr>
        <w:t>.</w:t>
      </w:r>
      <w:r w:rsidR="004A4D7A">
        <w:rPr>
          <w:rFonts w:cs="Arial"/>
          <w:szCs w:val="20"/>
        </w:rPr>
        <w:t xml:space="preserve"> </w:t>
      </w:r>
      <w:r w:rsidR="00EB4D6A" w:rsidRPr="007539AC">
        <w:rPr>
          <w:rFonts w:cs="Arial"/>
          <w:szCs w:val="20"/>
        </w:rPr>
        <w:t xml:space="preserve">Nejrychlejší </w:t>
      </w:r>
      <w:r w:rsidR="0024105F" w:rsidRPr="007539AC">
        <w:rPr>
          <w:rFonts w:cs="Arial"/>
          <w:szCs w:val="20"/>
        </w:rPr>
        <w:t>pokles</w:t>
      </w:r>
      <w:r w:rsidR="00EB4D6A" w:rsidRPr="007539AC">
        <w:rPr>
          <w:rFonts w:cs="Arial"/>
          <w:szCs w:val="20"/>
        </w:rPr>
        <w:t xml:space="preserve"> zaznamenaly počty povolení na novou výstavbu bytových budov</w:t>
      </w:r>
      <w:r w:rsidR="00B82CA5" w:rsidRPr="007539AC">
        <w:rPr>
          <w:rFonts w:cs="Arial"/>
          <w:szCs w:val="20"/>
        </w:rPr>
        <w:t xml:space="preserve"> (-</w:t>
      </w:r>
      <w:r w:rsidR="00550F4A">
        <w:rPr>
          <w:rFonts w:cs="Arial"/>
          <w:szCs w:val="20"/>
        </w:rPr>
        <w:t>30,7</w:t>
      </w:r>
      <w:r w:rsidR="00B82CA5" w:rsidRPr="007539AC">
        <w:rPr>
          <w:rFonts w:cs="Arial"/>
          <w:szCs w:val="20"/>
        </w:rPr>
        <w:t> %)</w:t>
      </w:r>
      <w:r w:rsidR="00EB4D6A" w:rsidRPr="007539AC">
        <w:rPr>
          <w:rFonts w:cs="Arial"/>
          <w:szCs w:val="20"/>
        </w:rPr>
        <w:t xml:space="preserve">, naopak </w:t>
      </w:r>
      <w:r w:rsidR="00671B86" w:rsidRPr="00550F4A">
        <w:rPr>
          <w:rFonts w:cs="Arial"/>
          <w:szCs w:val="20"/>
        </w:rPr>
        <w:t>počty povolení na změny dokončených staveb nebytových</w:t>
      </w:r>
      <w:r w:rsidR="00671B86" w:rsidRPr="007539AC">
        <w:rPr>
          <w:rFonts w:cs="Arial"/>
          <w:szCs w:val="20"/>
        </w:rPr>
        <w:t xml:space="preserve"> budov</w:t>
      </w:r>
      <w:r w:rsidR="00671B86">
        <w:rPr>
          <w:rFonts w:cs="Arial"/>
          <w:szCs w:val="20"/>
        </w:rPr>
        <w:t xml:space="preserve"> </w:t>
      </w:r>
      <w:r w:rsidR="00671B86" w:rsidRPr="00550F4A">
        <w:rPr>
          <w:rFonts w:cs="Arial"/>
          <w:szCs w:val="20"/>
        </w:rPr>
        <w:t>meziročně rostly</w:t>
      </w:r>
      <w:r w:rsidR="00671B86">
        <w:rPr>
          <w:rFonts w:cs="Arial"/>
          <w:szCs w:val="20"/>
        </w:rPr>
        <w:t xml:space="preserve"> o 8,9 </w:t>
      </w:r>
      <w:r w:rsidR="00550F4A" w:rsidRPr="00550F4A">
        <w:rPr>
          <w:rFonts w:cs="Arial"/>
          <w:szCs w:val="20"/>
        </w:rPr>
        <w:t>%</w:t>
      </w:r>
      <w:r w:rsidR="00EB4D6A" w:rsidRPr="007539AC">
        <w:rPr>
          <w:rFonts w:cs="Arial"/>
          <w:szCs w:val="20"/>
        </w:rPr>
        <w:t>.</w:t>
      </w:r>
      <w:r w:rsidR="007539AC" w:rsidRPr="007539AC">
        <w:rPr>
          <w:rFonts w:cs="Arial"/>
          <w:szCs w:val="20"/>
        </w:rPr>
        <w:t xml:space="preserve"> </w:t>
      </w:r>
      <w:r w:rsidR="00CE43A4" w:rsidRPr="007539AC">
        <w:rPr>
          <w:rFonts w:cs="Arial"/>
          <w:szCs w:val="20"/>
        </w:rPr>
        <w:t xml:space="preserve">Nejvíce povolení </w:t>
      </w:r>
      <w:r w:rsidR="00F425D2" w:rsidRPr="007539AC">
        <w:rPr>
          <w:rFonts w:cs="Arial"/>
          <w:szCs w:val="20"/>
        </w:rPr>
        <w:t>bylo vydáno</w:t>
      </w:r>
      <w:r w:rsidR="00CE43A4" w:rsidRPr="007539AC">
        <w:rPr>
          <w:rFonts w:cs="Arial"/>
          <w:szCs w:val="20"/>
        </w:rPr>
        <w:t xml:space="preserve"> ve </w:t>
      </w:r>
      <w:r w:rsidR="00CE43A4" w:rsidRPr="00CA6C2D">
        <w:rPr>
          <w:rFonts w:cs="Arial"/>
          <w:szCs w:val="20"/>
        </w:rPr>
        <w:t>Středočeském, Jihomoravské</w:t>
      </w:r>
      <w:r w:rsidR="007C3234" w:rsidRPr="00CA6C2D">
        <w:rPr>
          <w:rFonts w:cs="Arial"/>
          <w:szCs w:val="20"/>
        </w:rPr>
        <w:t>m</w:t>
      </w:r>
      <w:r w:rsidR="00B82CA5" w:rsidRPr="00CA6C2D">
        <w:rPr>
          <w:rFonts w:cs="Arial"/>
          <w:szCs w:val="20"/>
        </w:rPr>
        <w:t xml:space="preserve"> a </w:t>
      </w:r>
      <w:r w:rsidR="00CE43A4" w:rsidRPr="00CA6C2D">
        <w:rPr>
          <w:rFonts w:cs="Arial"/>
          <w:szCs w:val="20"/>
        </w:rPr>
        <w:t>Moravskoslezském</w:t>
      </w:r>
      <w:r w:rsidR="00CE43A4" w:rsidRPr="007539AC">
        <w:rPr>
          <w:rFonts w:cs="Arial"/>
          <w:szCs w:val="20"/>
        </w:rPr>
        <w:t xml:space="preserve"> kraji.</w:t>
      </w:r>
      <w:r w:rsidR="0019734E" w:rsidRPr="007C3234">
        <w:rPr>
          <w:rFonts w:cs="Arial"/>
          <w:szCs w:val="20"/>
        </w:rPr>
        <w:t xml:space="preserve"> </w:t>
      </w:r>
    </w:p>
    <w:p w:rsidR="002D6D37" w:rsidRDefault="002D6D37" w:rsidP="002D6D37">
      <w:pPr>
        <w:spacing w:before="120"/>
      </w:pPr>
      <w:r w:rsidRPr="00F425D2">
        <w:t xml:space="preserve">Orientační hodnota </w:t>
      </w:r>
      <w:r>
        <w:rPr>
          <w:bCs/>
        </w:rPr>
        <w:t>staveb</w:t>
      </w:r>
      <w:r>
        <w:t xml:space="preserve"> </w:t>
      </w:r>
      <w:r w:rsidR="00671B86" w:rsidRPr="00F425D2">
        <w:t>povolených</w:t>
      </w:r>
      <w:r w:rsidR="00671B86">
        <w:t xml:space="preserve"> v </w:t>
      </w:r>
      <w:r w:rsidR="00671B86" w:rsidRPr="00F45B1D">
        <w:rPr>
          <w:rFonts w:cs="Arial"/>
          <w:szCs w:val="20"/>
        </w:rPr>
        <w:t>roce</w:t>
      </w:r>
      <w:r w:rsidR="00671B86">
        <w:t xml:space="preserve"> 2023 </w:t>
      </w:r>
      <w:r w:rsidR="00BB0059">
        <w:t>dosáhla</w:t>
      </w:r>
      <w:r w:rsidR="00DE0522">
        <w:t xml:space="preserve"> </w:t>
      </w:r>
      <w:r w:rsidR="008D25B4">
        <w:t>601</w:t>
      </w:r>
      <w:r w:rsidR="00625F02">
        <w:t>,</w:t>
      </w:r>
      <w:r w:rsidR="008D25B4">
        <w:t>7</w:t>
      </w:r>
      <w:r w:rsidR="00BB0059">
        <w:t> mld. Kč a meziročně</w:t>
      </w:r>
      <w:r w:rsidR="00BB0059" w:rsidRPr="00F612FE">
        <w:rPr>
          <w:rFonts w:cs="Arial"/>
          <w:szCs w:val="20"/>
        </w:rPr>
        <w:t xml:space="preserve"> </w:t>
      </w:r>
      <w:r w:rsidR="004B5FA7" w:rsidRPr="00F612FE">
        <w:rPr>
          <w:rFonts w:cs="Arial"/>
          <w:szCs w:val="20"/>
        </w:rPr>
        <w:t>vzrostl</w:t>
      </w:r>
      <w:r w:rsidR="004B5FA7">
        <w:rPr>
          <w:rFonts w:cs="Arial"/>
          <w:szCs w:val="20"/>
        </w:rPr>
        <w:t>a</w:t>
      </w:r>
      <w:r w:rsidR="00BB0059" w:rsidRPr="00BB0059">
        <w:t xml:space="preserve"> </w:t>
      </w:r>
      <w:r w:rsidR="00BB0059">
        <w:t>o </w:t>
      </w:r>
      <w:r w:rsidR="008D25B4">
        <w:t>16</w:t>
      </w:r>
      <w:r w:rsidR="00625F02">
        <w:t>,</w:t>
      </w:r>
      <w:r w:rsidR="008D25B4">
        <w:t>8</w:t>
      </w:r>
      <w:r w:rsidR="00BB0059">
        <w:t> %</w:t>
      </w:r>
      <w:r w:rsidR="009746B7" w:rsidRPr="00625F02">
        <w:rPr>
          <w:rFonts w:cs="Arial"/>
          <w:szCs w:val="20"/>
        </w:rPr>
        <w:t xml:space="preserve"> (samozřejmě v běžných cenách</w:t>
      </w:r>
      <w:r w:rsidR="009746B7" w:rsidRPr="005B22E5">
        <w:rPr>
          <w:rFonts w:cs="Arial"/>
          <w:szCs w:val="20"/>
        </w:rPr>
        <w:t>)</w:t>
      </w:r>
      <w:r w:rsidR="00085BC1" w:rsidRPr="005B22E5">
        <w:rPr>
          <w:rFonts w:cs="Arial"/>
          <w:szCs w:val="20"/>
        </w:rPr>
        <w:t>.</w:t>
      </w:r>
      <w:r w:rsidR="00386851" w:rsidRPr="005B22E5">
        <w:rPr>
          <w:rFonts w:cs="Arial"/>
          <w:szCs w:val="20"/>
        </w:rPr>
        <w:t xml:space="preserve"> </w:t>
      </w:r>
      <w:r w:rsidR="00B84111">
        <w:rPr>
          <w:rFonts w:cs="Arial"/>
          <w:szCs w:val="20"/>
        </w:rPr>
        <w:t xml:space="preserve">Rychleji rostla hodnota změn </w:t>
      </w:r>
      <w:r w:rsidR="006E3685" w:rsidRPr="005B22E5">
        <w:t>dokončených staveb</w:t>
      </w:r>
      <w:r w:rsidR="00B84111">
        <w:t xml:space="preserve"> (+20,4 %)</w:t>
      </w:r>
      <w:r w:rsidR="006E3685" w:rsidRPr="005B22E5">
        <w:t>, kter</w:t>
      </w:r>
      <w:r w:rsidR="00B84111">
        <w:t>á</w:t>
      </w:r>
      <w:r w:rsidR="006E3685" w:rsidRPr="005B22E5">
        <w:t xml:space="preserve"> </w:t>
      </w:r>
      <w:r w:rsidR="00B84111">
        <w:t>zaznamenala růst</w:t>
      </w:r>
      <w:r w:rsidR="006E3685" w:rsidRPr="008D25B4">
        <w:t xml:space="preserve"> ve všech čtvrtletích zejména v tom prvním</w:t>
      </w:r>
      <w:r w:rsidR="006E3685" w:rsidRPr="005B22E5">
        <w:t>.</w:t>
      </w:r>
      <w:r w:rsidR="00BB0059" w:rsidRPr="005B22E5">
        <w:t xml:space="preserve"> </w:t>
      </w:r>
      <w:r w:rsidR="00386851" w:rsidRPr="005B22E5">
        <w:t>N</w:t>
      </w:r>
      <w:r w:rsidR="007D3139" w:rsidRPr="005B22E5">
        <w:t>ová</w:t>
      </w:r>
      <w:r w:rsidR="007D3139" w:rsidRPr="0044088F">
        <w:t xml:space="preserve"> výstavba</w:t>
      </w:r>
      <w:r w:rsidR="00BB0059" w:rsidRPr="0044088F">
        <w:t xml:space="preserve"> </w:t>
      </w:r>
      <w:r w:rsidR="008D25B4">
        <w:t xml:space="preserve">také </w:t>
      </w:r>
      <w:r w:rsidR="00D51ED9" w:rsidRPr="0044088F">
        <w:t xml:space="preserve">meziročně </w:t>
      </w:r>
      <w:r w:rsidR="00386851" w:rsidRPr="0044088F">
        <w:t>rostla</w:t>
      </w:r>
      <w:r w:rsidR="00BB0059" w:rsidRPr="0044088F">
        <w:t xml:space="preserve"> </w:t>
      </w:r>
      <w:r w:rsidR="008D25B4">
        <w:t>(</w:t>
      </w:r>
      <w:r w:rsidR="009D0435">
        <w:t>+</w:t>
      </w:r>
      <w:r w:rsidR="008D25B4">
        <w:t>15</w:t>
      </w:r>
      <w:r w:rsidR="00DF4AC5" w:rsidRPr="0044088F">
        <w:t>,</w:t>
      </w:r>
      <w:r w:rsidR="008D25B4">
        <w:t>1</w:t>
      </w:r>
      <w:r w:rsidR="00DF4AC5" w:rsidRPr="0044088F">
        <w:t> </w:t>
      </w:r>
      <w:r w:rsidR="0060255C" w:rsidRPr="0044088F">
        <w:t>%</w:t>
      </w:r>
      <w:r w:rsidR="008D25B4">
        <w:t xml:space="preserve">) a zejména ve </w:t>
      </w:r>
      <w:r w:rsidR="009D0435">
        <w:t>4. </w:t>
      </w:r>
      <w:r w:rsidR="008D25B4">
        <w:t>čtvrtletí</w:t>
      </w:r>
      <w:r w:rsidR="00262F8F" w:rsidRPr="0044088F">
        <w:t xml:space="preserve"> zásluhou </w:t>
      </w:r>
      <w:r w:rsidR="00262F8F" w:rsidRPr="002224BB">
        <w:t>inženýrských (především dopravních) staveb</w:t>
      </w:r>
      <w:r w:rsidR="002E69D1" w:rsidRPr="0044088F">
        <w:t>.</w:t>
      </w:r>
      <w:r w:rsidR="0060255C" w:rsidRPr="0044088F">
        <w:t xml:space="preserve"> </w:t>
      </w:r>
      <w:r w:rsidR="00262F8F" w:rsidRPr="0044088F">
        <w:t>N</w:t>
      </w:r>
      <w:r w:rsidR="00627D9F" w:rsidRPr="0044088F">
        <w:t xml:space="preserve">aopak </w:t>
      </w:r>
      <w:r w:rsidR="002E69D1" w:rsidRPr="0044088F">
        <w:t xml:space="preserve">nová </w:t>
      </w:r>
      <w:r w:rsidR="002E69D1" w:rsidRPr="002224BB">
        <w:t xml:space="preserve">výstavba </w:t>
      </w:r>
      <w:r w:rsidR="00262F8F" w:rsidRPr="002224BB">
        <w:t xml:space="preserve">bytových </w:t>
      </w:r>
      <w:r w:rsidR="002E69D1" w:rsidRPr="002224BB">
        <w:t xml:space="preserve">budov </w:t>
      </w:r>
      <w:r w:rsidR="00262F8F" w:rsidRPr="002224BB">
        <w:t xml:space="preserve">meziročně klesla </w:t>
      </w:r>
      <w:r w:rsidR="00E66ADE" w:rsidRPr="002224BB">
        <w:t xml:space="preserve">téměř o </w:t>
      </w:r>
      <w:r w:rsidR="002224BB">
        <w:t>desetinu</w:t>
      </w:r>
      <w:r w:rsidR="00262F8F" w:rsidRPr="0044088F">
        <w:t xml:space="preserve"> (</w:t>
      </w:r>
      <w:r w:rsidR="009D0435">
        <w:noBreakHyphen/>
      </w:r>
      <w:r w:rsidR="002224BB">
        <w:t>8</w:t>
      </w:r>
      <w:r w:rsidR="0044088F" w:rsidRPr="0044088F">
        <w:t>,</w:t>
      </w:r>
      <w:r w:rsidR="002224BB">
        <w:t>8</w:t>
      </w:r>
      <w:r w:rsidR="00262F8F" w:rsidRPr="0044088F">
        <w:t> %)</w:t>
      </w:r>
      <w:r w:rsidRPr="0044088F">
        <w:t>.</w:t>
      </w:r>
      <w:r w:rsidR="00C610ED" w:rsidRPr="0044088F">
        <w:t xml:space="preserve"> </w:t>
      </w:r>
      <w:r w:rsidR="00CE43A4" w:rsidRPr="0044088F">
        <w:t>Vyšší investice se plánují v</w:t>
      </w:r>
      <w:r w:rsidR="00085BC1" w:rsidRPr="0044088F">
        <w:t> </w:t>
      </w:r>
      <w:r w:rsidR="00085BC1" w:rsidRPr="002224BB">
        <w:t xml:space="preserve">Jihomoravském, </w:t>
      </w:r>
      <w:r w:rsidR="00CE43A4" w:rsidRPr="002224BB">
        <w:t>Středočeském kraji</w:t>
      </w:r>
      <w:r w:rsidR="00776F2E" w:rsidRPr="002224BB">
        <w:t xml:space="preserve"> a </w:t>
      </w:r>
      <w:r w:rsidR="002E69D1" w:rsidRPr="002224BB">
        <w:t>v</w:t>
      </w:r>
      <w:r w:rsidR="00776F2E" w:rsidRPr="002224BB">
        <w:t> </w:t>
      </w:r>
      <w:r w:rsidR="00CE43A4" w:rsidRPr="002224BB">
        <w:t>Praze.</w:t>
      </w:r>
    </w:p>
    <w:p w:rsidR="002D6D37" w:rsidRDefault="00E609A3" w:rsidP="002D6D37">
      <w:pPr>
        <w:spacing w:before="120"/>
      </w:pPr>
      <w:r w:rsidRPr="001D6085">
        <w:t>V</w:t>
      </w:r>
      <w:r w:rsidR="002D6D37" w:rsidRPr="001D6085">
        <w:t> </w:t>
      </w:r>
      <w:r w:rsidR="000F520B" w:rsidRPr="00F45B1D">
        <w:rPr>
          <w:rFonts w:cs="Arial"/>
          <w:szCs w:val="20"/>
        </w:rPr>
        <w:t>roce</w:t>
      </w:r>
      <w:r w:rsidR="000F520B" w:rsidRPr="001D6085">
        <w:t xml:space="preserve"> </w:t>
      </w:r>
      <w:r w:rsidR="002D6D37" w:rsidRPr="001D6085">
        <w:t>202</w:t>
      </w:r>
      <w:r w:rsidR="007F115F" w:rsidRPr="001D6085">
        <w:t>3</w:t>
      </w:r>
      <w:r w:rsidR="002D6D37" w:rsidRPr="001D6085">
        <w:t xml:space="preserve"> </w:t>
      </w:r>
      <w:r w:rsidRPr="001D6085">
        <w:t xml:space="preserve">byla zahájena výstavba </w:t>
      </w:r>
      <w:r w:rsidR="00014E12" w:rsidRPr="00014E12">
        <w:t>35</w:t>
      </w:r>
      <w:r w:rsidR="009D0435">
        <w:t> </w:t>
      </w:r>
      <w:r w:rsidR="00014E12" w:rsidRPr="00014E12">
        <w:t>700</w:t>
      </w:r>
      <w:r w:rsidRPr="001D6085">
        <w:t xml:space="preserve"> bytů</w:t>
      </w:r>
      <w:r w:rsidR="00B416CC" w:rsidRPr="001D6085">
        <w:t>,</w:t>
      </w:r>
      <w:r w:rsidRPr="001D6085">
        <w:t xml:space="preserve"> tento počet </w:t>
      </w:r>
      <w:r w:rsidR="00B416CC" w:rsidRPr="001D6085">
        <w:t xml:space="preserve">o </w:t>
      </w:r>
      <w:r w:rsidR="00014E12">
        <w:t>15</w:t>
      </w:r>
      <w:r w:rsidR="00B416CC" w:rsidRPr="001D6085">
        <w:t>,</w:t>
      </w:r>
      <w:r w:rsidR="00014E12">
        <w:t>5</w:t>
      </w:r>
      <w:r w:rsidR="00B416CC" w:rsidRPr="001D6085">
        <w:t> %</w:t>
      </w:r>
      <w:r w:rsidR="00B416CC" w:rsidRPr="001D6085">
        <w:rPr>
          <w:rFonts w:cs="Arial"/>
          <w:szCs w:val="20"/>
        </w:rPr>
        <w:t xml:space="preserve"> </w:t>
      </w:r>
      <w:r w:rsidR="002D6D37" w:rsidRPr="001D6085">
        <w:t xml:space="preserve">meziročně </w:t>
      </w:r>
      <w:r w:rsidR="00AC4FD1" w:rsidRPr="001D6085">
        <w:t>klesl</w:t>
      </w:r>
      <w:r w:rsidR="00B416CC" w:rsidRPr="001D6085">
        <w:t xml:space="preserve"> </w:t>
      </w:r>
      <w:r w:rsidR="009D0435">
        <w:t>a </w:t>
      </w:r>
      <w:r w:rsidR="00B416CC" w:rsidRPr="00014E12">
        <w:t>k</w:t>
      </w:r>
      <w:r w:rsidR="00B82CA5" w:rsidRPr="00014E12">
        <w:rPr>
          <w:rFonts w:cs="Arial"/>
          <w:szCs w:val="20"/>
        </w:rPr>
        <w:t> </w:t>
      </w:r>
      <w:r w:rsidR="001D776F" w:rsidRPr="00014E12">
        <w:rPr>
          <w:rFonts w:cs="Arial"/>
          <w:szCs w:val="20"/>
        </w:rPr>
        <w:t>poklesu</w:t>
      </w:r>
      <w:r w:rsidR="00480E73" w:rsidRPr="00014E12">
        <w:rPr>
          <w:rFonts w:cs="Arial"/>
          <w:szCs w:val="20"/>
        </w:rPr>
        <w:t xml:space="preserve"> přispěly výsledky </w:t>
      </w:r>
      <w:r w:rsidR="001D776F" w:rsidRPr="00014E12">
        <w:rPr>
          <w:rFonts w:cs="Arial"/>
          <w:szCs w:val="20"/>
        </w:rPr>
        <w:t xml:space="preserve">zejména </w:t>
      </w:r>
      <w:r w:rsidR="00480E73" w:rsidRPr="00014E12">
        <w:rPr>
          <w:rFonts w:cs="Arial"/>
          <w:szCs w:val="20"/>
        </w:rPr>
        <w:t>z </w:t>
      </w:r>
      <w:r w:rsidR="001D776F" w:rsidRPr="00014E12">
        <w:rPr>
          <w:rFonts w:cs="Arial"/>
          <w:szCs w:val="20"/>
        </w:rPr>
        <w:t>2</w:t>
      </w:r>
      <w:r w:rsidR="00480E73" w:rsidRPr="00014E12">
        <w:rPr>
          <w:rFonts w:cs="Arial"/>
          <w:szCs w:val="20"/>
        </w:rPr>
        <w:t>. čtvrtletí.</w:t>
      </w:r>
      <w:r w:rsidR="00480E73" w:rsidRPr="001D6085">
        <w:rPr>
          <w:rFonts w:cs="Arial"/>
          <w:szCs w:val="20"/>
        </w:rPr>
        <w:t xml:space="preserve"> </w:t>
      </w:r>
      <w:r w:rsidR="00B416CC" w:rsidRPr="001D6085">
        <w:rPr>
          <w:rFonts w:cs="Arial"/>
          <w:szCs w:val="20"/>
        </w:rPr>
        <w:t>Byt</w:t>
      </w:r>
      <w:r w:rsidR="00A00688">
        <w:rPr>
          <w:rFonts w:cs="Arial"/>
          <w:szCs w:val="20"/>
        </w:rPr>
        <w:t>ů</w:t>
      </w:r>
      <w:r w:rsidR="00B416CC" w:rsidRPr="001D6085">
        <w:rPr>
          <w:rFonts w:cs="Arial"/>
          <w:szCs w:val="20"/>
        </w:rPr>
        <w:t xml:space="preserve"> v rodinných domech byl</w:t>
      </w:r>
      <w:r w:rsidR="00A00688">
        <w:rPr>
          <w:rFonts w:cs="Arial"/>
          <w:szCs w:val="20"/>
        </w:rPr>
        <w:t xml:space="preserve">o od ledna do konce </w:t>
      </w:r>
      <w:r w:rsidR="00CB0834">
        <w:rPr>
          <w:rFonts w:cs="Arial"/>
          <w:szCs w:val="20"/>
        </w:rPr>
        <w:t>prosince</w:t>
      </w:r>
      <w:r w:rsidR="00A00688">
        <w:rPr>
          <w:rFonts w:cs="Arial"/>
          <w:szCs w:val="20"/>
        </w:rPr>
        <w:t xml:space="preserve"> zahájeno</w:t>
      </w:r>
      <w:r w:rsidR="00D26F67" w:rsidRPr="001D6085">
        <w:t xml:space="preserve"> </w:t>
      </w:r>
      <w:r w:rsidR="00B416CC" w:rsidRPr="0002781D">
        <w:rPr>
          <w:rFonts w:cs="Arial"/>
          <w:szCs w:val="20"/>
        </w:rPr>
        <w:t xml:space="preserve">o </w:t>
      </w:r>
      <w:r w:rsidR="009D0435">
        <w:rPr>
          <w:rFonts w:cs="Arial"/>
          <w:szCs w:val="20"/>
        </w:rPr>
        <w:t>více než</w:t>
      </w:r>
      <w:r w:rsidR="00A00688" w:rsidRPr="0002781D">
        <w:rPr>
          <w:rFonts w:cs="Arial"/>
          <w:szCs w:val="20"/>
        </w:rPr>
        <w:t xml:space="preserve"> </w:t>
      </w:r>
      <w:r w:rsidR="0002781D">
        <w:rPr>
          <w:rFonts w:cs="Arial"/>
          <w:szCs w:val="20"/>
        </w:rPr>
        <w:t>čtvrtinu</w:t>
      </w:r>
      <w:r w:rsidR="00A00688" w:rsidRPr="0002781D">
        <w:rPr>
          <w:rFonts w:cs="Arial"/>
          <w:szCs w:val="20"/>
        </w:rPr>
        <w:t xml:space="preserve"> méně</w:t>
      </w:r>
      <w:r w:rsidR="00B416CC" w:rsidRPr="0002781D">
        <w:rPr>
          <w:rFonts w:cs="Arial"/>
          <w:szCs w:val="20"/>
        </w:rPr>
        <w:t xml:space="preserve"> než loni</w:t>
      </w:r>
      <w:r w:rsidR="00B416CC" w:rsidRPr="001D6085">
        <w:rPr>
          <w:rFonts w:cs="Arial"/>
          <w:szCs w:val="20"/>
        </w:rPr>
        <w:t xml:space="preserve"> </w:t>
      </w:r>
      <w:r w:rsidR="00F2422A" w:rsidRPr="001D6085">
        <w:t>(-</w:t>
      </w:r>
      <w:r w:rsidR="00014E12">
        <w:t>27</w:t>
      </w:r>
      <w:r w:rsidR="00EB51DB" w:rsidRPr="001D6085">
        <w:t>,</w:t>
      </w:r>
      <w:r w:rsidR="00014E12">
        <w:t>6</w:t>
      </w:r>
      <w:r w:rsidR="00F2422A" w:rsidRPr="001D6085">
        <w:t> %)</w:t>
      </w:r>
      <w:r w:rsidR="00B9244A" w:rsidRPr="001D6085">
        <w:t xml:space="preserve"> a </w:t>
      </w:r>
      <w:r w:rsidR="00B9244A" w:rsidRPr="00014E12">
        <w:t>vývoj byl v</w:t>
      </w:r>
      <w:r w:rsidR="00261E7D" w:rsidRPr="00014E12">
        <w:t>e</w:t>
      </w:r>
      <w:r w:rsidR="00B9244A" w:rsidRPr="00014E12">
        <w:t> </w:t>
      </w:r>
      <w:r w:rsidR="00A00688" w:rsidRPr="00014E12">
        <w:t>všech</w:t>
      </w:r>
      <w:r w:rsidR="00B9244A" w:rsidRPr="00014E12">
        <w:t xml:space="preserve"> čtvrtletích podobný. </w:t>
      </w:r>
      <w:r w:rsidR="00A00688" w:rsidRPr="008F40DD">
        <w:t xml:space="preserve">Počty bytů zahájených v bytových domech také meziročně klesly, ale </w:t>
      </w:r>
      <w:r w:rsidR="00A00688" w:rsidRPr="008F40DD">
        <w:lastRenderedPageBreak/>
        <w:t>pomaleji</w:t>
      </w:r>
      <w:r w:rsidR="0002781D">
        <w:t xml:space="preserve"> – o desetinu</w:t>
      </w:r>
      <w:r w:rsidR="00A00688">
        <w:t xml:space="preserve"> (</w:t>
      </w:r>
      <w:r w:rsidR="00A00688">
        <w:noBreakHyphen/>
      </w:r>
      <w:r w:rsidR="008F40DD">
        <w:t>10</w:t>
      </w:r>
      <w:r w:rsidR="00A00688">
        <w:t>,</w:t>
      </w:r>
      <w:r w:rsidR="008F40DD">
        <w:t xml:space="preserve">7 </w:t>
      </w:r>
      <w:r w:rsidR="00A00688">
        <w:t>%) a v </w:t>
      </w:r>
      <w:r w:rsidR="00A00688" w:rsidRPr="008F40DD">
        <w:t>1. a 3. čtvrtletí byl zaznamenán jejich růst.</w:t>
      </w:r>
      <w:r w:rsidR="00F2422A">
        <w:t xml:space="preserve"> </w:t>
      </w:r>
      <w:r w:rsidR="00B9244A" w:rsidRPr="008F40DD">
        <w:t xml:space="preserve">Meziroční růst zaznamenaly </w:t>
      </w:r>
      <w:r w:rsidR="00A00688" w:rsidRPr="008F40DD">
        <w:t xml:space="preserve">také </w:t>
      </w:r>
      <w:r w:rsidR="00B9244A" w:rsidRPr="008F40DD">
        <w:t>konverze bytových domů (+</w:t>
      </w:r>
      <w:r w:rsidR="008F40DD" w:rsidRPr="008F40DD">
        <w:t>27</w:t>
      </w:r>
      <w:r w:rsidR="00B9244A" w:rsidRPr="008F40DD">
        <w:t>,</w:t>
      </w:r>
      <w:r w:rsidR="008F40DD" w:rsidRPr="008F40DD">
        <w:t>7</w:t>
      </w:r>
      <w:r w:rsidR="00B9244A" w:rsidRPr="008F40DD">
        <w:t> %)</w:t>
      </w:r>
      <w:r w:rsidR="008F40DD">
        <w:t xml:space="preserve">, </w:t>
      </w:r>
      <w:r w:rsidR="00A00688" w:rsidRPr="008F40DD">
        <w:t>byty</w:t>
      </w:r>
      <w:r w:rsidR="00B9244A" w:rsidRPr="008F40DD">
        <w:t xml:space="preserve"> zahájené v nebytový</w:t>
      </w:r>
      <w:r w:rsidR="00B9244A">
        <w:t xml:space="preserve">ch budovách </w:t>
      </w:r>
      <w:r w:rsidR="008F40DD">
        <w:t xml:space="preserve">klesly </w:t>
      </w:r>
      <w:r w:rsidR="00B9244A">
        <w:t>(</w:t>
      </w:r>
      <w:r w:rsidR="008F40DD">
        <w:t>-5</w:t>
      </w:r>
      <w:r w:rsidR="00B9244A">
        <w:t>,</w:t>
      </w:r>
      <w:r w:rsidR="008F40DD">
        <w:t xml:space="preserve">0 </w:t>
      </w:r>
      <w:r w:rsidR="00B9244A">
        <w:t xml:space="preserve">%). </w:t>
      </w:r>
      <w:r w:rsidR="004D2EFE">
        <w:t xml:space="preserve">Nejvíce </w:t>
      </w:r>
      <w:r w:rsidR="00A56BCA">
        <w:t xml:space="preserve">bytů </w:t>
      </w:r>
      <w:r w:rsidR="004D2EFE">
        <w:t xml:space="preserve">se </w:t>
      </w:r>
      <w:r w:rsidR="004D2EFE" w:rsidRPr="001D6085">
        <w:t xml:space="preserve">zahájilo </w:t>
      </w:r>
      <w:r w:rsidR="001D6085" w:rsidRPr="001D6085">
        <w:t xml:space="preserve">ve </w:t>
      </w:r>
      <w:r w:rsidR="001D6085" w:rsidRPr="0002781D">
        <w:t xml:space="preserve">Středočeském kraji (převážně rodinné domy), </w:t>
      </w:r>
      <w:r w:rsidR="001D776F" w:rsidRPr="0002781D">
        <w:t xml:space="preserve">v Jihomoravském kraji, kde se zahajovaly domy bytové i rodinné </w:t>
      </w:r>
      <w:r w:rsidR="00A56BCA" w:rsidRPr="0002781D">
        <w:t>a</w:t>
      </w:r>
      <w:r w:rsidR="001D776F" w:rsidRPr="0002781D">
        <w:t xml:space="preserve"> v Praze (bytové domy).</w:t>
      </w:r>
    </w:p>
    <w:p w:rsidR="002D6D37" w:rsidRDefault="00CB0834" w:rsidP="002D6D37">
      <w:pPr>
        <w:spacing w:before="120"/>
      </w:pPr>
      <w:r w:rsidRPr="00B8682A">
        <w:rPr>
          <w:bCs/>
        </w:rPr>
        <w:t>V roce 202</w:t>
      </w:r>
      <w:r>
        <w:rPr>
          <w:bCs/>
        </w:rPr>
        <w:t>3</w:t>
      </w:r>
      <w:r w:rsidRPr="00B8682A">
        <w:rPr>
          <w:bCs/>
        </w:rPr>
        <w:t xml:space="preserve"> </w:t>
      </w:r>
      <w:r w:rsidR="003C6415">
        <w:rPr>
          <w:bCs/>
        </w:rPr>
        <w:t xml:space="preserve">bylo dokončeno </w:t>
      </w:r>
      <w:r w:rsidR="008F40DD" w:rsidRPr="008F40DD">
        <w:t>38</w:t>
      </w:r>
      <w:r w:rsidR="008F40DD">
        <w:t xml:space="preserve"> </w:t>
      </w:r>
      <w:r w:rsidR="008F40DD" w:rsidRPr="008F40DD">
        <w:t>082</w:t>
      </w:r>
      <w:r w:rsidR="00875825" w:rsidRPr="00C441FE">
        <w:t> bytů</w:t>
      </w:r>
      <w:r w:rsidR="00875825">
        <w:t xml:space="preserve"> a </w:t>
      </w:r>
      <w:r w:rsidR="00800BB8">
        <w:t>tento</w:t>
      </w:r>
      <w:r w:rsidR="00875825">
        <w:t xml:space="preserve"> p</w:t>
      </w:r>
      <w:r w:rsidR="002D6D37" w:rsidRPr="00875825">
        <w:rPr>
          <w:bCs/>
        </w:rPr>
        <w:t xml:space="preserve">očet </w:t>
      </w:r>
      <w:r w:rsidR="00871F42">
        <w:t xml:space="preserve">meziročně </w:t>
      </w:r>
      <w:r w:rsidR="001D154C">
        <w:t>klesl</w:t>
      </w:r>
      <w:r w:rsidR="00875825">
        <w:t xml:space="preserve"> </w:t>
      </w:r>
      <w:r w:rsidR="001D776F">
        <w:t xml:space="preserve">o </w:t>
      </w:r>
      <w:r w:rsidR="008F40DD">
        <w:t>3</w:t>
      </w:r>
      <w:r w:rsidR="001D776F">
        <w:t>,</w:t>
      </w:r>
      <w:r w:rsidR="008F40DD">
        <w:t>2</w:t>
      </w:r>
      <w:r w:rsidR="00875825">
        <w:t> </w:t>
      </w:r>
      <w:r w:rsidR="002D6D37">
        <w:t>%</w:t>
      </w:r>
      <w:r w:rsidR="00875825">
        <w:t>.</w:t>
      </w:r>
      <w:r w:rsidR="002D6D37">
        <w:t xml:space="preserve"> </w:t>
      </w:r>
      <w:r w:rsidR="00800BB8">
        <w:t>Vývoj v jednotlivých čtvrtletích byl značně nerovnoměrný</w:t>
      </w:r>
      <w:r w:rsidR="00800BB8" w:rsidRPr="00373365">
        <w:t xml:space="preserve">. </w:t>
      </w:r>
      <w:r w:rsidR="00800BB8" w:rsidRPr="008F40DD">
        <w:t>Zatímc</w:t>
      </w:r>
      <w:r w:rsidR="003C6415" w:rsidRPr="008F40DD">
        <w:t>o v 1. čtvrtletí se dokončilo o </w:t>
      </w:r>
      <w:r w:rsidR="00800BB8" w:rsidRPr="008F40DD">
        <w:t>desetinu méně bytů (</w:t>
      </w:r>
      <w:r w:rsidR="00800BB8" w:rsidRPr="008F40DD">
        <w:noBreakHyphen/>
      </w:r>
      <w:r w:rsidR="008F40DD" w:rsidRPr="008F40DD">
        <w:t>10</w:t>
      </w:r>
      <w:r w:rsidR="001D154C" w:rsidRPr="008F40DD">
        <w:t>,</w:t>
      </w:r>
      <w:r w:rsidR="008F40DD" w:rsidRPr="008F40DD">
        <w:t>4</w:t>
      </w:r>
      <w:r w:rsidR="00800BB8" w:rsidRPr="008F40DD">
        <w:t> %)</w:t>
      </w:r>
      <w:r w:rsidR="0063699E" w:rsidRPr="008F40DD">
        <w:t>, ve 2. čtvrtletí to bylo téměř o pětinu meziročně více (+</w:t>
      </w:r>
      <w:r w:rsidR="008F40DD" w:rsidRPr="008F40DD">
        <w:t>17</w:t>
      </w:r>
      <w:r w:rsidR="0063699E" w:rsidRPr="008F40DD">
        <w:t>,</w:t>
      </w:r>
      <w:r w:rsidR="008F40DD" w:rsidRPr="008F40DD">
        <w:t xml:space="preserve">6 </w:t>
      </w:r>
      <w:r w:rsidR="0063699E" w:rsidRPr="008F40DD">
        <w:t>%)</w:t>
      </w:r>
      <w:r w:rsidR="009D0435">
        <w:t>. V</w:t>
      </w:r>
      <w:r w:rsidR="003C6415" w:rsidRPr="008F40DD">
        <w:t>e 3. čtvrtletí se dokončování bytů vrátilo k meziročnímu poklesu (-</w:t>
      </w:r>
      <w:r w:rsidR="008F40DD" w:rsidRPr="008F40DD">
        <w:t>15,3</w:t>
      </w:r>
      <w:r w:rsidR="003C6415" w:rsidRPr="008F40DD">
        <w:t> </w:t>
      </w:r>
      <w:r w:rsidR="00EB092F" w:rsidRPr="008F40DD">
        <w:t>%</w:t>
      </w:r>
      <w:r w:rsidR="003C6415" w:rsidRPr="008F40DD">
        <w:t>)</w:t>
      </w:r>
      <w:r w:rsidR="009D0435">
        <w:t xml:space="preserve">, který pak </w:t>
      </w:r>
      <w:r w:rsidR="008F40DD" w:rsidRPr="008F40DD">
        <w:t>ve 4.</w:t>
      </w:r>
      <w:r w:rsidR="009D0435">
        <w:t> </w:t>
      </w:r>
      <w:r w:rsidR="008F40DD" w:rsidRPr="008F40DD">
        <w:t xml:space="preserve">čtvrtletí </w:t>
      </w:r>
      <w:r w:rsidR="009D0435">
        <w:t>zpomalil na -3,0 %.</w:t>
      </w:r>
      <w:r w:rsidR="0063699E" w:rsidRPr="008F40DD">
        <w:t xml:space="preserve"> </w:t>
      </w:r>
      <w:r w:rsidR="009D0435">
        <w:t>Meziroční pokles počtu</w:t>
      </w:r>
      <w:r w:rsidR="00AB3652" w:rsidRPr="00BC415C">
        <w:t xml:space="preserve"> dokončených bytů se </w:t>
      </w:r>
      <w:r w:rsidR="009D0435">
        <w:t xml:space="preserve">v roce 2023 </w:t>
      </w:r>
      <w:r w:rsidR="00AB3652" w:rsidRPr="00BC415C">
        <w:t xml:space="preserve">odehrával </w:t>
      </w:r>
      <w:r w:rsidR="009D0435">
        <w:t xml:space="preserve">především </w:t>
      </w:r>
      <w:r w:rsidR="00AB3652" w:rsidRPr="00BC415C">
        <w:t>v</w:t>
      </w:r>
      <w:r w:rsidR="0002781D" w:rsidRPr="00BC415C">
        <w:t> </w:t>
      </w:r>
      <w:r w:rsidR="00AB3652" w:rsidRPr="00BC415C">
        <w:t>kategori</w:t>
      </w:r>
      <w:r w:rsidR="0002781D" w:rsidRPr="00BC415C">
        <w:t>i rodinných domů</w:t>
      </w:r>
      <w:r w:rsidR="00BC415C" w:rsidRPr="00BC415C">
        <w:t xml:space="preserve">, v bytových domech nastal </w:t>
      </w:r>
      <w:r w:rsidR="009D0435">
        <w:t>nepatrný</w:t>
      </w:r>
      <w:r w:rsidR="00BC415C" w:rsidRPr="00BC415C">
        <w:t xml:space="preserve"> růst</w:t>
      </w:r>
      <w:r w:rsidR="00AB3652" w:rsidRPr="00BC415C">
        <w:t>.</w:t>
      </w:r>
      <w:r w:rsidR="006C6692" w:rsidRPr="00BC415C">
        <w:t xml:space="preserve"> </w:t>
      </w:r>
      <w:r w:rsidR="0063699E" w:rsidRPr="008F40DD">
        <w:t xml:space="preserve">Meziročně více se dokončilo </w:t>
      </w:r>
      <w:r w:rsidR="009D0435">
        <w:t xml:space="preserve">také </w:t>
      </w:r>
      <w:r w:rsidR="0063699E" w:rsidRPr="008F40DD">
        <w:t>bytů v nebytových budovách (+</w:t>
      </w:r>
      <w:r w:rsidR="008F40DD" w:rsidRPr="008F40DD">
        <w:t>20,6</w:t>
      </w:r>
      <w:r w:rsidR="0063699E" w:rsidRPr="008F40DD">
        <w:t> %)</w:t>
      </w:r>
      <w:r w:rsidR="0063699E">
        <w:t xml:space="preserve">. </w:t>
      </w:r>
      <w:r w:rsidR="00AB75F1">
        <w:t>Nejvíce se dokonč</w:t>
      </w:r>
      <w:r w:rsidR="006C6692">
        <w:t>ovalo</w:t>
      </w:r>
      <w:r w:rsidR="00AB75F1">
        <w:t xml:space="preserve"> </w:t>
      </w:r>
      <w:r w:rsidR="00AB75F1" w:rsidRPr="00373365">
        <w:t>ve</w:t>
      </w:r>
      <w:r w:rsidR="006C6692" w:rsidRPr="00373365">
        <w:t> </w:t>
      </w:r>
      <w:r w:rsidR="0002781D">
        <w:t>Středočeském kraji a</w:t>
      </w:r>
      <w:r w:rsidR="00AB75F1" w:rsidRPr="0002781D">
        <w:t xml:space="preserve"> </w:t>
      </w:r>
      <w:r w:rsidR="00150D52" w:rsidRPr="0002781D">
        <w:t xml:space="preserve">v </w:t>
      </w:r>
      <w:r w:rsidR="00AB75F1" w:rsidRPr="0002781D">
        <w:t>Praze</w:t>
      </w:r>
      <w:r w:rsidR="00AB75F1" w:rsidRPr="00373365">
        <w:t>.</w:t>
      </w:r>
    </w:p>
    <w:p w:rsidR="002D6D37" w:rsidRDefault="002D6D37" w:rsidP="0087123F">
      <w:pPr>
        <w:spacing w:before="120"/>
        <w:rPr>
          <w:rFonts w:cs="Arial"/>
          <w:szCs w:val="20"/>
        </w:rPr>
      </w:pPr>
    </w:p>
    <w:p w:rsidR="0087123F" w:rsidRPr="002E1198" w:rsidRDefault="0087123F" w:rsidP="002E1198">
      <w:pPr>
        <w:pStyle w:val="Poznmky0"/>
        <w:pBdr>
          <w:top w:val="single" w:sz="4" w:space="1" w:color="auto"/>
        </w:pBdr>
        <w:spacing w:before="120" w:line="247" w:lineRule="auto"/>
      </w:pPr>
      <w:r w:rsidRPr="00627B07">
        <w:t>Poznámky:</w:t>
      </w:r>
      <w:r w:rsidR="002E1198">
        <w:t xml:space="preserve"> </w:t>
      </w:r>
      <w:r w:rsidRPr="00627B07">
        <w:rPr>
          <w:iCs/>
        </w:rPr>
        <w:t xml:space="preserve">Meziroční vývoj stavební produkce je publikován po očištění o vliv počtu pracovních dnů. Mezičtvrtletní tempa jsou očištěna také o vliv sezónnosti. </w:t>
      </w:r>
    </w:p>
    <w:p w:rsidR="0087123F" w:rsidRDefault="0087123F" w:rsidP="0087123F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>
        <w:rPr>
          <w:iCs/>
        </w:rPr>
        <w:t xml:space="preserve">Metodika: </w:t>
      </w:r>
      <w:r w:rsidR="002E1198">
        <w:rPr>
          <w:iCs/>
        </w:rPr>
        <w:t xml:space="preserve"> </w:t>
      </w:r>
      <w:hyperlink r:id="rId10" w:history="1">
        <w:r w:rsidRPr="00A27880">
          <w:rPr>
            <w:rStyle w:val="Hypertextovodkaz"/>
            <w:iCs/>
          </w:rPr>
          <w:t>https://www.czso.cz/csu/czso/stavebnictvi_metodika</w:t>
        </w:r>
      </w:hyperlink>
      <w:r>
        <w:rPr>
          <w:iCs/>
        </w:rPr>
        <w:t xml:space="preserve"> </w:t>
      </w:r>
    </w:p>
    <w:p w:rsidR="00DF3F77" w:rsidRPr="00627B07" w:rsidRDefault="00DF3F77" w:rsidP="002E1198">
      <w:pPr>
        <w:pStyle w:val="Poznmky"/>
        <w:pBdr>
          <w:top w:val="none" w:sz="0" w:space="0" w:color="auto"/>
        </w:pBdr>
        <w:spacing w:before="0" w:line="247" w:lineRule="auto"/>
        <w:ind w:left="1701" w:hanging="1701"/>
        <w:jc w:val="both"/>
        <w:rPr>
          <w:rFonts w:ascii="ArialMT" w:hAnsi="ArialMT"/>
          <w:i/>
        </w:rPr>
      </w:pPr>
      <w:r w:rsidRPr="00627B07">
        <w:rPr>
          <w:i/>
        </w:rPr>
        <w:t>Kontaktní osoba:</w:t>
      </w:r>
      <w:r w:rsidRPr="00627B07">
        <w:rPr>
          <w:i/>
        </w:rPr>
        <w:tab/>
        <w:t xml:space="preserve">Ing. Petra Cuřínová, vedoucí oddělení statistiky stavebnictví a bytové výstavby, tel.: 737280494, e-mail: </w:t>
      </w:r>
      <w:hyperlink r:id="rId11" w:history="1">
        <w:r w:rsidRPr="00627B07">
          <w:rPr>
            <w:rStyle w:val="Hypertextovodkaz"/>
            <w:rFonts w:cs="Arial"/>
            <w:i/>
            <w:color w:val="auto"/>
          </w:rPr>
          <w:t>petra.curinova@czso.cz</w:t>
        </w:r>
      </w:hyperlink>
      <w:r w:rsidRPr="00627B07">
        <w:rPr>
          <w:rFonts w:ascii="ArialMT" w:hAnsi="ArialMT"/>
          <w:i/>
        </w:rPr>
        <w:t xml:space="preserve"> </w:t>
      </w:r>
    </w:p>
    <w:p w:rsidR="002E1198" w:rsidRDefault="00DF3F77" w:rsidP="002E1198">
      <w:pPr>
        <w:pStyle w:val="Poznmky"/>
        <w:pBdr>
          <w:top w:val="none" w:sz="0" w:space="0" w:color="auto"/>
        </w:pBdr>
        <w:spacing w:before="0" w:line="247" w:lineRule="auto"/>
        <w:ind w:left="1701" w:hanging="1701"/>
        <w:jc w:val="both"/>
        <w:rPr>
          <w:rFonts w:cs="Arial"/>
          <w:i/>
        </w:rPr>
      </w:pPr>
      <w:r w:rsidRPr="00627B07">
        <w:rPr>
          <w:i/>
          <w:color w:val="auto"/>
        </w:rPr>
        <w:t>Navazující výstupy:</w:t>
      </w:r>
      <w:r w:rsidRPr="00627B07">
        <w:rPr>
          <w:i/>
          <w:color w:val="auto"/>
        </w:rPr>
        <w:tab/>
      </w:r>
      <w:hyperlink r:id="rId12" w:history="1">
        <w:r w:rsidR="002E1198" w:rsidRPr="005B29EF">
          <w:rPr>
            <w:rStyle w:val="Hypertextovodkaz"/>
            <w:rFonts w:cs="Arial"/>
            <w:i/>
          </w:rPr>
          <w:t>https://www.czso.cz/csu/czso/sta_cr</w:t>
        </w:r>
      </w:hyperlink>
    </w:p>
    <w:p w:rsidR="00DF3F77" w:rsidRPr="00627B07" w:rsidRDefault="00917471" w:rsidP="002E1198">
      <w:pPr>
        <w:pStyle w:val="Poznmky"/>
        <w:pBdr>
          <w:top w:val="none" w:sz="0" w:space="0" w:color="auto"/>
        </w:pBdr>
        <w:spacing w:before="0" w:line="247" w:lineRule="auto"/>
        <w:ind w:left="1701"/>
        <w:jc w:val="both"/>
        <w:rPr>
          <w:i/>
        </w:rPr>
      </w:pPr>
      <w:hyperlink r:id="rId13" w:history="1">
        <w:r w:rsidR="00DF3F77" w:rsidRPr="00627B07">
          <w:rPr>
            <w:rStyle w:val="Hypertextovodkaz"/>
            <w:i/>
          </w:rPr>
          <w:t>https://www.czso.cz/csu/czso/bvz_cr</w:t>
        </w:r>
      </w:hyperlink>
    </w:p>
    <w:p w:rsidR="00A848D0" w:rsidRDefault="00A848D0" w:rsidP="002E1198">
      <w:pPr>
        <w:pStyle w:val="Poznmky"/>
        <w:pBdr>
          <w:top w:val="none" w:sz="0" w:space="0" w:color="auto"/>
        </w:pBdr>
        <w:spacing w:before="0" w:line="247" w:lineRule="auto"/>
        <w:ind w:left="1701" w:hanging="1701"/>
        <w:jc w:val="both"/>
        <w:rPr>
          <w:i/>
        </w:rPr>
      </w:pPr>
      <w:r>
        <w:rPr>
          <w:i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r:id="rId14" w:history="1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sectPr w:rsidR="00A848D0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471" w:rsidRDefault="00917471" w:rsidP="00BA6370">
      <w:r>
        <w:separator/>
      </w:r>
    </w:p>
  </w:endnote>
  <w:endnote w:type="continuationSeparator" w:id="0">
    <w:p w:rsidR="00917471" w:rsidRDefault="0091747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C2579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C2579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9AFA7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471" w:rsidRDefault="00917471" w:rsidP="00BA6370">
      <w:r>
        <w:separator/>
      </w:r>
    </w:p>
  </w:footnote>
  <w:footnote w:type="continuationSeparator" w:id="0">
    <w:p w:rsidR="00917471" w:rsidRDefault="0091747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6208EC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C3"/>
    <w:rsid w:val="0000028E"/>
    <w:rsid w:val="000004A4"/>
    <w:rsid w:val="00011884"/>
    <w:rsid w:val="00014E12"/>
    <w:rsid w:val="0002781D"/>
    <w:rsid w:val="00036E2A"/>
    <w:rsid w:val="00043BF4"/>
    <w:rsid w:val="000517DF"/>
    <w:rsid w:val="000565C8"/>
    <w:rsid w:val="000719B6"/>
    <w:rsid w:val="00075DD9"/>
    <w:rsid w:val="00082748"/>
    <w:rsid w:val="00083776"/>
    <w:rsid w:val="000843A5"/>
    <w:rsid w:val="00085BC1"/>
    <w:rsid w:val="000910DA"/>
    <w:rsid w:val="00091AEC"/>
    <w:rsid w:val="00096D6C"/>
    <w:rsid w:val="000A2EE6"/>
    <w:rsid w:val="000A4237"/>
    <w:rsid w:val="000B6F63"/>
    <w:rsid w:val="000B6FA5"/>
    <w:rsid w:val="000B7A02"/>
    <w:rsid w:val="000C6B16"/>
    <w:rsid w:val="000D093F"/>
    <w:rsid w:val="000E43CC"/>
    <w:rsid w:val="000E4D45"/>
    <w:rsid w:val="000E6F80"/>
    <w:rsid w:val="000F520B"/>
    <w:rsid w:val="001019E5"/>
    <w:rsid w:val="00113796"/>
    <w:rsid w:val="00116633"/>
    <w:rsid w:val="001215F4"/>
    <w:rsid w:val="00121F35"/>
    <w:rsid w:val="001235C3"/>
    <w:rsid w:val="00124F19"/>
    <w:rsid w:val="001404AB"/>
    <w:rsid w:val="00150AC2"/>
    <w:rsid w:val="00150D52"/>
    <w:rsid w:val="001511B3"/>
    <w:rsid w:val="00153313"/>
    <w:rsid w:val="001606DC"/>
    <w:rsid w:val="00163846"/>
    <w:rsid w:val="001666FC"/>
    <w:rsid w:val="0017231D"/>
    <w:rsid w:val="001810DC"/>
    <w:rsid w:val="0018492D"/>
    <w:rsid w:val="00186993"/>
    <w:rsid w:val="0019045F"/>
    <w:rsid w:val="0019734E"/>
    <w:rsid w:val="001A70B7"/>
    <w:rsid w:val="001B0A9B"/>
    <w:rsid w:val="001B150F"/>
    <w:rsid w:val="001B607F"/>
    <w:rsid w:val="001D154C"/>
    <w:rsid w:val="001D369A"/>
    <w:rsid w:val="001D6085"/>
    <w:rsid w:val="001D776F"/>
    <w:rsid w:val="001E4C2C"/>
    <w:rsid w:val="001F08B3"/>
    <w:rsid w:val="001F2FE0"/>
    <w:rsid w:val="00200854"/>
    <w:rsid w:val="002070FB"/>
    <w:rsid w:val="00213729"/>
    <w:rsid w:val="002151C4"/>
    <w:rsid w:val="002224BB"/>
    <w:rsid w:val="00222616"/>
    <w:rsid w:val="0023558B"/>
    <w:rsid w:val="002375D9"/>
    <w:rsid w:val="002406FA"/>
    <w:rsid w:val="0024105F"/>
    <w:rsid w:val="002475F4"/>
    <w:rsid w:val="0026107B"/>
    <w:rsid w:val="00261E7D"/>
    <w:rsid w:val="00262F8F"/>
    <w:rsid w:val="002632BE"/>
    <w:rsid w:val="002647EB"/>
    <w:rsid w:val="00275DF8"/>
    <w:rsid w:val="00285776"/>
    <w:rsid w:val="0029499C"/>
    <w:rsid w:val="002A0D69"/>
    <w:rsid w:val="002A1B3D"/>
    <w:rsid w:val="002B2E47"/>
    <w:rsid w:val="002B4BF4"/>
    <w:rsid w:val="002C2903"/>
    <w:rsid w:val="002D0710"/>
    <w:rsid w:val="002D6D37"/>
    <w:rsid w:val="002D7F4F"/>
    <w:rsid w:val="002E1198"/>
    <w:rsid w:val="002E69D1"/>
    <w:rsid w:val="002F1C0C"/>
    <w:rsid w:val="00304A1E"/>
    <w:rsid w:val="00311EBB"/>
    <w:rsid w:val="00312DC4"/>
    <w:rsid w:val="003179CA"/>
    <w:rsid w:val="003232C2"/>
    <w:rsid w:val="00324270"/>
    <w:rsid w:val="003301A3"/>
    <w:rsid w:val="003330A5"/>
    <w:rsid w:val="00351641"/>
    <w:rsid w:val="0035535C"/>
    <w:rsid w:val="00361B81"/>
    <w:rsid w:val="0036777B"/>
    <w:rsid w:val="00373365"/>
    <w:rsid w:val="00375350"/>
    <w:rsid w:val="0038282A"/>
    <w:rsid w:val="00386851"/>
    <w:rsid w:val="00397580"/>
    <w:rsid w:val="003A45C8"/>
    <w:rsid w:val="003B54C5"/>
    <w:rsid w:val="003C2DCF"/>
    <w:rsid w:val="003C2F3F"/>
    <w:rsid w:val="003C4F7B"/>
    <w:rsid w:val="003C6415"/>
    <w:rsid w:val="003C7FE7"/>
    <w:rsid w:val="003D043D"/>
    <w:rsid w:val="003D0499"/>
    <w:rsid w:val="003D3576"/>
    <w:rsid w:val="003D5BA6"/>
    <w:rsid w:val="003E02F3"/>
    <w:rsid w:val="003F526A"/>
    <w:rsid w:val="0040189C"/>
    <w:rsid w:val="00405244"/>
    <w:rsid w:val="00406349"/>
    <w:rsid w:val="00410CAC"/>
    <w:rsid w:val="004154C7"/>
    <w:rsid w:val="0044088F"/>
    <w:rsid w:val="00441BB4"/>
    <w:rsid w:val="004436EE"/>
    <w:rsid w:val="0045547F"/>
    <w:rsid w:val="00455B19"/>
    <w:rsid w:val="004619C6"/>
    <w:rsid w:val="00466708"/>
    <w:rsid w:val="00471DEF"/>
    <w:rsid w:val="00472310"/>
    <w:rsid w:val="00480E73"/>
    <w:rsid w:val="004920AD"/>
    <w:rsid w:val="00497222"/>
    <w:rsid w:val="004A4D7A"/>
    <w:rsid w:val="004A57C2"/>
    <w:rsid w:val="004B3BAA"/>
    <w:rsid w:val="004B5FA7"/>
    <w:rsid w:val="004B6EDA"/>
    <w:rsid w:val="004C420B"/>
    <w:rsid w:val="004C703A"/>
    <w:rsid w:val="004C77F2"/>
    <w:rsid w:val="004D05B3"/>
    <w:rsid w:val="004D2EFE"/>
    <w:rsid w:val="004D392D"/>
    <w:rsid w:val="004E479E"/>
    <w:rsid w:val="004F5D51"/>
    <w:rsid w:val="004F686C"/>
    <w:rsid w:val="004F78E6"/>
    <w:rsid w:val="0050420E"/>
    <w:rsid w:val="00512D99"/>
    <w:rsid w:val="00523218"/>
    <w:rsid w:val="00531DBB"/>
    <w:rsid w:val="005374E1"/>
    <w:rsid w:val="0054719A"/>
    <w:rsid w:val="00550F4A"/>
    <w:rsid w:val="00561715"/>
    <w:rsid w:val="00573994"/>
    <w:rsid w:val="005752E1"/>
    <w:rsid w:val="00581422"/>
    <w:rsid w:val="005840DD"/>
    <w:rsid w:val="00597A21"/>
    <w:rsid w:val="005A723A"/>
    <w:rsid w:val="005B0A4B"/>
    <w:rsid w:val="005B22E5"/>
    <w:rsid w:val="005C2942"/>
    <w:rsid w:val="005C4E2C"/>
    <w:rsid w:val="005D3DFD"/>
    <w:rsid w:val="005F1540"/>
    <w:rsid w:val="005F17D2"/>
    <w:rsid w:val="005F79FB"/>
    <w:rsid w:val="0060255C"/>
    <w:rsid w:val="00604406"/>
    <w:rsid w:val="00605F4A"/>
    <w:rsid w:val="00607822"/>
    <w:rsid w:val="006103AA"/>
    <w:rsid w:val="00610DF4"/>
    <w:rsid w:val="00613BBF"/>
    <w:rsid w:val="00617698"/>
    <w:rsid w:val="00622B80"/>
    <w:rsid w:val="00625F02"/>
    <w:rsid w:val="00627D9F"/>
    <w:rsid w:val="006327C3"/>
    <w:rsid w:val="00635600"/>
    <w:rsid w:val="0063699E"/>
    <w:rsid w:val="0064139A"/>
    <w:rsid w:val="00653B8E"/>
    <w:rsid w:val="0065587B"/>
    <w:rsid w:val="00671B86"/>
    <w:rsid w:val="006845DF"/>
    <w:rsid w:val="00692211"/>
    <w:rsid w:val="006931CF"/>
    <w:rsid w:val="00696257"/>
    <w:rsid w:val="006A2229"/>
    <w:rsid w:val="006C2367"/>
    <w:rsid w:val="006C2DB6"/>
    <w:rsid w:val="006C6692"/>
    <w:rsid w:val="006D21EB"/>
    <w:rsid w:val="006D3B9D"/>
    <w:rsid w:val="006E024F"/>
    <w:rsid w:val="006E3685"/>
    <w:rsid w:val="006E4E81"/>
    <w:rsid w:val="006E6A33"/>
    <w:rsid w:val="006F1C51"/>
    <w:rsid w:val="006F2631"/>
    <w:rsid w:val="006F2693"/>
    <w:rsid w:val="00701A51"/>
    <w:rsid w:val="007033D7"/>
    <w:rsid w:val="00706A21"/>
    <w:rsid w:val="00707F7D"/>
    <w:rsid w:val="00711113"/>
    <w:rsid w:val="00715E5B"/>
    <w:rsid w:val="00717EC5"/>
    <w:rsid w:val="007539AC"/>
    <w:rsid w:val="00754C20"/>
    <w:rsid w:val="00756C5F"/>
    <w:rsid w:val="007677D6"/>
    <w:rsid w:val="00776F2E"/>
    <w:rsid w:val="007849BE"/>
    <w:rsid w:val="007927AA"/>
    <w:rsid w:val="00793737"/>
    <w:rsid w:val="00794385"/>
    <w:rsid w:val="00794B47"/>
    <w:rsid w:val="007A2048"/>
    <w:rsid w:val="007A57F2"/>
    <w:rsid w:val="007B1333"/>
    <w:rsid w:val="007B1830"/>
    <w:rsid w:val="007C280F"/>
    <w:rsid w:val="007C3234"/>
    <w:rsid w:val="007D3139"/>
    <w:rsid w:val="007F115F"/>
    <w:rsid w:val="007F4AEB"/>
    <w:rsid w:val="007F75B2"/>
    <w:rsid w:val="00800720"/>
    <w:rsid w:val="00800BB8"/>
    <w:rsid w:val="00800EF2"/>
    <w:rsid w:val="00803993"/>
    <w:rsid w:val="00803B26"/>
    <w:rsid w:val="008043C4"/>
    <w:rsid w:val="00806F6A"/>
    <w:rsid w:val="00827B74"/>
    <w:rsid w:val="00831B1B"/>
    <w:rsid w:val="008403D0"/>
    <w:rsid w:val="0085272D"/>
    <w:rsid w:val="00855FB3"/>
    <w:rsid w:val="00861D0E"/>
    <w:rsid w:val="008662BB"/>
    <w:rsid w:val="00867569"/>
    <w:rsid w:val="0087123F"/>
    <w:rsid w:val="00871F42"/>
    <w:rsid w:val="00872498"/>
    <w:rsid w:val="00875825"/>
    <w:rsid w:val="00883C87"/>
    <w:rsid w:val="00891A4C"/>
    <w:rsid w:val="00892217"/>
    <w:rsid w:val="0089574E"/>
    <w:rsid w:val="008A4552"/>
    <w:rsid w:val="008A750A"/>
    <w:rsid w:val="008B3970"/>
    <w:rsid w:val="008B6A9E"/>
    <w:rsid w:val="008C3790"/>
    <w:rsid w:val="008C384C"/>
    <w:rsid w:val="008D04C2"/>
    <w:rsid w:val="008D0F11"/>
    <w:rsid w:val="008D158D"/>
    <w:rsid w:val="008D25B4"/>
    <w:rsid w:val="008D6287"/>
    <w:rsid w:val="008D7CA2"/>
    <w:rsid w:val="008E0FA4"/>
    <w:rsid w:val="008F176F"/>
    <w:rsid w:val="008F40DD"/>
    <w:rsid w:val="008F73B4"/>
    <w:rsid w:val="008F7BA1"/>
    <w:rsid w:val="00900455"/>
    <w:rsid w:val="00900F9A"/>
    <w:rsid w:val="009027EC"/>
    <w:rsid w:val="00912ACB"/>
    <w:rsid w:val="00915EFB"/>
    <w:rsid w:val="00917471"/>
    <w:rsid w:val="0092415C"/>
    <w:rsid w:val="00926E30"/>
    <w:rsid w:val="00927EA2"/>
    <w:rsid w:val="009346DC"/>
    <w:rsid w:val="0094550A"/>
    <w:rsid w:val="00947E84"/>
    <w:rsid w:val="009616C2"/>
    <w:rsid w:val="009746B7"/>
    <w:rsid w:val="009774D3"/>
    <w:rsid w:val="00986DD7"/>
    <w:rsid w:val="009A0FD9"/>
    <w:rsid w:val="009A2EC4"/>
    <w:rsid w:val="009B55B1"/>
    <w:rsid w:val="009B62A7"/>
    <w:rsid w:val="009C73C8"/>
    <w:rsid w:val="009D0435"/>
    <w:rsid w:val="009F387A"/>
    <w:rsid w:val="00A00688"/>
    <w:rsid w:val="00A012C8"/>
    <w:rsid w:val="00A0762A"/>
    <w:rsid w:val="00A1095E"/>
    <w:rsid w:val="00A15BA9"/>
    <w:rsid w:val="00A20DAA"/>
    <w:rsid w:val="00A2281E"/>
    <w:rsid w:val="00A4343D"/>
    <w:rsid w:val="00A502F1"/>
    <w:rsid w:val="00A51D82"/>
    <w:rsid w:val="00A5333A"/>
    <w:rsid w:val="00A545D2"/>
    <w:rsid w:val="00A56BCA"/>
    <w:rsid w:val="00A70A83"/>
    <w:rsid w:val="00A81EB3"/>
    <w:rsid w:val="00A83BFD"/>
    <w:rsid w:val="00A848D0"/>
    <w:rsid w:val="00A84D04"/>
    <w:rsid w:val="00A955BC"/>
    <w:rsid w:val="00A95C8D"/>
    <w:rsid w:val="00AA5248"/>
    <w:rsid w:val="00AB3410"/>
    <w:rsid w:val="00AB3652"/>
    <w:rsid w:val="00AB75F1"/>
    <w:rsid w:val="00AC4A45"/>
    <w:rsid w:val="00AC4FD1"/>
    <w:rsid w:val="00B00C1D"/>
    <w:rsid w:val="00B02C9E"/>
    <w:rsid w:val="00B03E61"/>
    <w:rsid w:val="00B15712"/>
    <w:rsid w:val="00B16B31"/>
    <w:rsid w:val="00B176CB"/>
    <w:rsid w:val="00B416CC"/>
    <w:rsid w:val="00B55375"/>
    <w:rsid w:val="00B632CC"/>
    <w:rsid w:val="00B80FD6"/>
    <w:rsid w:val="00B82CA5"/>
    <w:rsid w:val="00B84111"/>
    <w:rsid w:val="00B864F0"/>
    <w:rsid w:val="00B866A9"/>
    <w:rsid w:val="00B87D60"/>
    <w:rsid w:val="00B9244A"/>
    <w:rsid w:val="00B948D8"/>
    <w:rsid w:val="00B968BD"/>
    <w:rsid w:val="00BA12F1"/>
    <w:rsid w:val="00BA439F"/>
    <w:rsid w:val="00BA6370"/>
    <w:rsid w:val="00BB0059"/>
    <w:rsid w:val="00BB14F4"/>
    <w:rsid w:val="00BB3DC2"/>
    <w:rsid w:val="00BB6E90"/>
    <w:rsid w:val="00BC3D4E"/>
    <w:rsid w:val="00BC415C"/>
    <w:rsid w:val="00BD0F98"/>
    <w:rsid w:val="00BD5F67"/>
    <w:rsid w:val="00BE4BD7"/>
    <w:rsid w:val="00BF38EA"/>
    <w:rsid w:val="00C00767"/>
    <w:rsid w:val="00C027A8"/>
    <w:rsid w:val="00C11FB1"/>
    <w:rsid w:val="00C12809"/>
    <w:rsid w:val="00C269D4"/>
    <w:rsid w:val="00C3104E"/>
    <w:rsid w:val="00C35900"/>
    <w:rsid w:val="00C37ADB"/>
    <w:rsid w:val="00C4160D"/>
    <w:rsid w:val="00C441FE"/>
    <w:rsid w:val="00C460A6"/>
    <w:rsid w:val="00C478CF"/>
    <w:rsid w:val="00C535CB"/>
    <w:rsid w:val="00C54F12"/>
    <w:rsid w:val="00C609E6"/>
    <w:rsid w:val="00C610ED"/>
    <w:rsid w:val="00C71E9B"/>
    <w:rsid w:val="00C732BE"/>
    <w:rsid w:val="00C8406E"/>
    <w:rsid w:val="00CA6C2D"/>
    <w:rsid w:val="00CB0834"/>
    <w:rsid w:val="00CB2709"/>
    <w:rsid w:val="00CB2C31"/>
    <w:rsid w:val="00CB2FA3"/>
    <w:rsid w:val="00CB6F89"/>
    <w:rsid w:val="00CC0AE9"/>
    <w:rsid w:val="00CC2579"/>
    <w:rsid w:val="00CC2CE6"/>
    <w:rsid w:val="00CD0D9F"/>
    <w:rsid w:val="00CD618A"/>
    <w:rsid w:val="00CE13A2"/>
    <w:rsid w:val="00CE1FD1"/>
    <w:rsid w:val="00CE228C"/>
    <w:rsid w:val="00CE43A4"/>
    <w:rsid w:val="00CE71D9"/>
    <w:rsid w:val="00CE78E8"/>
    <w:rsid w:val="00CF545B"/>
    <w:rsid w:val="00CF6368"/>
    <w:rsid w:val="00D03422"/>
    <w:rsid w:val="00D03C58"/>
    <w:rsid w:val="00D05F3B"/>
    <w:rsid w:val="00D209A7"/>
    <w:rsid w:val="00D26F67"/>
    <w:rsid w:val="00D27D69"/>
    <w:rsid w:val="00D323EF"/>
    <w:rsid w:val="00D33658"/>
    <w:rsid w:val="00D3597A"/>
    <w:rsid w:val="00D402EA"/>
    <w:rsid w:val="00D448C2"/>
    <w:rsid w:val="00D51ED9"/>
    <w:rsid w:val="00D62649"/>
    <w:rsid w:val="00D666C3"/>
    <w:rsid w:val="00D67AAE"/>
    <w:rsid w:val="00D82EE8"/>
    <w:rsid w:val="00D84208"/>
    <w:rsid w:val="00D9189F"/>
    <w:rsid w:val="00DA33DE"/>
    <w:rsid w:val="00DB4AD0"/>
    <w:rsid w:val="00DC70CC"/>
    <w:rsid w:val="00DE0522"/>
    <w:rsid w:val="00DF3F77"/>
    <w:rsid w:val="00DF47FE"/>
    <w:rsid w:val="00DF4AC5"/>
    <w:rsid w:val="00E0156A"/>
    <w:rsid w:val="00E05412"/>
    <w:rsid w:val="00E24CDB"/>
    <w:rsid w:val="00E26704"/>
    <w:rsid w:val="00E30F4E"/>
    <w:rsid w:val="00E31980"/>
    <w:rsid w:val="00E3743B"/>
    <w:rsid w:val="00E4190A"/>
    <w:rsid w:val="00E527E5"/>
    <w:rsid w:val="00E53836"/>
    <w:rsid w:val="00E609A3"/>
    <w:rsid w:val="00E6423C"/>
    <w:rsid w:val="00E64324"/>
    <w:rsid w:val="00E66ADE"/>
    <w:rsid w:val="00E714B5"/>
    <w:rsid w:val="00E71E22"/>
    <w:rsid w:val="00E93830"/>
    <w:rsid w:val="00E93E0E"/>
    <w:rsid w:val="00E970C2"/>
    <w:rsid w:val="00EB092F"/>
    <w:rsid w:val="00EB1ED3"/>
    <w:rsid w:val="00EB3351"/>
    <w:rsid w:val="00EB3BE5"/>
    <w:rsid w:val="00EB4D6A"/>
    <w:rsid w:val="00EB51DB"/>
    <w:rsid w:val="00EC4F67"/>
    <w:rsid w:val="00EF1614"/>
    <w:rsid w:val="00F04906"/>
    <w:rsid w:val="00F2422A"/>
    <w:rsid w:val="00F25F0B"/>
    <w:rsid w:val="00F2600B"/>
    <w:rsid w:val="00F425D2"/>
    <w:rsid w:val="00F45000"/>
    <w:rsid w:val="00F502CE"/>
    <w:rsid w:val="00F55C0D"/>
    <w:rsid w:val="00F75F2A"/>
    <w:rsid w:val="00F8334A"/>
    <w:rsid w:val="00F95FC2"/>
    <w:rsid w:val="00FA17ED"/>
    <w:rsid w:val="00FB1FC1"/>
    <w:rsid w:val="00FB4E93"/>
    <w:rsid w:val="00FB687C"/>
    <w:rsid w:val="00FC2453"/>
    <w:rsid w:val="00FC3658"/>
    <w:rsid w:val="00FE2775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F52B90D"/>
  <w15:docId w15:val="{8D88E39B-64A5-4EE9-9192-23AAC29C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F3F7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DF3F77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DF3F77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F3F77"/>
    <w:rPr>
      <w:rFonts w:ascii="Arial" w:eastAsia="Times New Roman" w:hAnsi="Arial" w:cs="Arial"/>
    </w:rPr>
  </w:style>
  <w:style w:type="paragraph" w:customStyle="1" w:styleId="Poznmkykontaktytext">
    <w:name w:val="Poznámky kontakty text"/>
    <w:basedOn w:val="Normln"/>
    <w:rsid w:val="00DF3F77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DF3F7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F3F77"/>
    <w:rPr>
      <w:rFonts w:ascii="Arial" w:hAnsi="Arial"/>
      <w:szCs w:val="22"/>
      <w:lang w:eastAsia="en-US"/>
    </w:rPr>
  </w:style>
  <w:style w:type="character" w:styleId="Zdraznn">
    <w:name w:val="Emphasis"/>
    <w:qFormat/>
    <w:rsid w:val="002D6D37"/>
    <w:rPr>
      <w:rFonts w:ascii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zso.cz/csu/czso/bvz_c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zso.cz/csu/czso/sta_c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ra.curinova@czso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zso.cz/csu/czso/stavebnictvi_metodik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ec.europa.eu/eurostat/web/short-term-business-statistics/publication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skova1595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9" ma:contentTypeDescription="Vytvoří nový dokument" ma:contentTypeScope="" ma:versionID="de84d98a7b6ee000b32f056890e7f42c">
  <xsd:schema xmlns:xsd="http://www.w3.org/2001/XMLSchema" xmlns:xs="http://www.w3.org/2001/XMLSchema" xmlns:p="http://schemas.microsoft.com/office/2006/metadata/properties" xmlns:ns2="5f927d68-6aa3-420b-a02e-a4390ec9f7ec" xmlns:ns3="0fc209ba-f289-462d-84cc-6002f2062b49" targetNamespace="http://schemas.microsoft.com/office/2006/metadata/properties" ma:root="true" ma:fieldsID="2b487d3467dfd3a177e3c3fbd8113a3b" ns2:_="" ns3:_="">
    <xsd:import namespace="5f927d68-6aa3-420b-a02e-a4390ec9f7ec"/>
    <xsd:import namespace="0fc209ba-f289-462d-84cc-6002f2062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209ba-f289-462d-84cc-6002f2062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4B6F6-1C97-4F80-AE59-50D88981D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56764-9B45-47DD-AE09-CC40F4EDD4F1}"/>
</file>

<file path=customXml/itemProps3.xml><?xml version="1.0" encoding="utf-8"?>
<ds:datastoreItem xmlns:ds="http://schemas.openxmlformats.org/officeDocument/2006/customXml" ds:itemID="{E071B2C1-A6E7-4AD2-8959-0984F81C4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C72DD7-AF24-4363-B4D4-0E840C7D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1556</TotalTime>
  <Pages>2</Pages>
  <Words>762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5254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duskova1595</dc:creator>
  <cp:lastModifiedBy>Cuřínová Petra</cp:lastModifiedBy>
  <cp:revision>126</cp:revision>
  <dcterms:created xsi:type="dcterms:W3CDTF">2022-05-04T07:57:00Z</dcterms:created>
  <dcterms:modified xsi:type="dcterms:W3CDTF">2024-02-02T10:07:00Z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