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706" w:rsidRPr="0043069F" w:rsidRDefault="002F3FFA" w:rsidP="00375706">
      <w:pPr>
        <w:pStyle w:val="Datum"/>
      </w:pPr>
      <w:r>
        <w:t>3</w:t>
      </w:r>
      <w:r w:rsidR="0057581B" w:rsidRPr="0043069F">
        <w:t> </w:t>
      </w:r>
      <w:r>
        <w:t>October</w:t>
      </w:r>
      <w:r w:rsidR="0057581B" w:rsidRPr="0043069F">
        <w:t> </w:t>
      </w:r>
      <w:r w:rsidR="00375706" w:rsidRPr="0043069F">
        <w:t>2022</w:t>
      </w:r>
    </w:p>
    <w:p w:rsidR="007E030D" w:rsidRDefault="007E030D" w:rsidP="00FD7436">
      <w:pPr>
        <w:pStyle w:val="Podtitulek"/>
        <w:rPr>
          <w:color w:val="BD1B21"/>
          <w:sz w:val="32"/>
          <w:szCs w:val="32"/>
        </w:rPr>
      </w:pPr>
      <w:r w:rsidRPr="007E030D">
        <w:rPr>
          <w:color w:val="BD1B21"/>
          <w:sz w:val="32"/>
          <w:szCs w:val="32"/>
        </w:rPr>
        <w:t xml:space="preserve">Balance of government units </w:t>
      </w:r>
      <w:r w:rsidR="00A020A6">
        <w:rPr>
          <w:color w:val="BD1B21"/>
          <w:sz w:val="32"/>
          <w:szCs w:val="32"/>
        </w:rPr>
        <w:t>was in a slight surplus in 2Q 2022</w:t>
      </w:r>
    </w:p>
    <w:p w:rsidR="00FD7436" w:rsidRPr="0043069F" w:rsidRDefault="00115B25" w:rsidP="00FD7436">
      <w:pPr>
        <w:pStyle w:val="Podtitulek"/>
      </w:pPr>
      <w:r w:rsidRPr="0043069F">
        <w:t xml:space="preserve">Government deficit and debt – the </w:t>
      </w:r>
      <w:r w:rsidR="002F3FFA">
        <w:t>second</w:t>
      </w:r>
      <w:r w:rsidRPr="0043069F">
        <w:t xml:space="preserve"> quarter of 2022</w:t>
      </w:r>
    </w:p>
    <w:p w:rsidR="002B7C2B" w:rsidRPr="0043069F" w:rsidRDefault="00AD39D8" w:rsidP="00FD7436">
      <w:pPr>
        <w:rPr>
          <w:b/>
          <w:lang w:val="en-GB"/>
        </w:rPr>
      </w:pPr>
      <w:r w:rsidRPr="00AD39D8">
        <w:rPr>
          <w:b/>
          <w:lang w:val="en-GB"/>
        </w:rPr>
        <w:t>In the Q</w:t>
      </w:r>
      <w:r>
        <w:rPr>
          <w:b/>
          <w:lang w:val="en-GB"/>
        </w:rPr>
        <w:t>2</w:t>
      </w:r>
      <w:r w:rsidRPr="00AD39D8">
        <w:rPr>
          <w:b/>
          <w:lang w:val="en-GB"/>
        </w:rPr>
        <w:t xml:space="preserve"> 2022, the general government sector balance ended up in a slight surplus corresponding to </w:t>
      </w:r>
      <w:r>
        <w:rPr>
          <w:b/>
          <w:lang w:val="en-GB"/>
        </w:rPr>
        <w:t>0.0</w:t>
      </w:r>
      <w:r w:rsidR="008C15A8">
        <w:rPr>
          <w:b/>
          <w:lang w:val="en-GB"/>
        </w:rPr>
        <w:t>3</w:t>
      </w:r>
      <w:r w:rsidRPr="00AD39D8">
        <w:rPr>
          <w:b/>
          <w:lang w:val="en-GB"/>
        </w:rPr>
        <w:t>% of GDP. The government debt ratio decreased by 1.</w:t>
      </w:r>
      <w:r>
        <w:rPr>
          <w:b/>
          <w:lang w:val="en-GB"/>
        </w:rPr>
        <w:t>4</w:t>
      </w:r>
      <w:r w:rsidRPr="00AD39D8">
        <w:rPr>
          <w:b/>
          <w:lang w:val="en-GB"/>
        </w:rPr>
        <w:t xml:space="preserve"> percentage point (p. p.), year-on-year (y-o-y), to 4</w:t>
      </w:r>
      <w:r>
        <w:rPr>
          <w:b/>
          <w:lang w:val="en-GB"/>
        </w:rPr>
        <w:t>4</w:t>
      </w:r>
      <w:r w:rsidRPr="00AD39D8">
        <w:rPr>
          <w:b/>
          <w:lang w:val="en-GB"/>
        </w:rPr>
        <w:t>.</w:t>
      </w:r>
      <w:r>
        <w:rPr>
          <w:b/>
          <w:lang w:val="en-GB"/>
        </w:rPr>
        <w:t>0</w:t>
      </w:r>
      <w:r w:rsidRPr="00AD39D8">
        <w:rPr>
          <w:b/>
          <w:lang w:val="en-GB"/>
        </w:rPr>
        <w:t>% of GDP.</w:t>
      </w:r>
    </w:p>
    <w:p w:rsidR="00FD7436" w:rsidRPr="0043069F" w:rsidRDefault="00FD7436" w:rsidP="00FD7436"/>
    <w:p w:rsidR="00AD39D8" w:rsidRDefault="00AD39D8" w:rsidP="00FD7436">
      <w:pPr>
        <w:rPr>
          <w:lang w:val="en-GB"/>
        </w:rPr>
      </w:pPr>
      <w:r w:rsidRPr="00AD39D8">
        <w:rPr>
          <w:lang w:val="en-GB"/>
        </w:rPr>
        <w:t>In the Q</w:t>
      </w:r>
      <w:r>
        <w:rPr>
          <w:lang w:val="en-GB"/>
        </w:rPr>
        <w:t>2</w:t>
      </w:r>
      <w:r w:rsidRPr="00AD39D8">
        <w:rPr>
          <w:lang w:val="en-GB"/>
        </w:rPr>
        <w:t xml:space="preserve"> 2022, the government </w:t>
      </w:r>
      <w:r>
        <w:rPr>
          <w:lang w:val="en-GB"/>
        </w:rPr>
        <w:t>surplus</w:t>
      </w:r>
      <w:r w:rsidRPr="00AD39D8">
        <w:rPr>
          <w:lang w:val="en-GB"/>
        </w:rPr>
        <w:t xml:space="preserve"> reached CZK </w:t>
      </w:r>
      <w:r>
        <w:rPr>
          <w:lang w:val="en-GB"/>
        </w:rPr>
        <w:t>0.5</w:t>
      </w:r>
      <w:r w:rsidRPr="00AD39D8">
        <w:rPr>
          <w:lang w:val="en-GB"/>
        </w:rPr>
        <w:t xml:space="preserve"> b</w:t>
      </w:r>
      <w:r>
        <w:rPr>
          <w:lang w:val="en-GB"/>
        </w:rPr>
        <w:t>illion (</w:t>
      </w:r>
      <w:proofErr w:type="spellStart"/>
      <w:r>
        <w:rPr>
          <w:lang w:val="en-GB"/>
        </w:rPr>
        <w:t>bn</w:t>
      </w:r>
      <w:proofErr w:type="spellEnd"/>
      <w:r>
        <w:rPr>
          <w:lang w:val="en-GB"/>
        </w:rPr>
        <w:t>), which was by CZK 40</w:t>
      </w:r>
      <w:r w:rsidRPr="00AD39D8">
        <w:rPr>
          <w:lang w:val="en-GB"/>
        </w:rPr>
        <w:t>.</w:t>
      </w:r>
      <w:r>
        <w:rPr>
          <w:lang w:val="en-GB"/>
        </w:rPr>
        <w:t>8</w:t>
      </w:r>
      <w:r w:rsidRPr="00AD39D8">
        <w:rPr>
          <w:lang w:val="en-GB"/>
        </w:rPr>
        <w:t xml:space="preserve"> </w:t>
      </w:r>
      <w:proofErr w:type="spellStart"/>
      <w:r w:rsidRPr="00AD39D8">
        <w:rPr>
          <w:lang w:val="en-GB"/>
        </w:rPr>
        <w:t>bn</w:t>
      </w:r>
      <w:proofErr w:type="spellEnd"/>
      <w:r w:rsidRPr="00AD39D8">
        <w:rPr>
          <w:lang w:val="en-GB"/>
        </w:rPr>
        <w:t xml:space="preserve"> better result, year-on-year. </w:t>
      </w:r>
      <w:r w:rsidR="004022CF" w:rsidRPr="00AD39D8">
        <w:rPr>
          <w:lang w:val="en-GB"/>
        </w:rPr>
        <w:t xml:space="preserve">The </w:t>
      </w:r>
      <w:r w:rsidR="004022CF">
        <w:rPr>
          <w:lang w:val="en-GB"/>
        </w:rPr>
        <w:t xml:space="preserve">balance of </w:t>
      </w:r>
      <w:r w:rsidR="004022CF" w:rsidRPr="00AD39D8">
        <w:rPr>
          <w:lang w:val="en-GB"/>
        </w:rPr>
        <w:t>central government</w:t>
      </w:r>
      <w:r w:rsidR="004022CF" w:rsidRPr="004022CF">
        <w:rPr>
          <w:lang w:val="en-GB"/>
        </w:rPr>
        <w:t xml:space="preserve"> continued to remain in a deficit of CZK 69.8 </w:t>
      </w:r>
      <w:proofErr w:type="spellStart"/>
      <w:r w:rsidR="004022CF" w:rsidRPr="004022CF">
        <w:rPr>
          <w:lang w:val="en-GB"/>
        </w:rPr>
        <w:t>bn</w:t>
      </w:r>
      <w:proofErr w:type="spellEnd"/>
      <w:r w:rsidR="004022CF" w:rsidRPr="004022CF">
        <w:rPr>
          <w:lang w:val="en-GB"/>
        </w:rPr>
        <w:t xml:space="preserve">, but improved </w:t>
      </w:r>
      <w:r w:rsidR="004022CF">
        <w:rPr>
          <w:lang w:val="en-GB"/>
        </w:rPr>
        <w:t xml:space="preserve">by CZK 19.5 </w:t>
      </w:r>
      <w:proofErr w:type="spellStart"/>
      <w:r w:rsidR="004022CF">
        <w:rPr>
          <w:lang w:val="en-GB"/>
        </w:rPr>
        <w:t>bn</w:t>
      </w:r>
      <w:proofErr w:type="spellEnd"/>
      <w:r w:rsidR="004022CF">
        <w:rPr>
          <w:lang w:val="en-GB"/>
        </w:rPr>
        <w:t xml:space="preserve">, </w:t>
      </w:r>
      <w:r w:rsidR="004022CF" w:rsidRPr="004022CF">
        <w:rPr>
          <w:lang w:val="en-GB"/>
        </w:rPr>
        <w:t>year-on-year.</w:t>
      </w:r>
      <w:r w:rsidRPr="00AD39D8">
        <w:rPr>
          <w:lang w:val="en-GB"/>
        </w:rPr>
        <w:t xml:space="preserve"> The local government sector balance ended up with a surplus of CZK </w:t>
      </w:r>
      <w:r w:rsidR="004022CF">
        <w:rPr>
          <w:lang w:val="en-GB"/>
        </w:rPr>
        <w:t>62.9</w:t>
      </w:r>
      <w:r w:rsidRPr="00AD39D8">
        <w:rPr>
          <w:lang w:val="en-GB"/>
        </w:rPr>
        <w:t xml:space="preserve"> </w:t>
      </w:r>
      <w:proofErr w:type="spellStart"/>
      <w:r w:rsidRPr="00AD39D8">
        <w:rPr>
          <w:lang w:val="en-GB"/>
        </w:rPr>
        <w:t>bn</w:t>
      </w:r>
      <w:proofErr w:type="spellEnd"/>
      <w:r w:rsidR="004022CF">
        <w:rPr>
          <w:lang w:val="en-GB"/>
        </w:rPr>
        <w:t xml:space="preserve">, which corresponds to improvement by CZK 23.1 </w:t>
      </w:r>
      <w:proofErr w:type="spellStart"/>
      <w:r w:rsidR="004022CF">
        <w:rPr>
          <w:lang w:val="en-GB"/>
        </w:rPr>
        <w:t>bn</w:t>
      </w:r>
      <w:proofErr w:type="spellEnd"/>
      <w:r w:rsidR="00ED1B33">
        <w:t>,</w:t>
      </w:r>
      <w:bookmarkStart w:id="0" w:name="_GoBack"/>
      <w:bookmarkEnd w:id="0"/>
      <w:r w:rsidR="0038227A" w:rsidRPr="0038227A">
        <w:rPr>
          <w:lang w:val="en-GB"/>
        </w:rPr>
        <w:t xml:space="preserve"> year-on-year</w:t>
      </w:r>
      <w:r w:rsidR="0038227A">
        <w:rPr>
          <w:lang w:val="en-GB"/>
        </w:rPr>
        <w:t>,</w:t>
      </w:r>
      <w:r w:rsidRPr="00AD39D8">
        <w:rPr>
          <w:lang w:val="en-GB"/>
        </w:rPr>
        <w:t xml:space="preserve"> and social security funds ended up with a surplus of CZK </w:t>
      </w:r>
      <w:r w:rsidR="004022CF">
        <w:rPr>
          <w:lang w:val="en-GB"/>
        </w:rPr>
        <w:t>7.3</w:t>
      </w:r>
      <w:r w:rsidRPr="00AD39D8">
        <w:rPr>
          <w:lang w:val="en-GB"/>
        </w:rPr>
        <w:t xml:space="preserve"> bn. </w:t>
      </w:r>
    </w:p>
    <w:p w:rsidR="00FD7436" w:rsidRPr="0043069F" w:rsidRDefault="00FD7436" w:rsidP="00FD7436"/>
    <w:p w:rsidR="00AD3C05" w:rsidRPr="00D611DB" w:rsidRDefault="00327557" w:rsidP="00FD7436">
      <w:pPr>
        <w:rPr>
          <w:lang w:val="en-GB"/>
        </w:rPr>
      </w:pPr>
      <w:r w:rsidRPr="0043069F">
        <w:rPr>
          <w:i/>
          <w:lang w:val="en-GB"/>
        </w:rPr>
        <w:t>“</w:t>
      </w:r>
      <w:r w:rsidR="002C1887" w:rsidRPr="002C1887">
        <w:rPr>
          <w:i/>
          <w:lang w:val="en-GB"/>
        </w:rPr>
        <w:t>In Q2 2022, the balance of government institutions ended in a slight surplus of CZK 0.5 billion. The debt ratio of the government institutions sector rose by 1.4 percentage points, year-on-year, and reached 44.0% of GDP. The economic result was mainly influenced by the increase in tax revenues</w:t>
      </w:r>
      <w:r w:rsidR="00874F00" w:rsidRPr="0043069F">
        <w:rPr>
          <w:i/>
          <w:lang w:val="en-GB"/>
        </w:rPr>
        <w:t xml:space="preserve">,” </w:t>
      </w:r>
      <w:r w:rsidR="00874F00" w:rsidRPr="0043069F">
        <w:rPr>
          <w:lang w:val="en-GB"/>
        </w:rPr>
        <w:t xml:space="preserve">Helena Houžvičková, Director of the </w:t>
      </w:r>
      <w:r w:rsidR="00D611DB" w:rsidRPr="0043069F">
        <w:rPr>
          <w:lang w:val="en-GB"/>
        </w:rPr>
        <w:t>Government and Financial Accounts Department</w:t>
      </w:r>
      <w:r w:rsidR="00662DD2">
        <w:rPr>
          <w:lang w:val="en-GB"/>
        </w:rPr>
        <w:t xml:space="preserve"> of the Czech Statistical Office (CZSO)</w:t>
      </w:r>
      <w:r w:rsidR="00D611DB" w:rsidRPr="0043069F">
        <w:rPr>
          <w:lang w:val="en-GB"/>
        </w:rPr>
        <w:t>, stated.</w:t>
      </w:r>
      <w:r w:rsidR="00D611DB" w:rsidRPr="00D611DB">
        <w:rPr>
          <w:lang w:val="en-GB"/>
        </w:rPr>
        <w:t xml:space="preserve"> </w:t>
      </w:r>
    </w:p>
    <w:p w:rsidR="00375706" w:rsidRPr="00D611DB" w:rsidRDefault="00375706" w:rsidP="00375706">
      <w:pPr>
        <w:rPr>
          <w:lang w:val="en-GB"/>
        </w:rPr>
      </w:pPr>
    </w:p>
    <w:p w:rsidR="00375706" w:rsidRPr="00172F4E" w:rsidRDefault="00375706" w:rsidP="00375706">
      <w:pPr>
        <w:pStyle w:val="TabulkaGraf"/>
      </w:pPr>
      <w:r w:rsidRPr="00172F4E">
        <w:t>The general government sector balance, Q</w:t>
      </w:r>
      <w:r w:rsidR="00393CF8">
        <w:t>2</w:t>
      </w:r>
      <w:r w:rsidRPr="00172F4E">
        <w:t xml:space="preserve"> 20</w:t>
      </w:r>
      <w:r w:rsidR="00012809">
        <w:t>20</w:t>
      </w:r>
      <w:r w:rsidRPr="00172F4E">
        <w:t xml:space="preserve"> – Q</w:t>
      </w:r>
      <w:r w:rsidR="00393CF8">
        <w:t>2</w:t>
      </w:r>
      <w:r w:rsidRPr="00172F4E">
        <w:t xml:space="preserve"> 20</w:t>
      </w:r>
      <w:r w:rsidR="00012809">
        <w:t>22</w:t>
      </w:r>
    </w:p>
    <w:tbl>
      <w:tblPr>
        <w:tblW w:w="8588" w:type="dxa"/>
        <w:tblInd w:w="-10" w:type="dxa"/>
        <w:tblLook w:val="04A0" w:firstRow="1" w:lastRow="0" w:firstColumn="1" w:lastColumn="0" w:noHBand="0" w:noVBand="1"/>
      </w:tblPr>
      <w:tblGrid>
        <w:gridCol w:w="1028"/>
        <w:gridCol w:w="840"/>
        <w:gridCol w:w="840"/>
        <w:gridCol w:w="840"/>
        <w:gridCol w:w="840"/>
        <w:gridCol w:w="840"/>
        <w:gridCol w:w="840"/>
        <w:gridCol w:w="840"/>
        <w:gridCol w:w="840"/>
        <w:gridCol w:w="840"/>
      </w:tblGrid>
      <w:tr w:rsidR="00FD7436" w:rsidRPr="00172F4E" w:rsidTr="00ED5799">
        <w:trPr>
          <w:trHeight w:val="480"/>
        </w:trPr>
        <w:tc>
          <w:tcPr>
            <w:tcW w:w="10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D7436" w:rsidRPr="00172F4E" w:rsidRDefault="00FD7436" w:rsidP="00FD7436">
            <w:pPr>
              <w:spacing w:line="240" w:lineRule="auto"/>
              <w:jc w:val="center"/>
              <w:rPr>
                <w:rFonts w:eastAsia="Times New Roman" w:cs="Arial"/>
                <w:color w:val="000000"/>
                <w:sz w:val="18"/>
                <w:szCs w:val="18"/>
                <w:lang w:val="en-GB"/>
              </w:rPr>
            </w:pPr>
            <w:r w:rsidRPr="00172F4E">
              <w:rPr>
                <w:rFonts w:eastAsia="Times New Roman" w:cs="Arial"/>
                <w:color w:val="000000"/>
                <w:szCs w:val="20"/>
                <w:lang w:val="en-GB"/>
              </w:rPr>
              <w:t>Period</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FD7436" w:rsidRPr="00172F4E" w:rsidRDefault="00FD7436" w:rsidP="00FD7436">
            <w:pPr>
              <w:jc w:val="center"/>
              <w:rPr>
                <w:rFonts w:cs="Arial"/>
                <w:color w:val="000000"/>
                <w:sz w:val="18"/>
                <w:szCs w:val="18"/>
                <w:lang w:val="en-GB"/>
              </w:rPr>
            </w:pPr>
            <w:r w:rsidRPr="00172F4E">
              <w:rPr>
                <w:rFonts w:cs="Arial"/>
                <w:color w:val="000000"/>
                <w:sz w:val="18"/>
                <w:szCs w:val="18"/>
                <w:lang w:val="en-GB"/>
              </w:rPr>
              <w:t>Q1 2020</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FD7436" w:rsidRPr="00172F4E" w:rsidRDefault="00FD7436" w:rsidP="00FD7436">
            <w:pPr>
              <w:jc w:val="center"/>
              <w:rPr>
                <w:rFonts w:cs="Arial"/>
                <w:color w:val="000000"/>
                <w:sz w:val="18"/>
                <w:szCs w:val="18"/>
                <w:lang w:val="en-GB"/>
              </w:rPr>
            </w:pPr>
            <w:r w:rsidRPr="00172F4E">
              <w:rPr>
                <w:rFonts w:cs="Arial"/>
                <w:color w:val="000000"/>
                <w:sz w:val="18"/>
                <w:szCs w:val="18"/>
                <w:lang w:val="en-GB"/>
              </w:rPr>
              <w:t>Q2 2020</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FD7436" w:rsidRPr="00172F4E" w:rsidRDefault="00FD7436" w:rsidP="00FD7436">
            <w:pPr>
              <w:jc w:val="center"/>
              <w:rPr>
                <w:rFonts w:cs="Arial"/>
                <w:color w:val="000000"/>
                <w:sz w:val="18"/>
                <w:szCs w:val="18"/>
                <w:lang w:val="en-GB"/>
              </w:rPr>
            </w:pPr>
            <w:r w:rsidRPr="00172F4E">
              <w:rPr>
                <w:rFonts w:cs="Arial"/>
                <w:color w:val="000000"/>
                <w:sz w:val="18"/>
                <w:szCs w:val="18"/>
                <w:lang w:val="en-GB"/>
              </w:rPr>
              <w:t>Q3 2020</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FD7436" w:rsidRPr="00172F4E" w:rsidRDefault="00FD7436" w:rsidP="00FD7436">
            <w:pPr>
              <w:jc w:val="center"/>
              <w:rPr>
                <w:rFonts w:cs="Arial"/>
                <w:color w:val="000000"/>
                <w:sz w:val="18"/>
                <w:szCs w:val="18"/>
                <w:lang w:val="en-GB"/>
              </w:rPr>
            </w:pPr>
            <w:r w:rsidRPr="00172F4E">
              <w:rPr>
                <w:rFonts w:cs="Arial"/>
                <w:color w:val="000000"/>
                <w:sz w:val="18"/>
                <w:szCs w:val="18"/>
                <w:lang w:val="en-GB"/>
              </w:rPr>
              <w:t>Q4 2020</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FD7436" w:rsidRPr="00172F4E" w:rsidRDefault="00FD7436" w:rsidP="00FD7436">
            <w:pPr>
              <w:jc w:val="center"/>
              <w:rPr>
                <w:rFonts w:cs="Arial"/>
                <w:color w:val="000000"/>
                <w:sz w:val="18"/>
                <w:szCs w:val="18"/>
                <w:lang w:val="en-GB"/>
              </w:rPr>
            </w:pPr>
            <w:r w:rsidRPr="00172F4E">
              <w:rPr>
                <w:rFonts w:cs="Arial"/>
                <w:color w:val="000000"/>
                <w:sz w:val="18"/>
                <w:szCs w:val="18"/>
                <w:lang w:val="en-GB"/>
              </w:rPr>
              <w:t>Q1 2021</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FD7436" w:rsidRPr="00172F4E" w:rsidRDefault="00FD7436" w:rsidP="00FD7436">
            <w:pPr>
              <w:jc w:val="center"/>
              <w:rPr>
                <w:rFonts w:cs="Arial"/>
                <w:color w:val="000000"/>
                <w:sz w:val="18"/>
                <w:szCs w:val="18"/>
                <w:lang w:val="en-GB"/>
              </w:rPr>
            </w:pPr>
            <w:r w:rsidRPr="00172F4E">
              <w:rPr>
                <w:rFonts w:cs="Arial"/>
                <w:color w:val="000000"/>
                <w:sz w:val="18"/>
                <w:szCs w:val="18"/>
                <w:lang w:val="en-GB"/>
              </w:rPr>
              <w:t>Q2 2021</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FD7436" w:rsidRPr="00172F4E" w:rsidRDefault="00FD7436" w:rsidP="00FD7436">
            <w:pPr>
              <w:jc w:val="center"/>
              <w:rPr>
                <w:rFonts w:cs="Arial"/>
                <w:color w:val="000000"/>
                <w:sz w:val="18"/>
                <w:szCs w:val="18"/>
                <w:lang w:val="en-GB"/>
              </w:rPr>
            </w:pPr>
            <w:r w:rsidRPr="00172F4E">
              <w:rPr>
                <w:rFonts w:cs="Arial"/>
                <w:color w:val="000000"/>
                <w:sz w:val="18"/>
                <w:szCs w:val="18"/>
                <w:lang w:val="en-GB"/>
              </w:rPr>
              <w:t>Q3 2021</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FD7436" w:rsidRPr="00172F4E" w:rsidRDefault="00FD7436" w:rsidP="00FD7436">
            <w:pPr>
              <w:jc w:val="center"/>
              <w:rPr>
                <w:rFonts w:cs="Arial"/>
                <w:color w:val="000000"/>
                <w:szCs w:val="20"/>
                <w:lang w:val="en-GB"/>
              </w:rPr>
            </w:pPr>
            <w:r w:rsidRPr="00172F4E">
              <w:rPr>
                <w:rFonts w:cs="Arial"/>
                <w:color w:val="000000"/>
                <w:sz w:val="18"/>
                <w:szCs w:val="18"/>
                <w:lang w:val="en-GB"/>
              </w:rPr>
              <w:t>Q4 2021</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FD7436" w:rsidRPr="00172F4E" w:rsidRDefault="00FD7436" w:rsidP="00FD7436">
            <w:pPr>
              <w:jc w:val="center"/>
              <w:rPr>
                <w:rFonts w:cs="Arial"/>
                <w:color w:val="000000"/>
                <w:szCs w:val="20"/>
                <w:lang w:val="en-GB"/>
              </w:rPr>
            </w:pPr>
            <w:r w:rsidRPr="00172F4E">
              <w:rPr>
                <w:rFonts w:cs="Arial"/>
                <w:color w:val="000000"/>
                <w:sz w:val="18"/>
                <w:szCs w:val="18"/>
                <w:lang w:val="en-GB"/>
              </w:rPr>
              <w:t>Q</w:t>
            </w:r>
            <w:r>
              <w:rPr>
                <w:rFonts w:cs="Arial"/>
                <w:color w:val="000000"/>
                <w:sz w:val="18"/>
                <w:szCs w:val="18"/>
                <w:lang w:val="en-GB"/>
              </w:rPr>
              <w:t>1</w:t>
            </w:r>
            <w:r w:rsidRPr="00172F4E">
              <w:rPr>
                <w:rFonts w:cs="Arial"/>
                <w:color w:val="000000"/>
                <w:sz w:val="18"/>
                <w:szCs w:val="18"/>
                <w:lang w:val="en-GB"/>
              </w:rPr>
              <w:t xml:space="preserve"> 202</w:t>
            </w:r>
            <w:r>
              <w:rPr>
                <w:rFonts w:cs="Arial"/>
                <w:color w:val="000000"/>
                <w:sz w:val="18"/>
                <w:szCs w:val="18"/>
                <w:lang w:val="en-GB"/>
              </w:rPr>
              <w:t>2</w:t>
            </w:r>
          </w:p>
        </w:tc>
      </w:tr>
      <w:tr w:rsidR="00393CF8" w:rsidRPr="00172F4E" w:rsidTr="00ED5799">
        <w:trPr>
          <w:trHeight w:val="315"/>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393CF8" w:rsidRPr="00172F4E" w:rsidRDefault="00393CF8" w:rsidP="00393CF8">
            <w:pPr>
              <w:spacing w:line="240" w:lineRule="auto"/>
              <w:jc w:val="center"/>
              <w:rPr>
                <w:rFonts w:eastAsia="Times New Roman" w:cs="Arial"/>
                <w:color w:val="000000"/>
                <w:sz w:val="18"/>
                <w:szCs w:val="18"/>
                <w:lang w:val="en-GB"/>
              </w:rPr>
            </w:pPr>
            <w:r w:rsidRPr="00172F4E">
              <w:rPr>
                <w:rFonts w:eastAsia="Times New Roman" w:cs="Arial"/>
                <w:color w:val="000000"/>
                <w:szCs w:val="20"/>
                <w:lang w:val="en-GB"/>
              </w:rPr>
              <w:t xml:space="preserve">CZK </w:t>
            </w:r>
            <w:proofErr w:type="spellStart"/>
            <w:r w:rsidRPr="00172F4E">
              <w:rPr>
                <w:rFonts w:eastAsia="Times New Roman" w:cs="Arial"/>
                <w:color w:val="000000"/>
                <w:szCs w:val="20"/>
                <w:lang w:val="en-GB"/>
              </w:rPr>
              <w:t>bn</w:t>
            </w:r>
            <w:proofErr w:type="spellEnd"/>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spacing w:line="240" w:lineRule="auto"/>
              <w:jc w:val="right"/>
              <w:rPr>
                <w:rFonts w:cs="Arial"/>
                <w:color w:val="000000"/>
                <w:sz w:val="18"/>
                <w:szCs w:val="18"/>
                <w:lang w:eastAsia="cs-CZ"/>
              </w:rPr>
            </w:pPr>
            <w:r>
              <w:rPr>
                <w:rFonts w:cs="Arial"/>
                <w:color w:val="000000"/>
                <w:sz w:val="18"/>
                <w:szCs w:val="18"/>
              </w:rPr>
              <w:t>-98</w:t>
            </w:r>
            <w:r w:rsidR="00ED5799">
              <w:rPr>
                <w:rFonts w:cs="Arial"/>
                <w:color w:val="000000"/>
                <w:sz w:val="18"/>
                <w:szCs w:val="18"/>
              </w:rPr>
              <w:t>.</w:t>
            </w:r>
            <w:r>
              <w:rPr>
                <w:rFonts w:cs="Arial"/>
                <w:color w:val="000000"/>
                <w:sz w:val="18"/>
                <w:szCs w:val="18"/>
              </w:rPr>
              <w:t>4</w:t>
            </w:r>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jc w:val="right"/>
              <w:rPr>
                <w:rFonts w:cs="Arial"/>
                <w:color w:val="000000"/>
                <w:sz w:val="18"/>
                <w:szCs w:val="18"/>
              </w:rPr>
            </w:pPr>
            <w:r>
              <w:rPr>
                <w:rFonts w:cs="Arial"/>
                <w:color w:val="000000"/>
                <w:sz w:val="18"/>
                <w:szCs w:val="18"/>
              </w:rPr>
              <w:t>-43</w:t>
            </w:r>
            <w:r w:rsidR="00ED5799">
              <w:rPr>
                <w:rFonts w:cs="Arial"/>
                <w:color w:val="000000"/>
                <w:sz w:val="18"/>
                <w:szCs w:val="18"/>
              </w:rPr>
              <w:t>.</w:t>
            </w:r>
            <w:r>
              <w:rPr>
                <w:rFonts w:cs="Arial"/>
                <w:color w:val="000000"/>
                <w:sz w:val="18"/>
                <w:szCs w:val="18"/>
              </w:rPr>
              <w:t>0</w:t>
            </w:r>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jc w:val="right"/>
              <w:rPr>
                <w:rFonts w:cs="Arial"/>
                <w:color w:val="000000"/>
                <w:sz w:val="18"/>
                <w:szCs w:val="18"/>
              </w:rPr>
            </w:pPr>
            <w:r>
              <w:rPr>
                <w:rFonts w:cs="Arial"/>
                <w:color w:val="000000"/>
                <w:sz w:val="18"/>
                <w:szCs w:val="18"/>
              </w:rPr>
              <w:t>-137</w:t>
            </w:r>
            <w:r w:rsidR="00ED5799">
              <w:rPr>
                <w:rFonts w:cs="Arial"/>
                <w:color w:val="000000"/>
                <w:sz w:val="18"/>
                <w:szCs w:val="18"/>
              </w:rPr>
              <w:t>.</w:t>
            </w:r>
            <w:r>
              <w:rPr>
                <w:rFonts w:cs="Arial"/>
                <w:color w:val="000000"/>
                <w:sz w:val="18"/>
                <w:szCs w:val="18"/>
              </w:rPr>
              <w:t>5</w:t>
            </w:r>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jc w:val="right"/>
              <w:rPr>
                <w:rFonts w:cs="Arial"/>
                <w:color w:val="000000"/>
                <w:sz w:val="18"/>
                <w:szCs w:val="18"/>
              </w:rPr>
            </w:pPr>
            <w:r>
              <w:rPr>
                <w:rFonts w:cs="Arial"/>
                <w:color w:val="000000"/>
                <w:sz w:val="18"/>
                <w:szCs w:val="18"/>
              </w:rPr>
              <w:t>-131</w:t>
            </w:r>
            <w:r w:rsidR="00ED5799">
              <w:rPr>
                <w:rFonts w:cs="Arial"/>
                <w:color w:val="000000"/>
                <w:sz w:val="18"/>
                <w:szCs w:val="18"/>
              </w:rPr>
              <w:t>.</w:t>
            </w:r>
            <w:r>
              <w:rPr>
                <w:rFonts w:cs="Arial"/>
                <w:color w:val="000000"/>
                <w:sz w:val="18"/>
                <w:szCs w:val="18"/>
              </w:rPr>
              <w:t>3</w:t>
            </w:r>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jc w:val="right"/>
              <w:rPr>
                <w:rFonts w:cs="Arial"/>
                <w:color w:val="000000"/>
                <w:sz w:val="18"/>
                <w:szCs w:val="18"/>
              </w:rPr>
            </w:pPr>
            <w:r>
              <w:rPr>
                <w:rFonts w:cs="Arial"/>
                <w:color w:val="000000"/>
                <w:sz w:val="18"/>
                <w:szCs w:val="18"/>
              </w:rPr>
              <w:t>-40</w:t>
            </w:r>
            <w:r w:rsidR="00ED5799">
              <w:rPr>
                <w:rFonts w:cs="Arial"/>
                <w:color w:val="000000"/>
                <w:sz w:val="18"/>
                <w:szCs w:val="18"/>
              </w:rPr>
              <w:t>.</w:t>
            </w:r>
            <w:r>
              <w:rPr>
                <w:rFonts w:cs="Arial"/>
                <w:color w:val="000000"/>
                <w:sz w:val="18"/>
                <w:szCs w:val="18"/>
              </w:rPr>
              <w:t>4</w:t>
            </w:r>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jc w:val="right"/>
              <w:rPr>
                <w:rFonts w:cs="Arial"/>
                <w:color w:val="000000"/>
                <w:sz w:val="18"/>
                <w:szCs w:val="18"/>
              </w:rPr>
            </w:pPr>
            <w:r>
              <w:rPr>
                <w:rFonts w:cs="Arial"/>
                <w:color w:val="000000"/>
                <w:sz w:val="18"/>
                <w:szCs w:val="18"/>
              </w:rPr>
              <w:t>-42</w:t>
            </w:r>
            <w:r w:rsidR="00ED5799">
              <w:rPr>
                <w:rFonts w:cs="Arial"/>
                <w:color w:val="000000"/>
                <w:sz w:val="18"/>
                <w:szCs w:val="18"/>
              </w:rPr>
              <w:t>.</w:t>
            </w:r>
            <w:r>
              <w:rPr>
                <w:rFonts w:cs="Arial"/>
                <w:color w:val="000000"/>
                <w:sz w:val="18"/>
                <w:szCs w:val="18"/>
              </w:rPr>
              <w:t>9</w:t>
            </w:r>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jc w:val="right"/>
              <w:rPr>
                <w:rFonts w:cs="Arial"/>
                <w:color w:val="000000"/>
                <w:sz w:val="18"/>
                <w:szCs w:val="18"/>
              </w:rPr>
            </w:pPr>
            <w:r>
              <w:rPr>
                <w:rFonts w:cs="Arial"/>
                <w:color w:val="000000"/>
                <w:sz w:val="18"/>
                <w:szCs w:val="18"/>
              </w:rPr>
              <w:t>-97</w:t>
            </w:r>
            <w:r w:rsidR="00ED5799">
              <w:rPr>
                <w:rFonts w:cs="Arial"/>
                <w:color w:val="000000"/>
                <w:sz w:val="18"/>
                <w:szCs w:val="18"/>
              </w:rPr>
              <w:t>.</w:t>
            </w:r>
            <w:r>
              <w:rPr>
                <w:rFonts w:cs="Arial"/>
                <w:color w:val="000000"/>
                <w:sz w:val="18"/>
                <w:szCs w:val="18"/>
              </w:rPr>
              <w:t>0</w:t>
            </w:r>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jc w:val="right"/>
              <w:rPr>
                <w:rFonts w:cs="Arial"/>
                <w:color w:val="000000"/>
                <w:sz w:val="18"/>
                <w:szCs w:val="18"/>
              </w:rPr>
            </w:pPr>
            <w:r>
              <w:rPr>
                <w:rFonts w:cs="Arial"/>
                <w:color w:val="000000"/>
                <w:sz w:val="18"/>
                <w:szCs w:val="18"/>
              </w:rPr>
              <w:t>-71</w:t>
            </w:r>
            <w:r w:rsidR="00ED5799">
              <w:rPr>
                <w:rFonts w:cs="Arial"/>
                <w:color w:val="000000"/>
                <w:sz w:val="18"/>
                <w:szCs w:val="18"/>
              </w:rPr>
              <w:t>.</w:t>
            </w:r>
            <w:r>
              <w:rPr>
                <w:rFonts w:cs="Arial"/>
                <w:color w:val="000000"/>
                <w:sz w:val="18"/>
                <w:szCs w:val="18"/>
              </w:rPr>
              <w:t>9</w:t>
            </w:r>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jc w:val="right"/>
              <w:rPr>
                <w:rFonts w:cs="Arial"/>
                <w:sz w:val="18"/>
                <w:szCs w:val="18"/>
              </w:rPr>
            </w:pPr>
            <w:r>
              <w:rPr>
                <w:rFonts w:cs="Arial"/>
                <w:sz w:val="18"/>
                <w:szCs w:val="18"/>
              </w:rPr>
              <w:t>0</w:t>
            </w:r>
            <w:r w:rsidR="00ED5799">
              <w:rPr>
                <w:rFonts w:cs="Arial"/>
                <w:sz w:val="18"/>
                <w:szCs w:val="18"/>
              </w:rPr>
              <w:t>.</w:t>
            </w:r>
            <w:r>
              <w:rPr>
                <w:rFonts w:cs="Arial"/>
                <w:sz w:val="18"/>
                <w:szCs w:val="18"/>
              </w:rPr>
              <w:t>5</w:t>
            </w:r>
          </w:p>
        </w:tc>
      </w:tr>
      <w:tr w:rsidR="00393CF8" w:rsidRPr="00172F4E" w:rsidTr="00ED5799">
        <w:trPr>
          <w:trHeight w:val="315"/>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393CF8" w:rsidRPr="00172F4E" w:rsidRDefault="00393CF8" w:rsidP="00393CF8">
            <w:pPr>
              <w:spacing w:line="240" w:lineRule="auto"/>
              <w:jc w:val="center"/>
              <w:rPr>
                <w:rFonts w:eastAsia="Times New Roman" w:cs="Arial"/>
                <w:color w:val="000000"/>
                <w:sz w:val="18"/>
                <w:szCs w:val="18"/>
                <w:lang w:val="en-GB"/>
              </w:rPr>
            </w:pPr>
            <w:r w:rsidRPr="00172F4E">
              <w:rPr>
                <w:rFonts w:eastAsia="Times New Roman" w:cs="Arial"/>
                <w:color w:val="000000"/>
                <w:szCs w:val="20"/>
                <w:lang w:val="en-GB"/>
              </w:rPr>
              <w:t>% of GDP</w:t>
            </w:r>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jc w:val="right"/>
              <w:rPr>
                <w:rFonts w:cs="Arial"/>
                <w:sz w:val="18"/>
                <w:szCs w:val="18"/>
              </w:rPr>
            </w:pPr>
            <w:r>
              <w:rPr>
                <w:rFonts w:cs="Arial"/>
                <w:sz w:val="18"/>
                <w:szCs w:val="18"/>
              </w:rPr>
              <w:t>-7</w:t>
            </w:r>
            <w:r w:rsidR="00ED5799">
              <w:rPr>
                <w:rFonts w:cs="Arial"/>
                <w:sz w:val="18"/>
                <w:szCs w:val="18"/>
              </w:rPr>
              <w:t>.</w:t>
            </w:r>
            <w:r>
              <w:rPr>
                <w:rFonts w:cs="Arial"/>
                <w:sz w:val="18"/>
                <w:szCs w:val="18"/>
              </w:rPr>
              <w:t>3</w:t>
            </w:r>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jc w:val="right"/>
              <w:rPr>
                <w:rFonts w:cs="Arial"/>
                <w:sz w:val="18"/>
                <w:szCs w:val="18"/>
              </w:rPr>
            </w:pPr>
            <w:r>
              <w:rPr>
                <w:rFonts w:cs="Arial"/>
                <w:sz w:val="18"/>
                <w:szCs w:val="18"/>
              </w:rPr>
              <w:t>-2</w:t>
            </w:r>
            <w:r w:rsidR="00ED5799">
              <w:rPr>
                <w:rFonts w:cs="Arial"/>
                <w:sz w:val="18"/>
                <w:szCs w:val="18"/>
              </w:rPr>
              <w:t>.</w:t>
            </w:r>
            <w:r>
              <w:rPr>
                <w:rFonts w:cs="Arial"/>
                <w:sz w:val="18"/>
                <w:szCs w:val="18"/>
              </w:rPr>
              <w:t>9</w:t>
            </w:r>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jc w:val="right"/>
              <w:rPr>
                <w:rFonts w:cs="Arial"/>
                <w:sz w:val="18"/>
                <w:szCs w:val="18"/>
              </w:rPr>
            </w:pPr>
            <w:r>
              <w:rPr>
                <w:rFonts w:cs="Arial"/>
                <w:sz w:val="18"/>
                <w:szCs w:val="18"/>
              </w:rPr>
              <w:t>-9</w:t>
            </w:r>
            <w:r w:rsidR="00ED5799">
              <w:rPr>
                <w:rFonts w:cs="Arial"/>
                <w:sz w:val="18"/>
                <w:szCs w:val="18"/>
              </w:rPr>
              <w:t>.</w:t>
            </w:r>
            <w:r>
              <w:rPr>
                <w:rFonts w:cs="Arial"/>
                <w:sz w:val="18"/>
                <w:szCs w:val="18"/>
              </w:rPr>
              <w:t>0</w:t>
            </w:r>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jc w:val="right"/>
              <w:rPr>
                <w:rFonts w:cs="Arial"/>
                <w:sz w:val="18"/>
                <w:szCs w:val="18"/>
              </w:rPr>
            </w:pPr>
            <w:r>
              <w:rPr>
                <w:rFonts w:cs="Arial"/>
                <w:sz w:val="18"/>
                <w:szCs w:val="18"/>
              </w:rPr>
              <w:t>-9</w:t>
            </w:r>
            <w:r w:rsidR="00ED5799">
              <w:rPr>
                <w:rFonts w:cs="Arial"/>
                <w:sz w:val="18"/>
                <w:szCs w:val="18"/>
              </w:rPr>
              <w:t>.</w:t>
            </w:r>
            <w:r>
              <w:rPr>
                <w:rFonts w:cs="Arial"/>
                <w:sz w:val="18"/>
                <w:szCs w:val="18"/>
              </w:rPr>
              <w:t>5</w:t>
            </w:r>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jc w:val="right"/>
              <w:rPr>
                <w:rFonts w:cs="Arial"/>
                <w:sz w:val="18"/>
                <w:szCs w:val="18"/>
              </w:rPr>
            </w:pPr>
            <w:r>
              <w:rPr>
                <w:rFonts w:cs="Arial"/>
                <w:sz w:val="18"/>
                <w:szCs w:val="18"/>
              </w:rPr>
              <w:t>-2</w:t>
            </w:r>
            <w:r w:rsidR="00ED5799">
              <w:rPr>
                <w:rFonts w:cs="Arial"/>
                <w:sz w:val="18"/>
                <w:szCs w:val="18"/>
              </w:rPr>
              <w:t>.</w:t>
            </w:r>
            <w:r>
              <w:rPr>
                <w:rFonts w:cs="Arial"/>
                <w:sz w:val="18"/>
                <w:szCs w:val="18"/>
              </w:rPr>
              <w:t>6</w:t>
            </w:r>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jc w:val="right"/>
              <w:rPr>
                <w:rFonts w:cs="Arial"/>
                <w:sz w:val="18"/>
                <w:szCs w:val="18"/>
              </w:rPr>
            </w:pPr>
            <w:r>
              <w:rPr>
                <w:rFonts w:cs="Arial"/>
                <w:sz w:val="18"/>
                <w:szCs w:val="18"/>
              </w:rPr>
              <w:t>-2</w:t>
            </w:r>
            <w:r w:rsidR="00ED5799">
              <w:rPr>
                <w:rFonts w:cs="Arial"/>
                <w:sz w:val="18"/>
                <w:szCs w:val="18"/>
              </w:rPr>
              <w:t>.</w:t>
            </w:r>
            <w:r>
              <w:rPr>
                <w:rFonts w:cs="Arial"/>
                <w:sz w:val="18"/>
                <w:szCs w:val="18"/>
              </w:rPr>
              <w:t>7</w:t>
            </w:r>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jc w:val="right"/>
              <w:rPr>
                <w:rFonts w:cs="Arial"/>
                <w:sz w:val="18"/>
                <w:szCs w:val="18"/>
              </w:rPr>
            </w:pPr>
            <w:r>
              <w:rPr>
                <w:rFonts w:cs="Arial"/>
                <w:sz w:val="18"/>
                <w:szCs w:val="18"/>
              </w:rPr>
              <w:t>-6</w:t>
            </w:r>
            <w:r w:rsidR="00ED5799">
              <w:rPr>
                <w:rFonts w:cs="Arial"/>
                <w:sz w:val="18"/>
                <w:szCs w:val="18"/>
              </w:rPr>
              <w:t>.</w:t>
            </w:r>
            <w:r>
              <w:rPr>
                <w:rFonts w:cs="Arial"/>
                <w:sz w:val="18"/>
                <w:szCs w:val="18"/>
              </w:rPr>
              <w:t>0</w:t>
            </w:r>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jc w:val="right"/>
              <w:rPr>
                <w:rFonts w:cs="Arial"/>
                <w:sz w:val="18"/>
                <w:szCs w:val="18"/>
              </w:rPr>
            </w:pPr>
            <w:r>
              <w:rPr>
                <w:rFonts w:cs="Arial"/>
                <w:sz w:val="18"/>
                <w:szCs w:val="18"/>
              </w:rPr>
              <w:t>-4</w:t>
            </w:r>
            <w:r w:rsidR="00ED5799">
              <w:rPr>
                <w:rFonts w:cs="Arial"/>
                <w:sz w:val="18"/>
                <w:szCs w:val="18"/>
              </w:rPr>
              <w:t>.</w:t>
            </w:r>
            <w:r>
              <w:rPr>
                <w:rFonts w:cs="Arial"/>
                <w:sz w:val="18"/>
                <w:szCs w:val="18"/>
              </w:rPr>
              <w:t>7</w:t>
            </w:r>
          </w:p>
        </w:tc>
        <w:tc>
          <w:tcPr>
            <w:tcW w:w="840" w:type="dxa"/>
            <w:tcBorders>
              <w:top w:val="nil"/>
              <w:left w:val="nil"/>
              <w:bottom w:val="single" w:sz="8" w:space="0" w:color="auto"/>
              <w:right w:val="single" w:sz="8" w:space="0" w:color="auto"/>
            </w:tcBorders>
            <w:shd w:val="clear" w:color="auto" w:fill="auto"/>
            <w:vAlign w:val="center"/>
            <w:hideMark/>
          </w:tcPr>
          <w:p w:rsidR="00393CF8" w:rsidRDefault="00393CF8" w:rsidP="00393CF8">
            <w:pPr>
              <w:jc w:val="right"/>
              <w:rPr>
                <w:rFonts w:cs="Arial"/>
                <w:sz w:val="18"/>
                <w:szCs w:val="18"/>
              </w:rPr>
            </w:pPr>
            <w:r>
              <w:rPr>
                <w:rFonts w:cs="Arial"/>
                <w:sz w:val="18"/>
                <w:szCs w:val="18"/>
              </w:rPr>
              <w:t>0</w:t>
            </w:r>
            <w:r w:rsidR="00ED5799">
              <w:rPr>
                <w:rFonts w:cs="Arial"/>
                <w:sz w:val="18"/>
                <w:szCs w:val="18"/>
              </w:rPr>
              <w:t>.</w:t>
            </w:r>
            <w:r>
              <w:rPr>
                <w:rFonts w:cs="Arial"/>
                <w:sz w:val="18"/>
                <w:szCs w:val="18"/>
              </w:rPr>
              <w:t>0</w:t>
            </w:r>
          </w:p>
        </w:tc>
      </w:tr>
    </w:tbl>
    <w:p w:rsidR="00375706" w:rsidRPr="00172F4E" w:rsidRDefault="00375706" w:rsidP="00375706">
      <w:pPr>
        <w:rPr>
          <w:i/>
          <w:lang w:val="en-GB"/>
        </w:rPr>
      </w:pPr>
      <w:r w:rsidRPr="00172F4E">
        <w:rPr>
          <w:i/>
          <w:lang w:val="en-GB"/>
        </w:rPr>
        <w:t xml:space="preserve">Note: Data in the table </w:t>
      </w:r>
      <w:proofErr w:type="gramStart"/>
      <w:r w:rsidRPr="00172F4E">
        <w:rPr>
          <w:i/>
          <w:lang w:val="en-GB"/>
        </w:rPr>
        <w:t>are not seasonally adjusted</w:t>
      </w:r>
      <w:proofErr w:type="gramEnd"/>
      <w:r w:rsidRPr="00172F4E">
        <w:rPr>
          <w:i/>
          <w:lang w:val="en-GB"/>
        </w:rPr>
        <w:t xml:space="preserve"> and cannot be compared quarter-on-quarter.</w:t>
      </w:r>
    </w:p>
    <w:p w:rsidR="005B3DF6" w:rsidRDefault="005B3DF6" w:rsidP="00AC14F2"/>
    <w:p w:rsidR="00E43047" w:rsidRPr="0043069F" w:rsidRDefault="005B3DF6" w:rsidP="00AC14F2">
      <w:pPr>
        <w:rPr>
          <w:lang w:val="en-GB"/>
        </w:rPr>
      </w:pPr>
      <w:r w:rsidRPr="0043069F">
        <w:rPr>
          <w:lang w:val="en-GB"/>
        </w:rPr>
        <w:t xml:space="preserve">The total government revenues increased by </w:t>
      </w:r>
      <w:r w:rsidR="002356F3">
        <w:rPr>
          <w:lang w:val="en-GB"/>
        </w:rPr>
        <w:t>11.6</w:t>
      </w:r>
      <w:r w:rsidRPr="0043069F">
        <w:rPr>
          <w:lang w:val="en-GB"/>
        </w:rPr>
        <w:t>%</w:t>
      </w:r>
      <w:r w:rsidR="002C0D66">
        <w:rPr>
          <w:lang w:val="en-GB"/>
        </w:rPr>
        <w:t>,</w:t>
      </w:r>
      <w:r w:rsidRPr="0043069F">
        <w:rPr>
          <w:lang w:val="en-GB"/>
        </w:rPr>
        <w:t xml:space="preserve"> </w:t>
      </w:r>
      <w:r w:rsidR="00506194">
        <w:rPr>
          <w:lang w:val="en-GB"/>
        </w:rPr>
        <w:t>y-o-y</w:t>
      </w:r>
      <w:r w:rsidR="002C0D66">
        <w:rPr>
          <w:lang w:val="en-GB"/>
        </w:rPr>
        <w:t>,</w:t>
      </w:r>
      <w:r w:rsidR="00506194">
        <w:rPr>
          <w:lang w:val="en-GB"/>
        </w:rPr>
        <w:t xml:space="preserve"> and reached 4</w:t>
      </w:r>
      <w:r w:rsidR="002356F3">
        <w:rPr>
          <w:lang w:val="en-GB"/>
        </w:rPr>
        <w:t>4</w:t>
      </w:r>
      <w:r w:rsidR="00506194">
        <w:rPr>
          <w:lang w:val="en-GB"/>
        </w:rPr>
        <w:t xml:space="preserve">.2% of </w:t>
      </w:r>
      <w:r w:rsidRPr="0043069F">
        <w:rPr>
          <w:lang w:val="en-GB"/>
        </w:rPr>
        <w:t xml:space="preserve">GDP. The y-o-y increase in revenues </w:t>
      </w:r>
      <w:proofErr w:type="gramStart"/>
      <w:r w:rsidRPr="0043069F">
        <w:rPr>
          <w:lang w:val="en-GB"/>
        </w:rPr>
        <w:t>was mainly contributed</w:t>
      </w:r>
      <w:proofErr w:type="gramEnd"/>
      <w:r w:rsidRPr="0043069F">
        <w:rPr>
          <w:lang w:val="en-GB"/>
        </w:rPr>
        <w:t xml:space="preserve"> to by an increase in revenues from taxes on production and imports</w:t>
      </w:r>
      <w:r w:rsidR="002C0D66">
        <w:rPr>
          <w:lang w:val="en-GB"/>
        </w:rPr>
        <w:t>,</w:t>
      </w:r>
      <w:r w:rsidR="00F641FB" w:rsidRPr="0043069F">
        <w:rPr>
          <w:lang w:val="en-GB"/>
        </w:rPr>
        <w:t xml:space="preserve"> from social contributions</w:t>
      </w:r>
      <w:r w:rsidR="006F7B8D">
        <w:rPr>
          <w:lang w:val="en-GB"/>
        </w:rPr>
        <w:t>,</w:t>
      </w:r>
      <w:r w:rsidR="00F641FB" w:rsidRPr="0043069F">
        <w:rPr>
          <w:lang w:val="en-GB"/>
        </w:rPr>
        <w:t xml:space="preserve"> and </w:t>
      </w:r>
      <w:r w:rsidRPr="0043069F">
        <w:rPr>
          <w:lang w:val="en-GB"/>
        </w:rPr>
        <w:t>taxes on income.</w:t>
      </w:r>
      <w:r w:rsidR="00E43047" w:rsidRPr="0043069F">
        <w:rPr>
          <w:lang w:val="en-GB"/>
        </w:rPr>
        <w:t xml:space="preserve"> The total government expenditure increased b</w:t>
      </w:r>
      <w:r w:rsidR="00506194">
        <w:rPr>
          <w:lang w:val="en-GB"/>
        </w:rPr>
        <w:t xml:space="preserve">y </w:t>
      </w:r>
      <w:r w:rsidR="002356F3">
        <w:rPr>
          <w:lang w:val="en-GB"/>
        </w:rPr>
        <w:t>5.2</w:t>
      </w:r>
      <w:r w:rsidR="00506194">
        <w:rPr>
          <w:lang w:val="en-GB"/>
        </w:rPr>
        <w:t>% and reached 4</w:t>
      </w:r>
      <w:r w:rsidR="002356F3">
        <w:rPr>
          <w:lang w:val="en-GB"/>
        </w:rPr>
        <w:t>4</w:t>
      </w:r>
      <w:r w:rsidR="00506194">
        <w:rPr>
          <w:lang w:val="en-GB"/>
        </w:rPr>
        <w:t>.</w:t>
      </w:r>
      <w:r w:rsidR="001E011F">
        <w:rPr>
          <w:lang w:val="en-GB"/>
        </w:rPr>
        <w:t>1</w:t>
      </w:r>
      <w:r w:rsidR="00506194">
        <w:rPr>
          <w:lang w:val="en-GB"/>
        </w:rPr>
        <w:t xml:space="preserve">% of </w:t>
      </w:r>
      <w:r w:rsidR="00E43047" w:rsidRPr="0043069F">
        <w:rPr>
          <w:lang w:val="en-GB"/>
        </w:rPr>
        <w:t>GDP</w:t>
      </w:r>
      <w:r w:rsidR="006F7B8D">
        <w:rPr>
          <w:lang w:val="en-GB"/>
        </w:rPr>
        <w:t>.</w:t>
      </w:r>
      <w:r w:rsidR="00E43047" w:rsidRPr="0043069F">
        <w:rPr>
          <w:lang w:val="en-GB"/>
        </w:rPr>
        <w:t xml:space="preserve"> </w:t>
      </w:r>
      <w:r w:rsidR="006F7B8D">
        <w:rPr>
          <w:lang w:val="en-GB"/>
        </w:rPr>
        <w:t>E</w:t>
      </w:r>
      <w:r w:rsidR="009A23F9">
        <w:rPr>
          <w:lang w:val="en-GB"/>
        </w:rPr>
        <w:t>xpenditure on</w:t>
      </w:r>
      <w:r w:rsidR="00224187" w:rsidRPr="0043069F">
        <w:rPr>
          <w:lang w:val="en-GB"/>
        </w:rPr>
        <w:t xml:space="preserve"> social benefits </w:t>
      </w:r>
      <w:r w:rsidR="002356F3">
        <w:rPr>
          <w:lang w:val="en-GB"/>
        </w:rPr>
        <w:t>and o</w:t>
      </w:r>
      <w:r w:rsidR="002356F3" w:rsidRPr="002356F3">
        <w:rPr>
          <w:lang w:val="en-GB"/>
        </w:rPr>
        <w:t>ther current transfers, receivable</w:t>
      </w:r>
      <w:r w:rsidR="002356F3">
        <w:rPr>
          <w:lang w:val="en-GB"/>
        </w:rPr>
        <w:t xml:space="preserve"> </w:t>
      </w:r>
      <w:r w:rsidR="00224187" w:rsidRPr="0043069F">
        <w:rPr>
          <w:lang w:val="en-GB"/>
        </w:rPr>
        <w:t xml:space="preserve">increased the most. </w:t>
      </w:r>
      <w:r w:rsidR="000A707E" w:rsidRPr="0043069F">
        <w:rPr>
          <w:lang w:val="en-GB"/>
        </w:rPr>
        <w:t xml:space="preserve">A decrease </w:t>
      </w:r>
      <w:proofErr w:type="gramStart"/>
      <w:r w:rsidR="000A707E" w:rsidRPr="0043069F">
        <w:rPr>
          <w:lang w:val="en-GB"/>
        </w:rPr>
        <w:t>was recorded</w:t>
      </w:r>
      <w:proofErr w:type="gramEnd"/>
      <w:r w:rsidR="000A707E" w:rsidRPr="0043069F">
        <w:rPr>
          <w:lang w:val="en-GB"/>
        </w:rPr>
        <w:t xml:space="preserve"> mainly as for</w:t>
      </w:r>
      <w:r w:rsidR="00E43047" w:rsidRPr="0043069F">
        <w:rPr>
          <w:lang w:val="en-GB"/>
        </w:rPr>
        <w:t xml:space="preserve"> </w:t>
      </w:r>
      <w:r w:rsidR="000A707E" w:rsidRPr="0043069F">
        <w:rPr>
          <w:lang w:val="en-GB"/>
        </w:rPr>
        <w:t xml:space="preserve">subsidies. </w:t>
      </w:r>
    </w:p>
    <w:p w:rsidR="00E43047" w:rsidRDefault="00E43047" w:rsidP="00AC14F2"/>
    <w:p w:rsidR="002356F3" w:rsidRDefault="008E19A9" w:rsidP="00AC14F2">
      <w:pPr>
        <w:rPr>
          <w:lang w:val="en-GB"/>
        </w:rPr>
      </w:pPr>
      <w:r w:rsidRPr="0043069F">
        <w:rPr>
          <w:lang w:val="en-GB"/>
        </w:rPr>
        <w:t>The nominal debt of the general government increased by CZK </w:t>
      </w:r>
      <w:r w:rsidR="00F56760">
        <w:rPr>
          <w:lang w:val="en-GB"/>
        </w:rPr>
        <w:t>310.2</w:t>
      </w:r>
      <w:r w:rsidRPr="0043069F">
        <w:rPr>
          <w:lang w:val="en-GB"/>
        </w:rPr>
        <w:t> billion to CZK</w:t>
      </w:r>
      <w:r w:rsidR="00B03597">
        <w:rPr>
          <w:lang w:val="en-GB"/>
        </w:rPr>
        <w:t> </w:t>
      </w:r>
      <w:r w:rsidRPr="0043069F">
        <w:rPr>
          <w:lang w:val="en-GB"/>
        </w:rPr>
        <w:t>2</w:t>
      </w:r>
      <w:r w:rsidR="00F56760">
        <w:rPr>
          <w:lang w:val="en-GB"/>
        </w:rPr>
        <w:t> 827.7</w:t>
      </w:r>
      <w:r w:rsidRPr="0043069F">
        <w:rPr>
          <w:lang w:val="en-GB"/>
        </w:rPr>
        <w:t xml:space="preserve"> billion. The government debt ratio </w:t>
      </w:r>
      <w:r w:rsidR="00F56760">
        <w:rPr>
          <w:lang w:val="en-GB"/>
        </w:rPr>
        <w:t>in</w:t>
      </w:r>
      <w:r w:rsidRPr="0043069F">
        <w:rPr>
          <w:lang w:val="en-GB"/>
        </w:rPr>
        <w:t>creased from 4</w:t>
      </w:r>
      <w:r w:rsidR="00F56760">
        <w:rPr>
          <w:lang w:val="en-GB"/>
        </w:rPr>
        <w:t>2.</w:t>
      </w:r>
      <w:r w:rsidR="008C15A8">
        <w:rPr>
          <w:lang w:val="en-GB"/>
        </w:rPr>
        <w:t>6</w:t>
      </w:r>
      <w:r w:rsidRPr="0043069F">
        <w:rPr>
          <w:lang w:val="en-GB"/>
        </w:rPr>
        <w:t>%</w:t>
      </w:r>
      <w:r w:rsidR="00506194">
        <w:rPr>
          <w:lang w:val="en-GB"/>
        </w:rPr>
        <w:t xml:space="preserve"> to 4</w:t>
      </w:r>
      <w:r w:rsidR="00F56760">
        <w:rPr>
          <w:lang w:val="en-GB"/>
        </w:rPr>
        <w:t>4</w:t>
      </w:r>
      <w:r w:rsidR="00506194">
        <w:rPr>
          <w:lang w:val="en-GB"/>
        </w:rPr>
        <w:t>.</w:t>
      </w:r>
      <w:r w:rsidR="00F56760">
        <w:rPr>
          <w:lang w:val="en-GB"/>
        </w:rPr>
        <w:t>0</w:t>
      </w:r>
      <w:r w:rsidR="00506194">
        <w:rPr>
          <w:lang w:val="en-GB"/>
        </w:rPr>
        <w:t xml:space="preserve">% of </w:t>
      </w:r>
      <w:r w:rsidRPr="0043069F">
        <w:rPr>
          <w:lang w:val="en-GB"/>
        </w:rPr>
        <w:t>GDP</w:t>
      </w:r>
      <w:r w:rsidR="002C0D66">
        <w:rPr>
          <w:lang w:val="en-GB"/>
        </w:rPr>
        <w:t>,</w:t>
      </w:r>
      <w:r w:rsidRPr="0043069F">
        <w:rPr>
          <w:lang w:val="en-GB"/>
        </w:rPr>
        <w:t xml:space="preserve"> year-on-year</w:t>
      </w:r>
      <w:r w:rsidR="002C0D66">
        <w:rPr>
          <w:lang w:val="en-GB"/>
        </w:rPr>
        <w:t>,</w:t>
      </w:r>
      <w:r w:rsidRPr="0043069F">
        <w:rPr>
          <w:lang w:val="en-GB"/>
        </w:rPr>
        <w:t xml:space="preserve"> the change of the debt was +</w:t>
      </w:r>
      <w:r w:rsidR="00F56760">
        <w:rPr>
          <w:lang w:val="en-GB"/>
        </w:rPr>
        <w:t>1.4</w:t>
      </w:r>
      <w:r w:rsidRPr="0043069F">
        <w:rPr>
          <w:lang w:val="en-GB"/>
        </w:rPr>
        <w:t> p. p.</w:t>
      </w:r>
      <w:r w:rsidR="002C0D66">
        <w:rPr>
          <w:lang w:val="en-GB"/>
        </w:rPr>
        <w:t>,</w:t>
      </w:r>
      <w:r w:rsidRPr="0043069F">
        <w:rPr>
          <w:lang w:val="en-GB"/>
        </w:rPr>
        <w:t xml:space="preserve"> whereas the increasing nominal GDP contributed to a decrease in the indebtedness by –3.</w:t>
      </w:r>
      <w:r w:rsidR="00F56760">
        <w:rPr>
          <w:lang w:val="en-GB"/>
        </w:rPr>
        <w:t>4</w:t>
      </w:r>
      <w:r w:rsidRPr="0043069F">
        <w:rPr>
          <w:lang w:val="en-GB"/>
        </w:rPr>
        <w:t> p. p.</w:t>
      </w:r>
      <w:r w:rsidR="00055C7A" w:rsidRPr="0043069F">
        <w:rPr>
          <w:lang w:val="en-GB"/>
        </w:rPr>
        <w:t xml:space="preserve"> The debt increased by CZK </w:t>
      </w:r>
      <w:r w:rsidR="00FE095D">
        <w:rPr>
          <w:lang w:val="en-GB"/>
        </w:rPr>
        <w:t>143.6</w:t>
      </w:r>
      <w:r w:rsidR="00055C7A" w:rsidRPr="0043069F">
        <w:rPr>
          <w:lang w:val="en-GB"/>
        </w:rPr>
        <w:t> billion</w:t>
      </w:r>
      <w:r w:rsidR="002C0D66">
        <w:rPr>
          <w:lang w:val="en-GB"/>
        </w:rPr>
        <w:t>,</w:t>
      </w:r>
      <w:r w:rsidR="00055C7A" w:rsidRPr="0043069F">
        <w:rPr>
          <w:lang w:val="en-GB"/>
        </w:rPr>
        <w:t xml:space="preserve"> quarter-on-quarter. </w:t>
      </w:r>
      <w:r w:rsidR="00E269AE" w:rsidRPr="0043069F">
        <w:rPr>
          <w:lang w:val="en-GB"/>
        </w:rPr>
        <w:t>In the quarter-on-quarter comparison</w:t>
      </w:r>
      <w:r w:rsidR="002C0D66">
        <w:rPr>
          <w:lang w:val="en-GB"/>
        </w:rPr>
        <w:t>,</w:t>
      </w:r>
      <w:r w:rsidR="00C103CE" w:rsidRPr="0043069F">
        <w:rPr>
          <w:lang w:val="en-GB"/>
        </w:rPr>
        <w:t xml:space="preserve"> the debt ratio increased by </w:t>
      </w:r>
      <w:r w:rsidR="00FE095D">
        <w:rPr>
          <w:lang w:val="en-GB"/>
        </w:rPr>
        <w:t>1.2</w:t>
      </w:r>
      <w:r w:rsidR="00C103CE" w:rsidRPr="0043069F">
        <w:rPr>
          <w:lang w:val="en-GB"/>
        </w:rPr>
        <w:t xml:space="preserve"> p. p. </w:t>
      </w:r>
      <w:r w:rsidR="00FE095D">
        <w:rPr>
          <w:lang w:val="en-GB"/>
        </w:rPr>
        <w:t>T</w:t>
      </w:r>
      <w:r w:rsidR="004D65A0" w:rsidRPr="0043069F">
        <w:rPr>
          <w:lang w:val="en-GB"/>
        </w:rPr>
        <w:t xml:space="preserve">he increase in the nominal GDP contributed to a decrease by </w:t>
      </w:r>
      <w:r w:rsidR="004D65A0" w:rsidRPr="0043069F">
        <w:t>–1.1 p. p.</w:t>
      </w:r>
      <w:r w:rsidR="00E269AE">
        <w:rPr>
          <w:lang w:val="en-GB"/>
        </w:rPr>
        <w:t xml:space="preserve"> </w:t>
      </w:r>
    </w:p>
    <w:p w:rsidR="002356F3" w:rsidRDefault="002356F3" w:rsidP="00AC14F2">
      <w:pPr>
        <w:rPr>
          <w:lang w:val="en-GB"/>
        </w:rPr>
      </w:pPr>
    </w:p>
    <w:p w:rsidR="007E030D" w:rsidRPr="007E030D" w:rsidRDefault="007E030D" w:rsidP="00AC14F2">
      <w:pPr>
        <w:rPr>
          <w:lang w:val="en-GB"/>
        </w:rPr>
      </w:pPr>
      <w:r w:rsidRPr="007E030D">
        <w:rPr>
          <w:lang w:val="en-GB"/>
        </w:rPr>
        <w:lastRenderedPageBreak/>
        <w:t xml:space="preserve">In Q2 2022, an increase of the debt (CZK 143.6 </w:t>
      </w:r>
      <w:proofErr w:type="spellStart"/>
      <w:r w:rsidRPr="007E030D">
        <w:rPr>
          <w:lang w:val="en-GB"/>
        </w:rPr>
        <w:t>bn</w:t>
      </w:r>
      <w:proofErr w:type="spellEnd"/>
      <w:r w:rsidRPr="007E030D">
        <w:rPr>
          <w:lang w:val="en-GB"/>
        </w:rPr>
        <w:t xml:space="preserve">) was markedly higher than the deficit (CZK 0.5 </w:t>
      </w:r>
      <w:proofErr w:type="spellStart"/>
      <w:r w:rsidRPr="007E030D">
        <w:rPr>
          <w:lang w:val="en-GB"/>
        </w:rPr>
        <w:t>bn</w:t>
      </w:r>
      <w:proofErr w:type="spellEnd"/>
      <w:r w:rsidRPr="007E030D">
        <w:rPr>
          <w:lang w:val="en-GB"/>
        </w:rPr>
        <w:t xml:space="preserve">). The general government borrowed by CZK 143.1 </w:t>
      </w:r>
      <w:proofErr w:type="spellStart"/>
      <w:r w:rsidRPr="007E030D">
        <w:rPr>
          <w:lang w:val="en-GB"/>
        </w:rPr>
        <w:t>bn</w:t>
      </w:r>
      <w:proofErr w:type="spellEnd"/>
      <w:r w:rsidRPr="007E030D">
        <w:rPr>
          <w:lang w:val="en-GB"/>
        </w:rPr>
        <w:t xml:space="preserve"> more than their need for financing was, which resulted in an increase of the value of assets held, especially of deposits.</w:t>
      </w:r>
    </w:p>
    <w:p w:rsidR="00AC14F2" w:rsidRPr="0043069F" w:rsidRDefault="00AC14F2" w:rsidP="00AC14F2"/>
    <w:p w:rsidR="002942E0" w:rsidRDefault="00C27E47" w:rsidP="00AC14F2">
      <w:pPr>
        <w:rPr>
          <w:lang w:val="en-GB"/>
        </w:rPr>
      </w:pPr>
      <w:r w:rsidRPr="0043069F">
        <w:rPr>
          <w:lang w:val="en-GB"/>
        </w:rPr>
        <w:t>Regarding the debt structure</w:t>
      </w:r>
      <w:r w:rsidR="002356F3">
        <w:rPr>
          <w:lang w:val="en-GB"/>
        </w:rPr>
        <w:t>,</w:t>
      </w:r>
      <w:r w:rsidR="002942E0" w:rsidRPr="0043069F">
        <w:rPr>
          <w:lang w:val="en-GB"/>
        </w:rPr>
        <w:t xml:space="preserve"> especially</w:t>
      </w:r>
      <w:r w:rsidRPr="0043069F">
        <w:rPr>
          <w:lang w:val="en-GB"/>
        </w:rPr>
        <w:t xml:space="preserve"> the following increased</w:t>
      </w:r>
      <w:r w:rsidR="00056962">
        <w:rPr>
          <w:lang w:val="en-GB"/>
        </w:rPr>
        <w:t>,</w:t>
      </w:r>
      <w:r w:rsidRPr="0043069F">
        <w:rPr>
          <w:lang w:val="en-GB"/>
        </w:rPr>
        <w:t xml:space="preserve"> y-o-y: issued debt securities </w:t>
      </w:r>
      <w:r w:rsidR="002942E0" w:rsidRPr="0043069F">
        <w:rPr>
          <w:lang w:val="en-GB"/>
        </w:rPr>
        <w:t>(CZK +</w:t>
      </w:r>
      <w:r w:rsidR="002356F3">
        <w:rPr>
          <w:lang w:val="en-GB"/>
        </w:rPr>
        <w:t>205.3</w:t>
      </w:r>
      <w:r w:rsidR="002942E0" w:rsidRPr="0043069F">
        <w:rPr>
          <w:lang w:val="en-GB"/>
        </w:rPr>
        <w:t> </w:t>
      </w:r>
      <w:proofErr w:type="spellStart"/>
      <w:r w:rsidRPr="0043069F">
        <w:rPr>
          <w:lang w:val="en-GB"/>
        </w:rPr>
        <w:t>bn</w:t>
      </w:r>
      <w:proofErr w:type="spellEnd"/>
      <w:r w:rsidRPr="0043069F">
        <w:rPr>
          <w:lang w:val="en-GB"/>
        </w:rPr>
        <w:t>)</w:t>
      </w:r>
      <w:r w:rsidR="00056962">
        <w:rPr>
          <w:lang w:val="en-GB"/>
        </w:rPr>
        <w:t>,</w:t>
      </w:r>
      <w:r w:rsidR="002942E0" w:rsidRPr="0043069F">
        <w:rPr>
          <w:lang w:val="en-GB"/>
        </w:rPr>
        <w:t xml:space="preserve"> which continue to be the main component of the debt.</w:t>
      </w:r>
      <w:r w:rsidR="002942E0">
        <w:rPr>
          <w:lang w:val="en-GB"/>
        </w:rPr>
        <w:t xml:space="preserve"> </w:t>
      </w:r>
      <w:r w:rsidRPr="004C6841">
        <w:rPr>
          <w:lang w:val="en-GB"/>
        </w:rPr>
        <w:t xml:space="preserve"> </w:t>
      </w:r>
    </w:p>
    <w:p w:rsidR="00375706" w:rsidRPr="00172F4E" w:rsidRDefault="00375706" w:rsidP="00375706">
      <w:pPr>
        <w:rPr>
          <w:lang w:val="en-GB"/>
        </w:rPr>
      </w:pPr>
    </w:p>
    <w:p w:rsidR="00375706" w:rsidRPr="00172F4E" w:rsidRDefault="00375706" w:rsidP="00375706">
      <w:pPr>
        <w:jc w:val="left"/>
        <w:rPr>
          <w:noProof/>
          <w:lang w:val="en-GB" w:eastAsia="cs-CZ"/>
        </w:rPr>
      </w:pPr>
      <w:r w:rsidRPr="00172F4E">
        <w:rPr>
          <w:rFonts w:eastAsia="Times New Roman"/>
          <w:b/>
          <w:bCs/>
          <w:szCs w:val="28"/>
          <w:lang w:val="en-GB"/>
        </w:rPr>
        <w:t>Debt of the general government sector</w:t>
      </w:r>
      <w:r w:rsidR="00ED5799">
        <w:rPr>
          <w:rFonts w:eastAsia="Times New Roman"/>
          <w:b/>
          <w:bCs/>
          <w:szCs w:val="28"/>
          <w:lang w:val="en-GB"/>
        </w:rPr>
        <w:t>.</w:t>
      </w:r>
      <w:r w:rsidRPr="00172F4E">
        <w:rPr>
          <w:rFonts w:eastAsia="Times New Roman"/>
          <w:b/>
          <w:bCs/>
          <w:szCs w:val="28"/>
          <w:lang w:val="en-GB"/>
        </w:rPr>
        <w:t xml:space="preserve"> Q</w:t>
      </w:r>
      <w:r w:rsidR="009D6AD5">
        <w:rPr>
          <w:rFonts w:eastAsia="Times New Roman"/>
          <w:b/>
          <w:bCs/>
          <w:szCs w:val="28"/>
          <w:lang w:val="en-GB"/>
        </w:rPr>
        <w:t>2</w:t>
      </w:r>
      <w:r w:rsidRPr="00172F4E">
        <w:rPr>
          <w:rFonts w:eastAsia="Times New Roman"/>
          <w:b/>
          <w:bCs/>
          <w:szCs w:val="28"/>
          <w:lang w:val="en-GB"/>
        </w:rPr>
        <w:t xml:space="preserve"> 20</w:t>
      </w:r>
      <w:r w:rsidR="00012809">
        <w:rPr>
          <w:rFonts w:eastAsia="Times New Roman"/>
          <w:b/>
          <w:bCs/>
          <w:szCs w:val="28"/>
          <w:lang w:val="en-GB"/>
        </w:rPr>
        <w:t>20</w:t>
      </w:r>
      <w:r w:rsidRPr="00172F4E">
        <w:rPr>
          <w:rFonts w:eastAsia="Times New Roman"/>
          <w:b/>
          <w:bCs/>
          <w:szCs w:val="28"/>
          <w:lang w:val="en-GB"/>
        </w:rPr>
        <w:t xml:space="preserve"> – Q</w:t>
      </w:r>
      <w:r w:rsidR="009D6AD5">
        <w:rPr>
          <w:rFonts w:eastAsia="Times New Roman"/>
          <w:b/>
          <w:bCs/>
          <w:szCs w:val="28"/>
          <w:lang w:val="en-GB"/>
        </w:rPr>
        <w:t>2</w:t>
      </w:r>
      <w:r w:rsidRPr="00172F4E">
        <w:rPr>
          <w:rFonts w:eastAsia="Times New Roman"/>
          <w:b/>
          <w:bCs/>
          <w:szCs w:val="28"/>
          <w:lang w:val="en-GB"/>
        </w:rPr>
        <w:t xml:space="preserve"> 202</w:t>
      </w:r>
      <w:r w:rsidR="00012809">
        <w:rPr>
          <w:rFonts w:eastAsia="Times New Roman"/>
          <w:b/>
          <w:bCs/>
          <w:szCs w:val="28"/>
          <w:lang w:val="en-GB"/>
        </w:rPr>
        <w:t>2</w:t>
      </w:r>
    </w:p>
    <w:p w:rsidR="00375706" w:rsidRPr="00172F4E" w:rsidRDefault="009D6AD5" w:rsidP="00375706">
      <w:pPr>
        <w:rPr>
          <w:lang w:val="en-GB"/>
        </w:rPr>
      </w:pPr>
      <w:r>
        <w:rPr>
          <w:noProof/>
          <w:lang w:eastAsia="cs-CZ"/>
        </w:rPr>
        <w:drawing>
          <wp:inline distT="0" distB="0" distL="0" distR="0" wp14:anchorId="3CCCD34F" wp14:editId="572A099B">
            <wp:extent cx="5372100" cy="2828925"/>
            <wp:effectExtent l="0" t="0" r="0" b="9525"/>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75706" w:rsidRDefault="00375706" w:rsidP="00375706">
      <w:pPr>
        <w:rPr>
          <w:lang w:val="en-GB"/>
        </w:rPr>
      </w:pPr>
    </w:p>
    <w:p w:rsidR="003E36B3" w:rsidRDefault="00F959A0" w:rsidP="00375706">
      <w:pPr>
        <w:rPr>
          <w:lang w:val="en-GB"/>
        </w:rPr>
      </w:pPr>
      <w:r>
        <w:rPr>
          <w:noProof/>
          <w:lang w:eastAsia="cs-CZ"/>
        </w:rPr>
        <w:drawing>
          <wp:inline distT="0" distB="0" distL="0" distR="0" wp14:anchorId="1B36161E" wp14:editId="00DACD0E">
            <wp:extent cx="5400040" cy="2044700"/>
            <wp:effectExtent l="0" t="0" r="10160" b="1270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E36B3" w:rsidRPr="00172F4E" w:rsidRDefault="003E36B3" w:rsidP="00375706">
      <w:pPr>
        <w:rPr>
          <w:lang w:val="en-GB"/>
        </w:rPr>
      </w:pPr>
    </w:p>
    <w:p w:rsidR="00783A3B" w:rsidRPr="00172F4E" w:rsidRDefault="00783A3B" w:rsidP="00375706">
      <w:pPr>
        <w:rPr>
          <w:lang w:val="en-GB"/>
        </w:rPr>
      </w:pPr>
      <w:r w:rsidRPr="00172F4E">
        <w:rPr>
          <w:lang w:val="en-GB"/>
        </w:rPr>
        <w:t>The general government sector balance after seasonal adjustment as well as adjustment for calendar effects ended up with a deficit of CZK </w:t>
      </w:r>
      <w:r w:rsidR="0015573C">
        <w:rPr>
          <w:lang w:val="en-GB"/>
        </w:rPr>
        <w:t>39.3</w:t>
      </w:r>
      <w:r w:rsidRPr="00172F4E">
        <w:rPr>
          <w:lang w:val="en-GB"/>
        </w:rPr>
        <w:t> </w:t>
      </w:r>
      <w:proofErr w:type="spellStart"/>
      <w:r w:rsidRPr="00172F4E">
        <w:rPr>
          <w:lang w:val="en-GB"/>
        </w:rPr>
        <w:t>bn</w:t>
      </w:r>
      <w:proofErr w:type="spellEnd"/>
      <w:r w:rsidR="00664078">
        <w:rPr>
          <w:lang w:val="en-GB"/>
        </w:rPr>
        <w:t>,</w:t>
      </w:r>
      <w:r w:rsidRPr="00172F4E">
        <w:rPr>
          <w:lang w:val="en-GB"/>
        </w:rPr>
        <w:t xml:space="preserve"> which corresponded to </w:t>
      </w:r>
      <w:r w:rsidR="002356F3">
        <w:rPr>
          <w:lang w:val="en-GB"/>
        </w:rPr>
        <w:t>2.3</w:t>
      </w:r>
      <w:r w:rsidRPr="00172F4E">
        <w:rPr>
          <w:lang w:val="en-GB"/>
        </w:rPr>
        <w:t xml:space="preserve">% of GDP. The general government sector balance </w:t>
      </w:r>
      <w:r w:rsidR="00F94CDB" w:rsidRPr="00172F4E">
        <w:rPr>
          <w:lang w:val="en-GB"/>
        </w:rPr>
        <w:t>improved</w:t>
      </w:r>
      <w:r w:rsidRPr="00172F4E">
        <w:rPr>
          <w:lang w:val="en-GB"/>
        </w:rPr>
        <w:t xml:space="preserve"> by CZK</w:t>
      </w:r>
      <w:r w:rsidR="00F94CDB" w:rsidRPr="00172F4E">
        <w:rPr>
          <w:lang w:val="en-GB"/>
        </w:rPr>
        <w:t> </w:t>
      </w:r>
      <w:r w:rsidR="0015573C">
        <w:rPr>
          <w:lang w:val="en-GB"/>
        </w:rPr>
        <w:t>13.3</w:t>
      </w:r>
      <w:r w:rsidRPr="00172F4E">
        <w:rPr>
          <w:lang w:val="en-GB"/>
        </w:rPr>
        <w:t> </w:t>
      </w:r>
      <w:proofErr w:type="spellStart"/>
      <w:r w:rsidRPr="00172F4E">
        <w:rPr>
          <w:lang w:val="en-GB"/>
        </w:rPr>
        <w:t>bn</w:t>
      </w:r>
      <w:proofErr w:type="spellEnd"/>
      <w:r w:rsidR="00664078">
        <w:rPr>
          <w:lang w:val="en-GB"/>
        </w:rPr>
        <w:t>,</w:t>
      </w:r>
      <w:r w:rsidRPr="00172F4E">
        <w:rPr>
          <w:lang w:val="en-GB"/>
        </w:rPr>
        <w:t xml:space="preserve"> q-o-q. The development of the general government sector balance adjusted by seasonal and calendar effects is shown in the chart below.</w:t>
      </w:r>
    </w:p>
    <w:p w:rsidR="00375706" w:rsidRPr="00172F4E" w:rsidRDefault="00375706" w:rsidP="00375706">
      <w:pPr>
        <w:rPr>
          <w:lang w:val="en-GB"/>
        </w:rPr>
      </w:pPr>
    </w:p>
    <w:p w:rsidR="00375706" w:rsidRPr="00172F4E" w:rsidRDefault="0099333B" w:rsidP="00375706">
      <w:pPr>
        <w:jc w:val="left"/>
        <w:rPr>
          <w:lang w:val="en-GB"/>
        </w:rPr>
      </w:pPr>
      <w:r>
        <w:rPr>
          <w:rFonts w:eastAsia="Times New Roman"/>
          <w:b/>
          <w:bCs/>
          <w:szCs w:val="28"/>
          <w:lang w:val="en-GB"/>
        </w:rPr>
        <w:t xml:space="preserve">Seasonally adjusted </w:t>
      </w:r>
      <w:r w:rsidR="00375706" w:rsidRPr="00172F4E">
        <w:rPr>
          <w:rFonts w:eastAsia="Times New Roman"/>
          <w:b/>
          <w:bCs/>
          <w:szCs w:val="28"/>
          <w:lang w:val="en-GB"/>
        </w:rPr>
        <w:t>general government sector</w:t>
      </w:r>
      <w:r>
        <w:rPr>
          <w:rFonts w:eastAsia="Times New Roman"/>
          <w:b/>
          <w:bCs/>
          <w:szCs w:val="28"/>
          <w:lang w:val="en-GB"/>
        </w:rPr>
        <w:t xml:space="preserve"> balance</w:t>
      </w:r>
      <w:r w:rsidR="00ED5799">
        <w:rPr>
          <w:rFonts w:eastAsia="Times New Roman"/>
          <w:b/>
          <w:bCs/>
          <w:szCs w:val="28"/>
          <w:lang w:val="en-GB"/>
        </w:rPr>
        <w:t>.</w:t>
      </w:r>
      <w:r w:rsidR="00375706" w:rsidRPr="00172F4E">
        <w:rPr>
          <w:rFonts w:eastAsia="Times New Roman"/>
          <w:b/>
          <w:bCs/>
          <w:szCs w:val="28"/>
          <w:lang w:val="en-GB"/>
        </w:rPr>
        <w:t xml:space="preserve"> Q</w:t>
      </w:r>
      <w:r w:rsidR="00F719DD">
        <w:rPr>
          <w:rFonts w:eastAsia="Times New Roman"/>
          <w:b/>
          <w:bCs/>
          <w:szCs w:val="28"/>
          <w:lang w:val="en-GB"/>
        </w:rPr>
        <w:t>2</w:t>
      </w:r>
      <w:r w:rsidR="00375706" w:rsidRPr="00172F4E">
        <w:rPr>
          <w:rFonts w:eastAsia="Times New Roman"/>
          <w:b/>
          <w:bCs/>
          <w:szCs w:val="28"/>
          <w:lang w:val="en-GB"/>
        </w:rPr>
        <w:t xml:space="preserve"> 20</w:t>
      </w:r>
      <w:r w:rsidR="00012809">
        <w:rPr>
          <w:rFonts w:eastAsia="Times New Roman"/>
          <w:b/>
          <w:bCs/>
          <w:szCs w:val="28"/>
          <w:lang w:val="en-GB"/>
        </w:rPr>
        <w:t>20</w:t>
      </w:r>
      <w:r w:rsidR="00375706" w:rsidRPr="00172F4E">
        <w:rPr>
          <w:rFonts w:eastAsia="Times New Roman"/>
          <w:b/>
          <w:bCs/>
          <w:szCs w:val="28"/>
          <w:lang w:val="en-GB"/>
        </w:rPr>
        <w:t xml:space="preserve"> – Q</w:t>
      </w:r>
      <w:r w:rsidR="00F719DD">
        <w:rPr>
          <w:rFonts w:eastAsia="Times New Roman"/>
          <w:b/>
          <w:bCs/>
          <w:szCs w:val="28"/>
          <w:lang w:val="en-GB"/>
        </w:rPr>
        <w:t>2</w:t>
      </w:r>
      <w:r w:rsidR="00375706" w:rsidRPr="00172F4E">
        <w:rPr>
          <w:rFonts w:eastAsia="Times New Roman"/>
          <w:b/>
          <w:bCs/>
          <w:szCs w:val="28"/>
          <w:lang w:val="en-GB"/>
        </w:rPr>
        <w:t xml:space="preserve"> 202</w:t>
      </w:r>
      <w:r w:rsidR="00012809">
        <w:rPr>
          <w:rFonts w:eastAsia="Times New Roman"/>
          <w:b/>
          <w:bCs/>
          <w:szCs w:val="28"/>
          <w:lang w:val="en-GB"/>
        </w:rPr>
        <w:t>2</w:t>
      </w:r>
    </w:p>
    <w:p w:rsidR="00375706" w:rsidRPr="00172F4E" w:rsidRDefault="00F719DD" w:rsidP="00375706">
      <w:pPr>
        <w:rPr>
          <w:lang w:val="en-GB"/>
        </w:rPr>
      </w:pPr>
      <w:r>
        <w:rPr>
          <w:noProof/>
          <w:lang w:eastAsia="cs-CZ"/>
        </w:rPr>
        <w:drawing>
          <wp:inline distT="0" distB="0" distL="0" distR="0" wp14:anchorId="4BD8E5D0" wp14:editId="64B6B376">
            <wp:extent cx="5400040" cy="2117090"/>
            <wp:effectExtent l="0" t="0" r="10160" b="1651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5706" w:rsidRPr="00172F4E" w:rsidRDefault="001B3556" w:rsidP="00375706">
      <w:pPr>
        <w:pStyle w:val="Poznmky0"/>
      </w:pPr>
      <w:r w:rsidRPr="00172F4E">
        <w:t>Notes</w:t>
      </w:r>
      <w:r w:rsidR="00375706" w:rsidRPr="00172F4E">
        <w:t>:</w:t>
      </w:r>
    </w:p>
    <w:p w:rsidR="00027299" w:rsidRPr="00172F4E" w:rsidRDefault="00027299" w:rsidP="00375706">
      <w:pPr>
        <w:rPr>
          <w:rFonts w:cs="Arial"/>
          <w:i/>
          <w:sz w:val="18"/>
          <w:szCs w:val="20"/>
          <w:lang w:val="en-GB"/>
        </w:rPr>
      </w:pPr>
      <w:r w:rsidRPr="00172F4E">
        <w:rPr>
          <w:rFonts w:cs="Arial"/>
          <w:i/>
          <w:sz w:val="18"/>
          <w:szCs w:val="20"/>
          <w:lang w:val="en-GB"/>
        </w:rPr>
        <w:t xml:space="preserve">Quantification of fiscal indicators of government deficit and debt mentioned above </w:t>
      </w:r>
      <w:proofErr w:type="gramStart"/>
      <w:r w:rsidRPr="00172F4E">
        <w:rPr>
          <w:rFonts w:cs="Arial"/>
          <w:i/>
          <w:sz w:val="18"/>
          <w:szCs w:val="20"/>
          <w:lang w:val="en-GB"/>
        </w:rPr>
        <w:t>is based</w:t>
      </w:r>
      <w:proofErr w:type="gramEnd"/>
      <w:r w:rsidRPr="00172F4E">
        <w:rPr>
          <w:rFonts w:cs="Arial"/>
          <w:i/>
          <w:sz w:val="18"/>
          <w:szCs w:val="20"/>
          <w:lang w:val="en-GB"/>
        </w:rPr>
        <w:t xml:space="preserve"> on the ESA2010 methodology. Data published in this news release are methodologically consistent with the data used for the statistics of the excessive deficit procedure (EDP) purposes and for the assessment of how Maastricht convergence criteria </w:t>
      </w:r>
      <w:proofErr w:type="gramStart"/>
      <w:r w:rsidRPr="00172F4E">
        <w:rPr>
          <w:rFonts w:cs="Arial"/>
          <w:i/>
          <w:sz w:val="18"/>
          <w:szCs w:val="20"/>
          <w:lang w:val="en-GB"/>
        </w:rPr>
        <w:t>are met</w:t>
      </w:r>
      <w:proofErr w:type="gramEnd"/>
      <w:r w:rsidRPr="00172F4E">
        <w:rPr>
          <w:rFonts w:cs="Arial"/>
          <w:i/>
          <w:sz w:val="18"/>
          <w:szCs w:val="20"/>
          <w:lang w:val="en-GB"/>
        </w:rPr>
        <w:t xml:space="preserve">. </w:t>
      </w:r>
    </w:p>
    <w:p w:rsidR="00027299" w:rsidRPr="00172F4E" w:rsidRDefault="00027299" w:rsidP="00375706">
      <w:pPr>
        <w:rPr>
          <w:rFonts w:cs="Arial"/>
          <w:i/>
          <w:sz w:val="18"/>
          <w:szCs w:val="18"/>
          <w:lang w:val="en-GB"/>
        </w:rPr>
      </w:pPr>
    </w:p>
    <w:p w:rsidR="00881D66" w:rsidRPr="00172F4E" w:rsidRDefault="00881D66" w:rsidP="00375706">
      <w:pPr>
        <w:rPr>
          <w:rFonts w:cs="Arial"/>
          <w:i/>
          <w:sz w:val="18"/>
          <w:szCs w:val="18"/>
          <w:lang w:val="en-GB"/>
        </w:rPr>
      </w:pPr>
      <w:r w:rsidRPr="00172F4E">
        <w:rPr>
          <w:rFonts w:cs="Arial"/>
          <w:i/>
          <w:sz w:val="18"/>
          <w:szCs w:val="20"/>
          <w:lang w:val="en-GB"/>
        </w:rPr>
        <w:t>The government surplus/deficit is represented by the item B.9 “net borrowing (−) or net lending (+)” in the system of national accounts. It refers to the ability of the general government sector to finance other sectors of the economy (+) or the need of the general government sector to be financed (−) by other sectors of the economy in the given period.</w:t>
      </w:r>
    </w:p>
    <w:p w:rsidR="00203A38" w:rsidRPr="00172F4E" w:rsidRDefault="00203A38" w:rsidP="00375706">
      <w:pPr>
        <w:rPr>
          <w:rFonts w:cs="Arial"/>
          <w:i/>
          <w:sz w:val="18"/>
          <w:szCs w:val="18"/>
          <w:lang w:val="en-GB"/>
        </w:rPr>
      </w:pPr>
    </w:p>
    <w:p w:rsidR="00203A38" w:rsidRPr="00172F4E" w:rsidRDefault="00203A38" w:rsidP="00375706">
      <w:pPr>
        <w:rPr>
          <w:rFonts w:cs="Arial"/>
          <w:i/>
          <w:sz w:val="18"/>
          <w:szCs w:val="18"/>
          <w:lang w:val="en-GB"/>
        </w:rPr>
      </w:pPr>
      <w:r w:rsidRPr="00172F4E">
        <w:rPr>
          <w:rFonts w:cs="Arial"/>
          <w:i/>
          <w:sz w:val="18"/>
          <w:szCs w:val="20"/>
          <w:lang w:val="en-GB"/>
        </w:rPr>
        <w:t>The general government debt is the amount of consolidated liabilities of the general government sector comprising the following items: received deposits</w:t>
      </w:r>
      <w:r w:rsidR="00ED5799">
        <w:rPr>
          <w:rFonts w:cs="Arial"/>
          <w:i/>
          <w:sz w:val="18"/>
          <w:szCs w:val="20"/>
          <w:lang w:val="en-GB"/>
        </w:rPr>
        <w:t>.</w:t>
      </w:r>
      <w:r w:rsidRPr="00172F4E">
        <w:rPr>
          <w:rFonts w:cs="Arial"/>
          <w:i/>
          <w:sz w:val="18"/>
          <w:szCs w:val="20"/>
          <w:lang w:val="en-GB"/>
        </w:rPr>
        <w:t xml:space="preserve"> </w:t>
      </w:r>
      <w:proofErr w:type="gramStart"/>
      <w:r w:rsidRPr="00172F4E">
        <w:rPr>
          <w:rFonts w:cs="Arial"/>
          <w:i/>
          <w:sz w:val="18"/>
          <w:szCs w:val="20"/>
          <w:lang w:val="en-GB"/>
        </w:rPr>
        <w:t>issued</w:t>
      </w:r>
      <w:proofErr w:type="gramEnd"/>
      <w:r w:rsidRPr="00172F4E">
        <w:rPr>
          <w:rFonts w:cs="Arial"/>
          <w:i/>
          <w:sz w:val="18"/>
          <w:szCs w:val="20"/>
          <w:lang w:val="en-GB"/>
        </w:rPr>
        <w:t xml:space="preserve"> debt securities</w:t>
      </w:r>
      <w:r w:rsidR="00ED5799">
        <w:rPr>
          <w:rFonts w:cs="Arial"/>
          <w:i/>
          <w:sz w:val="18"/>
          <w:szCs w:val="20"/>
          <w:lang w:val="en-GB"/>
        </w:rPr>
        <w:t>.</w:t>
      </w:r>
      <w:r w:rsidRPr="00172F4E">
        <w:rPr>
          <w:rFonts w:cs="Arial"/>
          <w:i/>
          <w:sz w:val="18"/>
          <w:szCs w:val="20"/>
          <w:lang w:val="en-GB"/>
        </w:rPr>
        <w:t xml:space="preserve"> and received loans. In case of foreign exchange debt instruments hedged against the currency risk</w:t>
      </w:r>
      <w:r w:rsidR="00ED5799">
        <w:rPr>
          <w:rFonts w:cs="Arial"/>
          <w:i/>
          <w:sz w:val="18"/>
          <w:szCs w:val="20"/>
          <w:lang w:val="en-GB"/>
        </w:rPr>
        <w:t>.</w:t>
      </w:r>
      <w:r w:rsidRPr="00172F4E">
        <w:rPr>
          <w:rFonts w:cs="Arial"/>
          <w:i/>
          <w:sz w:val="18"/>
          <w:szCs w:val="20"/>
          <w:lang w:val="en-GB"/>
        </w:rPr>
        <w:t xml:space="preserve"> </w:t>
      </w:r>
      <w:proofErr w:type="gramStart"/>
      <w:r w:rsidRPr="00172F4E">
        <w:rPr>
          <w:rFonts w:cs="Arial"/>
          <w:i/>
          <w:sz w:val="18"/>
          <w:szCs w:val="20"/>
          <w:lang w:val="en-GB"/>
        </w:rPr>
        <w:t>the</w:t>
      </w:r>
      <w:proofErr w:type="gramEnd"/>
      <w:r w:rsidRPr="00172F4E">
        <w:rPr>
          <w:rFonts w:cs="Arial"/>
          <w:i/>
          <w:sz w:val="18"/>
          <w:szCs w:val="20"/>
          <w:lang w:val="en-GB"/>
        </w:rPr>
        <w:t xml:space="preserve"> value in CZK is obtained by means of the contractual exchange rate.</w:t>
      </w:r>
    </w:p>
    <w:p w:rsidR="008A5B46" w:rsidRPr="00172F4E" w:rsidRDefault="008A5B46" w:rsidP="00375706">
      <w:pPr>
        <w:rPr>
          <w:i/>
          <w:sz w:val="18"/>
          <w:szCs w:val="18"/>
          <w:lang w:val="en-GB"/>
        </w:rPr>
      </w:pPr>
    </w:p>
    <w:p w:rsidR="008A5B46" w:rsidRPr="0067015C" w:rsidRDefault="008A5B46" w:rsidP="006F5D2F">
      <w:pPr>
        <w:rPr>
          <w:rFonts w:cs="Arial"/>
          <w:i/>
          <w:sz w:val="18"/>
          <w:szCs w:val="20"/>
          <w:lang w:val="en-GB"/>
        </w:rPr>
      </w:pPr>
      <w:r w:rsidRPr="0067015C">
        <w:rPr>
          <w:rFonts w:cs="Arial"/>
          <w:i/>
          <w:sz w:val="18"/>
          <w:szCs w:val="20"/>
          <w:lang w:val="en-GB"/>
        </w:rPr>
        <w:t xml:space="preserve">The general government sector balance </w:t>
      </w:r>
      <w:proofErr w:type="gramStart"/>
      <w:r w:rsidRPr="0067015C">
        <w:rPr>
          <w:rFonts w:cs="Arial"/>
          <w:i/>
          <w:sz w:val="18"/>
          <w:szCs w:val="20"/>
          <w:lang w:val="en-GB"/>
        </w:rPr>
        <w:t>is compared</w:t>
      </w:r>
      <w:proofErr w:type="gramEnd"/>
      <w:r w:rsidRPr="0067015C">
        <w:rPr>
          <w:rFonts w:cs="Arial"/>
          <w:i/>
          <w:sz w:val="18"/>
          <w:szCs w:val="20"/>
          <w:lang w:val="en-GB"/>
        </w:rPr>
        <w:t xml:space="preserve"> with the amount of the GDP in the given quarter at current prices. The amount of </w:t>
      </w:r>
      <w:r w:rsidR="00F7063E" w:rsidRPr="0067015C">
        <w:rPr>
          <w:rFonts w:cs="Arial"/>
          <w:i/>
          <w:sz w:val="18"/>
          <w:szCs w:val="20"/>
          <w:lang w:val="en-GB"/>
        </w:rPr>
        <w:t xml:space="preserve">the </w:t>
      </w:r>
      <w:r w:rsidRPr="0067015C">
        <w:rPr>
          <w:rFonts w:cs="Arial"/>
          <w:i/>
          <w:sz w:val="18"/>
          <w:szCs w:val="20"/>
          <w:lang w:val="en-GB"/>
        </w:rPr>
        <w:t xml:space="preserve">consolidated general government debt </w:t>
      </w:r>
      <w:proofErr w:type="gramStart"/>
      <w:r w:rsidRPr="0067015C">
        <w:rPr>
          <w:rFonts w:cs="Arial"/>
          <w:i/>
          <w:sz w:val="18"/>
          <w:szCs w:val="20"/>
          <w:lang w:val="en-GB"/>
        </w:rPr>
        <w:t>is compared</w:t>
      </w:r>
      <w:proofErr w:type="gramEnd"/>
      <w:r w:rsidRPr="0067015C">
        <w:rPr>
          <w:rFonts w:cs="Arial"/>
          <w:i/>
          <w:sz w:val="18"/>
          <w:szCs w:val="20"/>
          <w:lang w:val="en-GB"/>
        </w:rPr>
        <w:t xml:space="preserve"> with the sum of quarterly GDP for the last four quarters at current prices. Fiscal indicators of quarterly government deficit and debt </w:t>
      </w:r>
      <w:proofErr w:type="gramStart"/>
      <w:r w:rsidRPr="0067015C">
        <w:rPr>
          <w:rFonts w:cs="Arial"/>
          <w:i/>
          <w:sz w:val="18"/>
          <w:szCs w:val="20"/>
          <w:lang w:val="en-GB"/>
        </w:rPr>
        <w:t>are published</w:t>
      </w:r>
      <w:proofErr w:type="gramEnd"/>
      <w:r w:rsidRPr="0067015C">
        <w:rPr>
          <w:rFonts w:cs="Arial"/>
          <w:i/>
          <w:sz w:val="18"/>
          <w:szCs w:val="20"/>
          <w:lang w:val="en-GB"/>
        </w:rPr>
        <w:t xml:space="preserve"> within the Transmission programme (Table 25 and Table 28) on the website </w:t>
      </w:r>
      <w:hyperlink r:id="rId10" w:history="1">
        <w:r w:rsidR="00012809" w:rsidRPr="0067015C">
          <w:rPr>
            <w:rStyle w:val="Hypertextovodkaz"/>
            <w:rFonts w:cs="Arial"/>
            <w:i/>
            <w:sz w:val="18"/>
            <w:szCs w:val="20"/>
            <w:lang w:val="en-GB"/>
          </w:rPr>
          <w:t>General government sector</w:t>
        </w:r>
      </w:hyperlink>
      <w:r w:rsidRPr="0067015C">
        <w:rPr>
          <w:rFonts w:cs="Arial"/>
          <w:i/>
          <w:sz w:val="18"/>
          <w:szCs w:val="20"/>
          <w:lang w:val="en-GB"/>
        </w:rPr>
        <w:t xml:space="preserve"> in the “GDP</w:t>
      </w:r>
      <w:r w:rsidR="00ED5799">
        <w:rPr>
          <w:rFonts w:cs="Arial"/>
          <w:i/>
          <w:sz w:val="18"/>
          <w:szCs w:val="20"/>
          <w:lang w:val="en-GB"/>
        </w:rPr>
        <w:t>.</w:t>
      </w:r>
      <w:r w:rsidRPr="0067015C">
        <w:rPr>
          <w:rFonts w:cs="Arial"/>
          <w:i/>
          <w:sz w:val="18"/>
          <w:szCs w:val="20"/>
          <w:lang w:val="en-GB"/>
        </w:rPr>
        <w:t xml:space="preserve"> National Accounts” section</w:t>
      </w:r>
      <w:r w:rsidR="00012809" w:rsidRPr="0067015C">
        <w:rPr>
          <w:rFonts w:cs="Arial"/>
          <w:i/>
          <w:sz w:val="18"/>
          <w:szCs w:val="20"/>
          <w:lang w:val="en-GB"/>
        </w:rPr>
        <w:t xml:space="preserve">). </w:t>
      </w:r>
      <w:r w:rsidR="006F5D2F" w:rsidRPr="0067015C">
        <w:rPr>
          <w:rFonts w:cs="Arial"/>
          <w:i/>
          <w:sz w:val="18"/>
          <w:szCs w:val="20"/>
          <w:lang w:val="en-GB"/>
        </w:rPr>
        <w:t>Unless otherwise stated</w:t>
      </w:r>
      <w:r w:rsidR="00ED5799">
        <w:rPr>
          <w:rFonts w:cs="Arial"/>
          <w:i/>
          <w:sz w:val="18"/>
          <w:szCs w:val="20"/>
          <w:lang w:val="en-GB"/>
        </w:rPr>
        <w:t>.</w:t>
      </w:r>
      <w:r w:rsidR="006F5D2F" w:rsidRPr="0067015C">
        <w:rPr>
          <w:rFonts w:cs="Arial"/>
          <w:i/>
          <w:sz w:val="18"/>
          <w:szCs w:val="20"/>
          <w:lang w:val="en-GB"/>
        </w:rPr>
        <w:t xml:space="preserve"> </w:t>
      </w:r>
      <w:proofErr w:type="gramStart"/>
      <w:r w:rsidR="006F5D2F" w:rsidRPr="0067015C">
        <w:rPr>
          <w:rFonts w:cs="Arial"/>
          <w:i/>
          <w:sz w:val="18"/>
          <w:szCs w:val="20"/>
          <w:lang w:val="en-GB"/>
        </w:rPr>
        <w:t>data</w:t>
      </w:r>
      <w:proofErr w:type="gramEnd"/>
      <w:r w:rsidR="006F5D2F" w:rsidRPr="0067015C">
        <w:rPr>
          <w:rFonts w:cs="Arial"/>
          <w:i/>
          <w:sz w:val="18"/>
          <w:szCs w:val="20"/>
          <w:lang w:val="en-GB"/>
        </w:rPr>
        <w:t xml:space="preserve"> are not seasonally adjusted as well as they are not adjusted for calendar effects.</w:t>
      </w:r>
      <w:r w:rsidR="006F5D2F" w:rsidRPr="0067015C">
        <w:rPr>
          <w:lang w:val="en-GB"/>
        </w:rPr>
        <w:t xml:space="preserve"> </w:t>
      </w:r>
      <w:r w:rsidR="006F5D2F" w:rsidRPr="0067015C">
        <w:rPr>
          <w:rFonts w:cs="Arial"/>
          <w:i/>
          <w:sz w:val="18"/>
          <w:szCs w:val="20"/>
          <w:lang w:val="en-GB"/>
        </w:rPr>
        <w:t>Time series of seasonally adjusted sector accounts for government sector</w:t>
      </w:r>
      <w:r w:rsidR="00012809" w:rsidRPr="0067015C">
        <w:rPr>
          <w:rFonts w:cs="Arial"/>
          <w:i/>
          <w:sz w:val="18"/>
          <w:szCs w:val="20"/>
          <w:lang w:val="en-GB"/>
        </w:rPr>
        <w:t xml:space="preserve"> (</w:t>
      </w:r>
      <w:r w:rsidR="006F5D2F" w:rsidRPr="0067015C">
        <w:rPr>
          <w:rFonts w:cs="Arial"/>
          <w:i/>
          <w:sz w:val="18"/>
          <w:szCs w:val="20"/>
          <w:lang w:val="en-GB"/>
        </w:rPr>
        <w:t>item Net Lending / Net Borrowing</w:t>
      </w:r>
      <w:r w:rsidR="00012809" w:rsidRPr="0067015C">
        <w:rPr>
          <w:rFonts w:cs="Arial"/>
          <w:i/>
          <w:sz w:val="18"/>
          <w:szCs w:val="20"/>
          <w:lang w:val="en-GB"/>
        </w:rPr>
        <w:t>)</w:t>
      </w:r>
      <w:r w:rsidR="006579DE" w:rsidRPr="0067015C">
        <w:rPr>
          <w:rFonts w:cs="Arial"/>
          <w:i/>
          <w:sz w:val="18"/>
          <w:szCs w:val="20"/>
          <w:lang w:val="en-GB"/>
        </w:rPr>
        <w:t xml:space="preserve"> </w:t>
      </w:r>
      <w:hyperlink r:id="rId11" w:history="1">
        <w:r w:rsidR="00012809" w:rsidRPr="0067015C">
          <w:rPr>
            <w:rStyle w:val="Hypertextovodkaz"/>
            <w:rFonts w:cs="Arial"/>
            <w:i/>
            <w:sz w:val="18"/>
            <w:szCs w:val="20"/>
            <w:lang w:val="en-GB"/>
          </w:rPr>
          <w:t xml:space="preserve">Time series of </w:t>
        </w:r>
        <w:r w:rsidR="008C1DAC" w:rsidRPr="0067015C">
          <w:rPr>
            <w:rStyle w:val="Hypertextovodkaz"/>
            <w:rFonts w:cs="Arial"/>
            <w:i/>
            <w:sz w:val="18"/>
            <w:szCs w:val="20"/>
            <w:lang w:val="en-GB"/>
          </w:rPr>
          <w:t>seasonally</w:t>
        </w:r>
        <w:r w:rsidR="00012809" w:rsidRPr="0067015C">
          <w:rPr>
            <w:rStyle w:val="Hypertextovodkaz"/>
            <w:rFonts w:cs="Arial"/>
            <w:i/>
            <w:sz w:val="18"/>
            <w:szCs w:val="20"/>
            <w:lang w:val="en-GB"/>
          </w:rPr>
          <w:t xml:space="preserve"> adjusted sector accounts for S.13</w:t>
        </w:r>
      </w:hyperlink>
    </w:p>
    <w:p w:rsidR="008A5B46" w:rsidRPr="00172F4E" w:rsidRDefault="008A5B46" w:rsidP="008A5B46">
      <w:pPr>
        <w:pStyle w:val="Zkladntext"/>
        <w:spacing w:line="276" w:lineRule="auto"/>
        <w:rPr>
          <w:rFonts w:ascii="Arial" w:hAnsi="Arial" w:cs="Arial"/>
          <w:i/>
          <w:sz w:val="18"/>
          <w:szCs w:val="20"/>
        </w:rPr>
      </w:pPr>
    </w:p>
    <w:p w:rsidR="00375706" w:rsidRPr="00172F4E" w:rsidRDefault="00375706" w:rsidP="00375706">
      <w:pPr>
        <w:rPr>
          <w:i/>
          <w:sz w:val="18"/>
          <w:szCs w:val="18"/>
          <w:lang w:val="en-GB"/>
        </w:rPr>
      </w:pPr>
    </w:p>
    <w:p w:rsidR="00375706" w:rsidRPr="00172F4E" w:rsidRDefault="00375706" w:rsidP="00375706">
      <w:pPr>
        <w:pStyle w:val="Poznmky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5197"/>
      </w:tblGrid>
      <w:tr w:rsidR="00375706" w:rsidRPr="00172F4E" w:rsidTr="008650C1">
        <w:tc>
          <w:tcPr>
            <w:tcW w:w="3369" w:type="dxa"/>
          </w:tcPr>
          <w:p w:rsidR="00375706" w:rsidRPr="00172F4E" w:rsidRDefault="000E63AD" w:rsidP="008650C1">
            <w:pPr>
              <w:rPr>
                <w:i/>
                <w:iCs/>
                <w:sz w:val="18"/>
                <w:szCs w:val="18"/>
                <w:lang w:val="en-GB"/>
              </w:rPr>
            </w:pPr>
            <w:r w:rsidRPr="00172F4E">
              <w:rPr>
                <w:i/>
                <w:iCs/>
                <w:sz w:val="18"/>
                <w:szCs w:val="18"/>
                <w:lang w:val="en-GB"/>
              </w:rPr>
              <w:t>Responsible head at the CZSO</w:t>
            </w:r>
            <w:r w:rsidR="00375706" w:rsidRPr="00172F4E">
              <w:rPr>
                <w:i/>
                <w:iCs/>
                <w:sz w:val="18"/>
                <w:szCs w:val="18"/>
                <w:lang w:val="en-GB"/>
              </w:rPr>
              <w:t>:</w:t>
            </w:r>
          </w:p>
        </w:tc>
        <w:tc>
          <w:tcPr>
            <w:tcW w:w="5275" w:type="dxa"/>
          </w:tcPr>
          <w:p w:rsidR="00375706" w:rsidRPr="00172F4E" w:rsidRDefault="000E63AD" w:rsidP="008650C1">
            <w:pPr>
              <w:jc w:val="left"/>
              <w:rPr>
                <w:i/>
                <w:iCs/>
                <w:sz w:val="18"/>
                <w:szCs w:val="18"/>
                <w:lang w:val="en-GB"/>
              </w:rPr>
            </w:pPr>
            <w:r w:rsidRPr="00172F4E">
              <w:rPr>
                <w:i/>
                <w:iCs/>
                <w:sz w:val="18"/>
                <w:szCs w:val="18"/>
                <w:lang w:val="en-GB"/>
              </w:rPr>
              <w:t>Helena Houžvičková</w:t>
            </w:r>
            <w:r w:rsidR="00ED5799">
              <w:rPr>
                <w:i/>
                <w:iCs/>
                <w:sz w:val="18"/>
                <w:szCs w:val="18"/>
                <w:lang w:val="en-GB"/>
              </w:rPr>
              <w:t>.</w:t>
            </w:r>
            <w:r w:rsidRPr="00172F4E">
              <w:rPr>
                <w:i/>
                <w:iCs/>
                <w:sz w:val="18"/>
                <w:szCs w:val="18"/>
                <w:lang w:val="en-GB"/>
              </w:rPr>
              <w:t xml:space="preserve"> Director of the Government and Financial Accounts Department</w:t>
            </w:r>
            <w:r w:rsidR="00ED5799">
              <w:rPr>
                <w:i/>
                <w:iCs/>
                <w:sz w:val="18"/>
                <w:szCs w:val="18"/>
                <w:lang w:val="en-GB"/>
              </w:rPr>
              <w:t>.</w:t>
            </w:r>
            <w:r w:rsidR="00375706" w:rsidRPr="00172F4E">
              <w:rPr>
                <w:i/>
                <w:iCs/>
                <w:sz w:val="18"/>
                <w:szCs w:val="18"/>
                <w:lang w:val="en-GB"/>
              </w:rPr>
              <w:t xml:space="preserve"> </w:t>
            </w:r>
          </w:p>
          <w:p w:rsidR="002B61F7" w:rsidRPr="00172F4E" w:rsidRDefault="002B61F7" w:rsidP="002B61F7">
            <w:pPr>
              <w:rPr>
                <w:i/>
                <w:iCs/>
                <w:sz w:val="18"/>
                <w:szCs w:val="18"/>
                <w:lang w:val="en-GB"/>
              </w:rPr>
            </w:pPr>
            <w:proofErr w:type="gramStart"/>
            <w:r w:rsidRPr="00172F4E">
              <w:rPr>
                <w:i/>
                <w:iCs/>
                <w:sz w:val="18"/>
                <w:szCs w:val="18"/>
                <w:lang w:val="en-GB"/>
              </w:rPr>
              <w:lastRenderedPageBreak/>
              <w:t>phone</w:t>
            </w:r>
            <w:proofErr w:type="gramEnd"/>
            <w:r w:rsidRPr="00172F4E">
              <w:rPr>
                <w:i/>
                <w:iCs/>
                <w:sz w:val="18"/>
                <w:szCs w:val="18"/>
                <w:lang w:val="en-GB"/>
              </w:rPr>
              <w:t xml:space="preserve"> number: (+420) 704 688 734</w:t>
            </w:r>
            <w:r w:rsidR="00ED5799">
              <w:rPr>
                <w:i/>
                <w:iCs/>
                <w:sz w:val="18"/>
                <w:szCs w:val="18"/>
                <w:lang w:val="en-GB"/>
              </w:rPr>
              <w:t>.</w:t>
            </w:r>
            <w:r w:rsidRPr="00172F4E">
              <w:rPr>
                <w:i/>
                <w:iCs/>
                <w:sz w:val="18"/>
                <w:szCs w:val="18"/>
                <w:lang w:val="en-GB"/>
              </w:rPr>
              <w:t xml:space="preserve"> </w:t>
            </w:r>
          </w:p>
          <w:p w:rsidR="00375706" w:rsidRPr="00172F4E" w:rsidRDefault="002B61F7" w:rsidP="002B61F7">
            <w:pPr>
              <w:jc w:val="left"/>
              <w:rPr>
                <w:i/>
                <w:iCs/>
                <w:sz w:val="18"/>
                <w:szCs w:val="18"/>
                <w:lang w:val="en-GB"/>
              </w:rPr>
            </w:pPr>
            <w:r w:rsidRPr="00172F4E">
              <w:rPr>
                <w:i/>
                <w:iCs/>
                <w:sz w:val="18"/>
                <w:szCs w:val="18"/>
                <w:lang w:val="en-GB"/>
              </w:rPr>
              <w:t xml:space="preserve">e-mail: </w:t>
            </w:r>
            <w:hyperlink r:id="rId12" w:history="1">
              <w:r w:rsidRPr="00172F4E">
                <w:rPr>
                  <w:rStyle w:val="Hypertextovodkaz"/>
                  <w:sz w:val="18"/>
                  <w:lang w:val="en-GB"/>
                </w:rPr>
                <w:t>helena.houzvickova@czso.cz</w:t>
              </w:r>
            </w:hyperlink>
            <w:r w:rsidR="00375706" w:rsidRPr="00172F4E">
              <w:rPr>
                <w:sz w:val="18"/>
                <w:lang w:val="en-GB"/>
              </w:rPr>
              <w:t xml:space="preserve"> </w:t>
            </w:r>
          </w:p>
        </w:tc>
      </w:tr>
      <w:tr w:rsidR="00375706" w:rsidRPr="00172F4E" w:rsidTr="008650C1">
        <w:tc>
          <w:tcPr>
            <w:tcW w:w="3369" w:type="dxa"/>
          </w:tcPr>
          <w:p w:rsidR="00375706" w:rsidRPr="00172F4E" w:rsidRDefault="00A555BD" w:rsidP="008650C1">
            <w:pPr>
              <w:rPr>
                <w:i/>
                <w:iCs/>
                <w:sz w:val="18"/>
                <w:szCs w:val="18"/>
                <w:lang w:val="en-GB"/>
              </w:rPr>
            </w:pPr>
            <w:r w:rsidRPr="00172F4E">
              <w:rPr>
                <w:i/>
                <w:iCs/>
                <w:sz w:val="18"/>
                <w:szCs w:val="18"/>
                <w:lang w:val="en-GB"/>
              </w:rPr>
              <w:lastRenderedPageBreak/>
              <w:t>Contact person</w:t>
            </w:r>
            <w:r w:rsidR="00375706" w:rsidRPr="00172F4E">
              <w:rPr>
                <w:i/>
                <w:iCs/>
                <w:sz w:val="18"/>
                <w:szCs w:val="18"/>
                <w:lang w:val="en-GB"/>
              </w:rPr>
              <w:t>:</w:t>
            </w:r>
          </w:p>
        </w:tc>
        <w:tc>
          <w:tcPr>
            <w:tcW w:w="5275" w:type="dxa"/>
          </w:tcPr>
          <w:p w:rsidR="00375706" w:rsidRPr="00172F4E" w:rsidRDefault="00A555BD" w:rsidP="008650C1">
            <w:pPr>
              <w:jc w:val="left"/>
              <w:rPr>
                <w:i/>
                <w:iCs/>
                <w:sz w:val="18"/>
                <w:szCs w:val="18"/>
                <w:lang w:val="en-GB"/>
              </w:rPr>
            </w:pPr>
            <w:r w:rsidRPr="00172F4E">
              <w:rPr>
                <w:i/>
                <w:iCs/>
                <w:sz w:val="18"/>
                <w:szCs w:val="18"/>
                <w:lang w:val="en-GB"/>
              </w:rPr>
              <w:t>Jaroslav Kahoun</w:t>
            </w:r>
            <w:r w:rsidR="00ED5799">
              <w:rPr>
                <w:i/>
                <w:iCs/>
                <w:sz w:val="18"/>
                <w:szCs w:val="18"/>
                <w:lang w:val="en-GB"/>
              </w:rPr>
              <w:t>.</w:t>
            </w:r>
            <w:r w:rsidRPr="00172F4E">
              <w:rPr>
                <w:i/>
                <w:iCs/>
                <w:sz w:val="18"/>
                <w:szCs w:val="18"/>
                <w:lang w:val="en-GB"/>
              </w:rPr>
              <w:t xml:space="preserve"> Head of the Government Accounts Unit</w:t>
            </w:r>
            <w:r w:rsidR="00ED5799">
              <w:rPr>
                <w:i/>
                <w:iCs/>
                <w:sz w:val="18"/>
                <w:szCs w:val="18"/>
                <w:lang w:val="en-GB"/>
              </w:rPr>
              <w:t>.</w:t>
            </w:r>
            <w:r w:rsidRPr="00172F4E">
              <w:rPr>
                <w:i/>
                <w:iCs/>
                <w:sz w:val="18"/>
                <w:szCs w:val="18"/>
                <w:lang w:val="en-GB"/>
              </w:rPr>
              <w:t xml:space="preserve"> </w:t>
            </w:r>
            <w:proofErr w:type="gramStart"/>
            <w:r w:rsidRPr="00172F4E">
              <w:rPr>
                <w:i/>
                <w:iCs/>
                <w:sz w:val="18"/>
                <w:szCs w:val="18"/>
                <w:lang w:val="en-GB"/>
              </w:rPr>
              <w:t>phone</w:t>
            </w:r>
            <w:proofErr w:type="gramEnd"/>
            <w:r w:rsidRPr="00172F4E">
              <w:rPr>
                <w:i/>
                <w:iCs/>
                <w:sz w:val="18"/>
                <w:szCs w:val="18"/>
                <w:lang w:val="en-GB"/>
              </w:rPr>
              <w:t xml:space="preserve"> number: (+420) 274 054 232</w:t>
            </w:r>
            <w:r w:rsidR="00ED5799">
              <w:rPr>
                <w:i/>
                <w:iCs/>
                <w:sz w:val="18"/>
                <w:szCs w:val="18"/>
                <w:lang w:val="en-GB"/>
              </w:rPr>
              <w:t>.</w:t>
            </w:r>
            <w:r w:rsidRPr="00172F4E">
              <w:rPr>
                <w:i/>
                <w:iCs/>
                <w:sz w:val="18"/>
                <w:szCs w:val="18"/>
                <w:lang w:val="en-GB"/>
              </w:rPr>
              <w:t xml:space="preserve"> e-mail: </w:t>
            </w:r>
            <w:hyperlink r:id="rId13" w:history="1">
              <w:r w:rsidRPr="00172F4E">
                <w:rPr>
                  <w:rStyle w:val="Hypertextovodkaz"/>
                  <w:sz w:val="18"/>
                  <w:lang w:val="en-GB"/>
                </w:rPr>
                <w:t>jaroslav.kahoun@czso.cz</w:t>
              </w:r>
            </w:hyperlink>
            <w:r w:rsidR="00375706" w:rsidRPr="00172F4E">
              <w:rPr>
                <w:sz w:val="18"/>
                <w:lang w:val="en-GB"/>
              </w:rPr>
              <w:t xml:space="preserve"> </w:t>
            </w:r>
          </w:p>
        </w:tc>
      </w:tr>
      <w:tr w:rsidR="00375706" w:rsidRPr="00A555BD" w:rsidTr="008650C1">
        <w:tc>
          <w:tcPr>
            <w:tcW w:w="3369" w:type="dxa"/>
          </w:tcPr>
          <w:p w:rsidR="00375706" w:rsidRPr="00172F4E" w:rsidRDefault="00A555BD" w:rsidP="008650C1">
            <w:pPr>
              <w:rPr>
                <w:i/>
                <w:iCs/>
                <w:sz w:val="18"/>
                <w:szCs w:val="18"/>
                <w:lang w:val="en-GB"/>
              </w:rPr>
            </w:pPr>
            <w:r w:rsidRPr="00172F4E">
              <w:rPr>
                <w:i/>
                <w:iCs/>
                <w:sz w:val="18"/>
                <w:szCs w:val="18"/>
                <w:lang w:val="en-GB"/>
              </w:rPr>
              <w:t>The Next News Release will be published on</w:t>
            </w:r>
            <w:r w:rsidR="00375706" w:rsidRPr="00172F4E">
              <w:rPr>
                <w:i/>
                <w:iCs/>
                <w:sz w:val="18"/>
                <w:szCs w:val="18"/>
                <w:lang w:val="en-GB"/>
              </w:rPr>
              <w:t>:</w:t>
            </w:r>
          </w:p>
        </w:tc>
        <w:tc>
          <w:tcPr>
            <w:tcW w:w="5275" w:type="dxa"/>
          </w:tcPr>
          <w:p w:rsidR="00375706" w:rsidRPr="00172F4E" w:rsidRDefault="00375706" w:rsidP="00A555BD">
            <w:pPr>
              <w:rPr>
                <w:i/>
                <w:iCs/>
                <w:sz w:val="18"/>
                <w:szCs w:val="18"/>
                <w:lang w:val="en-GB"/>
              </w:rPr>
            </w:pPr>
          </w:p>
          <w:p w:rsidR="00A555BD" w:rsidRPr="00A555BD" w:rsidRDefault="002F3FFA" w:rsidP="002F3FFA">
            <w:pPr>
              <w:rPr>
                <w:i/>
                <w:iCs/>
                <w:sz w:val="18"/>
                <w:szCs w:val="18"/>
                <w:lang w:val="en-GB"/>
              </w:rPr>
            </w:pPr>
            <w:r>
              <w:rPr>
                <w:i/>
                <w:iCs/>
                <w:sz w:val="18"/>
                <w:szCs w:val="18"/>
                <w:lang w:val="en-GB"/>
              </w:rPr>
              <w:t>10</w:t>
            </w:r>
            <w:r w:rsidR="00A555BD" w:rsidRPr="00172F4E">
              <w:rPr>
                <w:i/>
                <w:iCs/>
                <w:sz w:val="18"/>
                <w:szCs w:val="18"/>
                <w:lang w:val="en-GB"/>
              </w:rPr>
              <w:t> </w:t>
            </w:r>
            <w:r>
              <w:rPr>
                <w:i/>
                <w:iCs/>
                <w:sz w:val="18"/>
                <w:szCs w:val="18"/>
                <w:lang w:val="en-GB"/>
              </w:rPr>
              <w:t xml:space="preserve">January </w:t>
            </w:r>
            <w:r w:rsidR="00A555BD" w:rsidRPr="00172F4E">
              <w:rPr>
                <w:i/>
                <w:iCs/>
                <w:sz w:val="18"/>
                <w:szCs w:val="18"/>
                <w:lang w:val="en-GB"/>
              </w:rPr>
              <w:t>202</w:t>
            </w:r>
            <w:r>
              <w:rPr>
                <w:i/>
                <w:iCs/>
                <w:sz w:val="18"/>
                <w:szCs w:val="18"/>
                <w:lang w:val="en-GB"/>
              </w:rPr>
              <w:t>3</w:t>
            </w:r>
          </w:p>
        </w:tc>
      </w:tr>
    </w:tbl>
    <w:p w:rsidR="00375706" w:rsidRDefault="00375706" w:rsidP="00375706">
      <w:pPr>
        <w:rPr>
          <w:i/>
          <w:iCs/>
          <w:sz w:val="18"/>
          <w:szCs w:val="18"/>
          <w:lang w:val="en-GB"/>
        </w:rPr>
      </w:pPr>
    </w:p>
    <w:p w:rsidR="0085094B" w:rsidRPr="0007676C" w:rsidRDefault="0085094B" w:rsidP="0085094B">
      <w:pPr>
        <w:rPr>
          <w:lang w:val="en-GB"/>
        </w:rPr>
      </w:pPr>
      <w:r w:rsidRPr="0007676C">
        <w:rPr>
          <w:i/>
          <w:sz w:val="18"/>
          <w:lang w:val="en-GB"/>
        </w:rPr>
        <w:t xml:space="preserve">This press release </w:t>
      </w:r>
      <w:proofErr w:type="gramStart"/>
      <w:r w:rsidRPr="0007676C">
        <w:rPr>
          <w:i/>
          <w:sz w:val="18"/>
          <w:lang w:val="en-GB"/>
        </w:rPr>
        <w:t>was not edited</w:t>
      </w:r>
      <w:proofErr w:type="gramEnd"/>
      <w:r w:rsidRPr="0007676C">
        <w:rPr>
          <w:i/>
          <w:sz w:val="18"/>
          <w:lang w:val="en-GB"/>
        </w:rPr>
        <w:t xml:space="preserve"> for language.</w:t>
      </w:r>
    </w:p>
    <w:p w:rsidR="0085094B" w:rsidRPr="0007676C" w:rsidRDefault="0085094B" w:rsidP="00375706">
      <w:pPr>
        <w:rPr>
          <w:i/>
          <w:iCs/>
          <w:sz w:val="18"/>
          <w:szCs w:val="18"/>
          <w:lang w:val="en-GB"/>
        </w:rPr>
      </w:pPr>
    </w:p>
    <w:p w:rsidR="00375706" w:rsidRPr="00A555BD" w:rsidRDefault="00375706" w:rsidP="00A555BD">
      <w:pPr>
        <w:tabs>
          <w:tab w:val="left" w:pos="3402"/>
        </w:tabs>
        <w:rPr>
          <w:lang w:val="en-GB"/>
        </w:rPr>
      </w:pPr>
    </w:p>
    <w:p w:rsidR="00D209A7" w:rsidRPr="00A555BD" w:rsidRDefault="00D209A7" w:rsidP="00375706">
      <w:pPr>
        <w:rPr>
          <w:lang w:val="en-GB"/>
        </w:rPr>
      </w:pPr>
    </w:p>
    <w:sectPr w:rsidR="00D209A7" w:rsidRPr="00A555BD" w:rsidSect="00405244">
      <w:headerReference w:type="default" r:id="rId14"/>
      <w:footerReference w:type="default" r:id="rId15"/>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695" w:rsidRDefault="00A27695" w:rsidP="00BA6370">
      <w:r>
        <w:separator/>
      </w:r>
    </w:p>
  </w:endnote>
  <w:endnote w:type="continuationSeparator" w:id="0">
    <w:p w:rsidR="00A27695" w:rsidRDefault="00A27695"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0C1" w:rsidRDefault="008650C1">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8650C1" w:rsidRPr="00D52A09" w:rsidRDefault="008650C1"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8650C1" w:rsidRDefault="008650C1"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8650C1" w:rsidRPr="00D52A09" w:rsidRDefault="008650C1"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Pr="00953416">
                              <w:rPr>
                                <w:rStyle w:val="Hypertextovodkaz"/>
                                <w:rFonts w:cs="Arial"/>
                                <w:b/>
                                <w:color w:val="0071BC"/>
                                <w:sz w:val="15"/>
                                <w:szCs w:val="15"/>
                              </w:rPr>
                              <w:t>www.czso.cz</w:t>
                            </w:r>
                          </w:hyperlink>
                        </w:p>
                        <w:p w:rsidR="008650C1" w:rsidRPr="000172E7" w:rsidRDefault="008650C1"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ED1B33">
                            <w:rPr>
                              <w:rFonts w:cs="Arial"/>
                              <w:noProof/>
                              <w:szCs w:val="15"/>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8650C1" w:rsidRPr="00D52A09" w:rsidRDefault="008650C1"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8650C1" w:rsidRDefault="008650C1"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8650C1" w:rsidRPr="00D52A09" w:rsidRDefault="008650C1"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Pr="00953416">
                        <w:rPr>
                          <w:rStyle w:val="Hypertextovodkaz"/>
                          <w:rFonts w:cs="Arial"/>
                          <w:b/>
                          <w:color w:val="0071BC"/>
                          <w:sz w:val="15"/>
                          <w:szCs w:val="15"/>
                        </w:rPr>
                        <w:t>www.czso.cz</w:t>
                      </w:r>
                    </w:hyperlink>
                  </w:p>
                  <w:p w:rsidR="008650C1" w:rsidRPr="000172E7" w:rsidRDefault="008650C1"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ED1B33">
                      <w:rPr>
                        <w:rFonts w:cs="Arial"/>
                        <w:noProof/>
                        <w:szCs w:val="15"/>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5A2497"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695" w:rsidRDefault="00A27695" w:rsidP="00BA6370">
      <w:r>
        <w:separator/>
      </w:r>
    </w:p>
  </w:footnote>
  <w:footnote w:type="continuationSeparator" w:id="0">
    <w:p w:rsidR="00A27695" w:rsidRDefault="00A27695"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0C1" w:rsidRDefault="008650C1">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D3B96"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16385">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B6"/>
    <w:rsid w:val="00012809"/>
    <w:rsid w:val="00027299"/>
    <w:rsid w:val="00043BF4"/>
    <w:rsid w:val="00055C7A"/>
    <w:rsid w:val="00056962"/>
    <w:rsid w:val="00064652"/>
    <w:rsid w:val="00076550"/>
    <w:rsid w:val="0007676C"/>
    <w:rsid w:val="000843A5"/>
    <w:rsid w:val="00091722"/>
    <w:rsid w:val="000955B7"/>
    <w:rsid w:val="00096FD5"/>
    <w:rsid w:val="000A707E"/>
    <w:rsid w:val="000B6773"/>
    <w:rsid w:val="000B6F63"/>
    <w:rsid w:val="000D41B9"/>
    <w:rsid w:val="000E63AD"/>
    <w:rsid w:val="000F186D"/>
    <w:rsid w:val="00115B25"/>
    <w:rsid w:val="00116ED1"/>
    <w:rsid w:val="00123849"/>
    <w:rsid w:val="00131F3C"/>
    <w:rsid w:val="0013242C"/>
    <w:rsid w:val="001404AB"/>
    <w:rsid w:val="001427B6"/>
    <w:rsid w:val="0015573C"/>
    <w:rsid w:val="0017231D"/>
    <w:rsid w:val="00172F4E"/>
    <w:rsid w:val="00176E26"/>
    <w:rsid w:val="0018061F"/>
    <w:rsid w:val="001810DC"/>
    <w:rsid w:val="00194EA3"/>
    <w:rsid w:val="001B01D9"/>
    <w:rsid w:val="001B3556"/>
    <w:rsid w:val="001B607F"/>
    <w:rsid w:val="001C71FD"/>
    <w:rsid w:val="001D0252"/>
    <w:rsid w:val="001D369A"/>
    <w:rsid w:val="001E011F"/>
    <w:rsid w:val="001F08B3"/>
    <w:rsid w:val="0020219B"/>
    <w:rsid w:val="00203A38"/>
    <w:rsid w:val="002070FB"/>
    <w:rsid w:val="00213729"/>
    <w:rsid w:val="00214E92"/>
    <w:rsid w:val="00224187"/>
    <w:rsid w:val="00227B67"/>
    <w:rsid w:val="00234445"/>
    <w:rsid w:val="002356F3"/>
    <w:rsid w:val="002368D9"/>
    <w:rsid w:val="002406FA"/>
    <w:rsid w:val="002942E0"/>
    <w:rsid w:val="00297900"/>
    <w:rsid w:val="002A1C0B"/>
    <w:rsid w:val="002A4678"/>
    <w:rsid w:val="002B2A19"/>
    <w:rsid w:val="002B2E47"/>
    <w:rsid w:val="002B61F7"/>
    <w:rsid w:val="002B7C2B"/>
    <w:rsid w:val="002C0D66"/>
    <w:rsid w:val="002C1887"/>
    <w:rsid w:val="002D37F5"/>
    <w:rsid w:val="002F3FFA"/>
    <w:rsid w:val="0030264F"/>
    <w:rsid w:val="00304C19"/>
    <w:rsid w:val="0032398D"/>
    <w:rsid w:val="00327557"/>
    <w:rsid w:val="003301A3"/>
    <w:rsid w:val="0036777B"/>
    <w:rsid w:val="00375706"/>
    <w:rsid w:val="00380178"/>
    <w:rsid w:val="0038227A"/>
    <w:rsid w:val="0038282A"/>
    <w:rsid w:val="00393CF8"/>
    <w:rsid w:val="00397580"/>
    <w:rsid w:val="003A45C8"/>
    <w:rsid w:val="003B7F42"/>
    <w:rsid w:val="003C2DCF"/>
    <w:rsid w:val="003C3372"/>
    <w:rsid w:val="003C7FE7"/>
    <w:rsid w:val="003D0499"/>
    <w:rsid w:val="003D3576"/>
    <w:rsid w:val="003E36B3"/>
    <w:rsid w:val="003F1286"/>
    <w:rsid w:val="003F526A"/>
    <w:rsid w:val="00401F58"/>
    <w:rsid w:val="004022CF"/>
    <w:rsid w:val="00405244"/>
    <w:rsid w:val="0043069F"/>
    <w:rsid w:val="00436D82"/>
    <w:rsid w:val="004436EE"/>
    <w:rsid w:val="0045547F"/>
    <w:rsid w:val="00460F41"/>
    <w:rsid w:val="0047654A"/>
    <w:rsid w:val="00480576"/>
    <w:rsid w:val="004920AD"/>
    <w:rsid w:val="00495699"/>
    <w:rsid w:val="004D05B3"/>
    <w:rsid w:val="004D65A0"/>
    <w:rsid w:val="004E479E"/>
    <w:rsid w:val="004F78E6"/>
    <w:rsid w:val="00506194"/>
    <w:rsid w:val="00506511"/>
    <w:rsid w:val="00512D99"/>
    <w:rsid w:val="00531DBB"/>
    <w:rsid w:val="00564213"/>
    <w:rsid w:val="0057581B"/>
    <w:rsid w:val="005B3DF6"/>
    <w:rsid w:val="005C20AA"/>
    <w:rsid w:val="005F0122"/>
    <w:rsid w:val="005F79FB"/>
    <w:rsid w:val="00604406"/>
    <w:rsid w:val="00605F4A"/>
    <w:rsid w:val="00607822"/>
    <w:rsid w:val="006103AA"/>
    <w:rsid w:val="0061273B"/>
    <w:rsid w:val="00613BBF"/>
    <w:rsid w:val="00622B80"/>
    <w:rsid w:val="0064139A"/>
    <w:rsid w:val="00646DF0"/>
    <w:rsid w:val="006579DE"/>
    <w:rsid w:val="00662DD2"/>
    <w:rsid w:val="00664078"/>
    <w:rsid w:val="0067015C"/>
    <w:rsid w:val="006B271C"/>
    <w:rsid w:val="006C4774"/>
    <w:rsid w:val="006D5C60"/>
    <w:rsid w:val="006E024F"/>
    <w:rsid w:val="006E4E81"/>
    <w:rsid w:val="006F5D2F"/>
    <w:rsid w:val="006F7B8D"/>
    <w:rsid w:val="00707F7D"/>
    <w:rsid w:val="00717EC5"/>
    <w:rsid w:val="00755D8B"/>
    <w:rsid w:val="00756A8C"/>
    <w:rsid w:val="00763787"/>
    <w:rsid w:val="00771A25"/>
    <w:rsid w:val="00783A3B"/>
    <w:rsid w:val="00784615"/>
    <w:rsid w:val="00785441"/>
    <w:rsid w:val="00793D5F"/>
    <w:rsid w:val="007967D7"/>
    <w:rsid w:val="007A0CA5"/>
    <w:rsid w:val="007A57F2"/>
    <w:rsid w:val="007B1333"/>
    <w:rsid w:val="007B296D"/>
    <w:rsid w:val="007E030D"/>
    <w:rsid w:val="007F4AEB"/>
    <w:rsid w:val="007F75B2"/>
    <w:rsid w:val="008043C4"/>
    <w:rsid w:val="00831B1B"/>
    <w:rsid w:val="0085094B"/>
    <w:rsid w:val="00855FB3"/>
    <w:rsid w:val="00861D0E"/>
    <w:rsid w:val="008650C1"/>
    <w:rsid w:val="00866325"/>
    <w:rsid w:val="00867569"/>
    <w:rsid w:val="0087438C"/>
    <w:rsid w:val="00874F00"/>
    <w:rsid w:val="00876FB6"/>
    <w:rsid w:val="00881D66"/>
    <w:rsid w:val="00884090"/>
    <w:rsid w:val="00885C0D"/>
    <w:rsid w:val="0089708D"/>
    <w:rsid w:val="008A5B46"/>
    <w:rsid w:val="008A750A"/>
    <w:rsid w:val="008B3970"/>
    <w:rsid w:val="008C15A8"/>
    <w:rsid w:val="008C1DAC"/>
    <w:rsid w:val="008C384C"/>
    <w:rsid w:val="008C4770"/>
    <w:rsid w:val="008D0F11"/>
    <w:rsid w:val="008E19A9"/>
    <w:rsid w:val="008F73B4"/>
    <w:rsid w:val="009035E8"/>
    <w:rsid w:val="0090685B"/>
    <w:rsid w:val="00943F6C"/>
    <w:rsid w:val="00953416"/>
    <w:rsid w:val="00954DCD"/>
    <w:rsid w:val="0096148F"/>
    <w:rsid w:val="00963D64"/>
    <w:rsid w:val="00971374"/>
    <w:rsid w:val="00982D15"/>
    <w:rsid w:val="00987912"/>
    <w:rsid w:val="0099333B"/>
    <w:rsid w:val="00996918"/>
    <w:rsid w:val="009A23F9"/>
    <w:rsid w:val="009B55B1"/>
    <w:rsid w:val="009C4D55"/>
    <w:rsid w:val="009C72ED"/>
    <w:rsid w:val="009D6AD5"/>
    <w:rsid w:val="009E39C5"/>
    <w:rsid w:val="009F110C"/>
    <w:rsid w:val="009F5E1C"/>
    <w:rsid w:val="00A020A6"/>
    <w:rsid w:val="00A07BA7"/>
    <w:rsid w:val="00A17409"/>
    <w:rsid w:val="00A27695"/>
    <w:rsid w:val="00A363C4"/>
    <w:rsid w:val="00A4343D"/>
    <w:rsid w:val="00A502F1"/>
    <w:rsid w:val="00A555BD"/>
    <w:rsid w:val="00A70377"/>
    <w:rsid w:val="00A70A83"/>
    <w:rsid w:val="00A740A8"/>
    <w:rsid w:val="00A74374"/>
    <w:rsid w:val="00A81933"/>
    <w:rsid w:val="00A81EB3"/>
    <w:rsid w:val="00AB6196"/>
    <w:rsid w:val="00AC14F2"/>
    <w:rsid w:val="00AC3140"/>
    <w:rsid w:val="00AD39D8"/>
    <w:rsid w:val="00AD3C05"/>
    <w:rsid w:val="00B00C1D"/>
    <w:rsid w:val="00B03597"/>
    <w:rsid w:val="00B05DBF"/>
    <w:rsid w:val="00B14EB1"/>
    <w:rsid w:val="00B41CD0"/>
    <w:rsid w:val="00B522E8"/>
    <w:rsid w:val="00B632CC"/>
    <w:rsid w:val="00B76595"/>
    <w:rsid w:val="00B926FB"/>
    <w:rsid w:val="00BA12F1"/>
    <w:rsid w:val="00BA439F"/>
    <w:rsid w:val="00BA6370"/>
    <w:rsid w:val="00BE29B9"/>
    <w:rsid w:val="00BE55E4"/>
    <w:rsid w:val="00BE6592"/>
    <w:rsid w:val="00C103CE"/>
    <w:rsid w:val="00C269D4"/>
    <w:rsid w:val="00C27E47"/>
    <w:rsid w:val="00C4160D"/>
    <w:rsid w:val="00C54AF1"/>
    <w:rsid w:val="00C8406E"/>
    <w:rsid w:val="00C91A9B"/>
    <w:rsid w:val="00CA6A5A"/>
    <w:rsid w:val="00CB2709"/>
    <w:rsid w:val="00CB6F89"/>
    <w:rsid w:val="00CD06C1"/>
    <w:rsid w:val="00CD47EB"/>
    <w:rsid w:val="00CE228C"/>
    <w:rsid w:val="00CE71D9"/>
    <w:rsid w:val="00CF1254"/>
    <w:rsid w:val="00CF545B"/>
    <w:rsid w:val="00CF7302"/>
    <w:rsid w:val="00D079D2"/>
    <w:rsid w:val="00D14D0B"/>
    <w:rsid w:val="00D209A7"/>
    <w:rsid w:val="00D27D69"/>
    <w:rsid w:val="00D448C2"/>
    <w:rsid w:val="00D611DB"/>
    <w:rsid w:val="00D63731"/>
    <w:rsid w:val="00D666C3"/>
    <w:rsid w:val="00D811AB"/>
    <w:rsid w:val="00D97519"/>
    <w:rsid w:val="00D97DD8"/>
    <w:rsid w:val="00DF47FE"/>
    <w:rsid w:val="00DF5C2B"/>
    <w:rsid w:val="00E0156A"/>
    <w:rsid w:val="00E0492F"/>
    <w:rsid w:val="00E050EB"/>
    <w:rsid w:val="00E1630A"/>
    <w:rsid w:val="00E26704"/>
    <w:rsid w:val="00E269AE"/>
    <w:rsid w:val="00E31980"/>
    <w:rsid w:val="00E43047"/>
    <w:rsid w:val="00E55CE2"/>
    <w:rsid w:val="00E61FF7"/>
    <w:rsid w:val="00E6423C"/>
    <w:rsid w:val="00E71483"/>
    <w:rsid w:val="00E93830"/>
    <w:rsid w:val="00E93E0E"/>
    <w:rsid w:val="00EB1A25"/>
    <w:rsid w:val="00EB1ED3"/>
    <w:rsid w:val="00ED1B33"/>
    <w:rsid w:val="00ED34FD"/>
    <w:rsid w:val="00ED5799"/>
    <w:rsid w:val="00EE26DF"/>
    <w:rsid w:val="00EE70B7"/>
    <w:rsid w:val="00F314B7"/>
    <w:rsid w:val="00F37EB6"/>
    <w:rsid w:val="00F50667"/>
    <w:rsid w:val="00F56760"/>
    <w:rsid w:val="00F641FB"/>
    <w:rsid w:val="00F7063E"/>
    <w:rsid w:val="00F719DD"/>
    <w:rsid w:val="00F83C49"/>
    <w:rsid w:val="00F94CDB"/>
    <w:rsid w:val="00F959A0"/>
    <w:rsid w:val="00FB687C"/>
    <w:rsid w:val="00FD7436"/>
    <w:rsid w:val="00FE095D"/>
    <w:rsid w:val="00FE114D"/>
    <w:rsid w:val="00FE3782"/>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71bc"/>
    </o:shapedefaults>
    <o:shapelayout v:ext="edit">
      <o:idmap v:ext="edit" data="1"/>
    </o:shapelayout>
  </w:shapeDefaults>
  <w:decimalSymbol w:val=","/>
  <w:listSeparator w:val=";"/>
  <w14:docId w14:val="06B982C6"/>
  <w15:docId w15:val="{05E333AF-0FF6-40DB-B320-F3E5AD53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75706"/>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val="en-GB"/>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table" w:styleId="Mkatabulky">
    <w:name w:val="Table Grid"/>
    <w:basedOn w:val="Normlntabulka"/>
    <w:uiPriority w:val="59"/>
    <w:rsid w:val="0037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8A5B46"/>
    <w:pPr>
      <w:spacing w:line="240" w:lineRule="auto"/>
    </w:pPr>
    <w:rPr>
      <w:rFonts w:ascii="Times New Roman" w:eastAsia="Times New Roman" w:hAnsi="Times New Roman"/>
      <w:sz w:val="24"/>
      <w:szCs w:val="24"/>
      <w:lang w:val="en-GB"/>
    </w:rPr>
  </w:style>
  <w:style w:type="character" w:customStyle="1" w:styleId="ZkladntextChar">
    <w:name w:val="Základní text Char"/>
    <w:basedOn w:val="Standardnpsmoodstavce"/>
    <w:link w:val="Zkladntext"/>
    <w:rsid w:val="008A5B46"/>
    <w:rPr>
      <w:rFonts w:ascii="Times New Roman" w:eastAsia="Times New Roman" w:hAnsi="Times New Roman"/>
      <w:sz w:val="24"/>
      <w:szCs w:val="24"/>
      <w:lang w:val="en-GB" w:eastAsia="en-US"/>
    </w:rPr>
  </w:style>
  <w:style w:type="character" w:styleId="Sledovanodkaz">
    <w:name w:val="FollowedHyperlink"/>
    <w:basedOn w:val="Standardnpsmoodstavce"/>
    <w:uiPriority w:val="99"/>
    <w:semiHidden/>
    <w:unhideWhenUsed/>
    <w:rsid w:val="00DF5C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mailto:jaroslav.kahoun@czso.cz"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mailto:helena.houzvickova@czso.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pl.czso.cz/pll/rocenka/rocenkavyber.kvart_qsa?mylang=EN&amp;oblast=@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pl.czso.cz/pll/rocenka/rocenka.indexnu_gov?mylang=EN"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AppData\Local\Temp\Rychl&#225;%20informace%20ENG_2022-02-0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BFS3\BARANNU\nu\vl&#225;da\RYCHL&#193;%20INFORMACE%20-%20Q%20deficit%20a%20dluh\DATA\2Q202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ABFS3\BARANNU\nu\vl&#225;da\RYCHL&#193;%20INFORMACE%20-%20Q%20deficit%20a%20dluh\DATA\2Q2022.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ABFS3\BARANNU\nu\vl&#225;da\RYCHL&#193;%20INFORMACE%20-%20Q%20deficit%20a%20dluh\DATA\2Q202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33573928258968"/>
          <c:y val="5.1400554097404488E-2"/>
          <c:w val="0.79323140857392815"/>
          <c:h val="0.66924941673957428"/>
        </c:manualLayout>
      </c:layout>
      <c:barChart>
        <c:barDir val="col"/>
        <c:grouping val="clustered"/>
        <c:varyColors val="0"/>
        <c:ser>
          <c:idx val="0"/>
          <c:order val="0"/>
          <c:tx>
            <c:strRef>
              <c:f>graf_EN1!$B$3</c:f>
              <c:strCache>
                <c:ptCount val="1"/>
                <c:pt idx="0">
                  <c:v>CZK bn</c:v>
                </c:pt>
              </c:strCache>
            </c:strRef>
          </c:tx>
          <c:spPr>
            <a:solidFill>
              <a:srgbClr val="0066CC"/>
            </a:solidFill>
          </c:spPr>
          <c:invertIfNegative val="0"/>
          <c:dLbls>
            <c:numFmt formatCode="#,##0.0" sourceLinked="0"/>
            <c:spPr>
              <a:noFill/>
              <a:ln>
                <a:noFill/>
              </a:ln>
              <a:effectLst/>
            </c:spPr>
            <c:txPr>
              <a:bodyPr rot="-5400000" vert="horz" wrap="square" lIns="38100" tIns="19050" rIns="38100" bIns="19050" anchor="ctr">
                <a:spAutoFit/>
              </a:bodyPr>
              <a:lstStyle/>
              <a:p>
                <a:pPr>
                  <a:defRPr>
                    <a:solidFill>
                      <a:schemeClr val="bg1"/>
                    </a:solidFill>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graf_EN1!$R$2:$Z$2</c:f>
              <c:strCache>
                <c:ptCount val="9"/>
                <c:pt idx="0">
                  <c:v>Q2 2020</c:v>
                </c:pt>
                <c:pt idx="1">
                  <c:v>Q3 2020</c:v>
                </c:pt>
                <c:pt idx="2">
                  <c:v>Q4 2020</c:v>
                </c:pt>
                <c:pt idx="3">
                  <c:v>Q1 2021</c:v>
                </c:pt>
                <c:pt idx="4">
                  <c:v>Q2 2021</c:v>
                </c:pt>
                <c:pt idx="5">
                  <c:v>Q3 2021</c:v>
                </c:pt>
                <c:pt idx="6">
                  <c:v>Q4 2021</c:v>
                </c:pt>
                <c:pt idx="7">
                  <c:v>Q1 2022</c:v>
                </c:pt>
                <c:pt idx="8">
                  <c:v>Q2 2022</c:v>
                </c:pt>
              </c:strCache>
            </c:strRef>
          </c:cat>
          <c:val>
            <c:numRef>
              <c:f>graf_EN1!$R$3:$Z$3</c:f>
              <c:numCache>
                <c:formatCode>#,##0</c:formatCode>
                <c:ptCount val="9"/>
                <c:pt idx="0">
                  <c:v>2265.056</c:v>
                </c:pt>
                <c:pt idx="1">
                  <c:v>2173.1439999999998</c:v>
                </c:pt>
                <c:pt idx="2">
                  <c:v>2149.8220000000001</c:v>
                </c:pt>
                <c:pt idx="3">
                  <c:v>2513.0790000000002</c:v>
                </c:pt>
                <c:pt idx="4">
                  <c:v>2517.4789999999998</c:v>
                </c:pt>
                <c:pt idx="5">
                  <c:v>2433.8420000000001</c:v>
                </c:pt>
                <c:pt idx="6">
                  <c:v>2566.8319999999999</c:v>
                </c:pt>
                <c:pt idx="7">
                  <c:v>2684.136</c:v>
                </c:pt>
                <c:pt idx="8">
                  <c:v>2827.692</c:v>
                </c:pt>
              </c:numCache>
            </c:numRef>
          </c:val>
          <c:extLst>
            <c:ext xmlns:c16="http://schemas.microsoft.com/office/drawing/2014/chart" uri="{C3380CC4-5D6E-409C-BE32-E72D297353CC}">
              <c16:uniqueId val="{00000000-852D-4FA8-ADDC-45A9E6A45658}"/>
            </c:ext>
          </c:extLst>
        </c:ser>
        <c:dLbls>
          <c:showLegendKey val="0"/>
          <c:showVal val="0"/>
          <c:showCatName val="0"/>
          <c:showSerName val="0"/>
          <c:showPercent val="0"/>
          <c:showBubbleSize val="0"/>
        </c:dLbls>
        <c:gapWidth val="51"/>
        <c:axId val="199040384"/>
        <c:axId val="199062656"/>
      </c:barChart>
      <c:scatterChart>
        <c:scatterStyle val="lineMarker"/>
        <c:varyColors val="0"/>
        <c:ser>
          <c:idx val="1"/>
          <c:order val="1"/>
          <c:tx>
            <c:strRef>
              <c:f>graf_EN1!$B$4</c:f>
              <c:strCache>
                <c:ptCount val="1"/>
                <c:pt idx="0">
                  <c:v>% of GDP</c:v>
                </c:pt>
              </c:strCache>
            </c:strRef>
          </c:tx>
          <c:spPr>
            <a:ln w="28575">
              <a:noFill/>
            </a:ln>
          </c:spPr>
          <c:marker>
            <c:symbol val="circle"/>
            <c:size val="7"/>
            <c:spPr>
              <a:solidFill>
                <a:srgbClr val="FF0000"/>
              </a:solidFill>
            </c:spPr>
          </c:marker>
          <c:dLbls>
            <c:spPr>
              <a:noFill/>
              <a:ln>
                <a:noFill/>
              </a:ln>
              <a:effectLst/>
            </c:spPr>
            <c:txPr>
              <a:bodyPr/>
              <a:lstStyle/>
              <a:p>
                <a:pPr>
                  <a:defRPr>
                    <a:solidFill>
                      <a:sysClr val="windowText" lastClr="000000"/>
                    </a:solidFill>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xVal>
            <c:strRef>
              <c:f>graf_EN1!$R$2:$Z$2</c:f>
              <c:strCache>
                <c:ptCount val="9"/>
                <c:pt idx="0">
                  <c:v>Q2 2020</c:v>
                </c:pt>
                <c:pt idx="1">
                  <c:v>Q3 2020</c:v>
                </c:pt>
                <c:pt idx="2">
                  <c:v>Q4 2020</c:v>
                </c:pt>
                <c:pt idx="3">
                  <c:v>Q1 2021</c:v>
                </c:pt>
                <c:pt idx="4">
                  <c:v>Q2 2021</c:v>
                </c:pt>
                <c:pt idx="5">
                  <c:v>Q3 2021</c:v>
                </c:pt>
                <c:pt idx="6">
                  <c:v>Q4 2021</c:v>
                </c:pt>
                <c:pt idx="7">
                  <c:v>Q1 2022</c:v>
                </c:pt>
                <c:pt idx="8">
                  <c:v>Q2 2022</c:v>
                </c:pt>
              </c:strCache>
            </c:strRef>
          </c:xVal>
          <c:yVal>
            <c:numRef>
              <c:f>graf_EN1!$R$4:$Z$4</c:f>
              <c:numCache>
                <c:formatCode>0.0</c:formatCode>
                <c:ptCount val="9"/>
                <c:pt idx="0">
                  <c:v>39.549999999999997</c:v>
                </c:pt>
                <c:pt idx="1">
                  <c:v>38.07</c:v>
                </c:pt>
                <c:pt idx="2">
                  <c:v>37.659999999999997</c:v>
                </c:pt>
                <c:pt idx="3">
                  <c:v>43.91</c:v>
                </c:pt>
                <c:pt idx="4">
                  <c:v>42.6</c:v>
                </c:pt>
                <c:pt idx="5">
                  <c:v>40.409999999999997</c:v>
                </c:pt>
                <c:pt idx="6">
                  <c:v>42.02</c:v>
                </c:pt>
                <c:pt idx="7">
                  <c:v>42.85</c:v>
                </c:pt>
                <c:pt idx="8">
                  <c:v>44.01</c:v>
                </c:pt>
              </c:numCache>
            </c:numRef>
          </c:yVal>
          <c:smooth val="0"/>
          <c:extLst>
            <c:ext xmlns:c16="http://schemas.microsoft.com/office/drawing/2014/chart" uri="{C3380CC4-5D6E-409C-BE32-E72D297353CC}">
              <c16:uniqueId val="{00000001-852D-4FA8-ADDC-45A9E6A45658}"/>
            </c:ext>
          </c:extLst>
        </c:ser>
        <c:dLbls>
          <c:showLegendKey val="0"/>
          <c:showVal val="0"/>
          <c:showCatName val="0"/>
          <c:showSerName val="0"/>
          <c:showPercent val="0"/>
          <c:showBubbleSize val="0"/>
        </c:dLbls>
        <c:axId val="199066752"/>
        <c:axId val="199064576"/>
      </c:scatterChart>
      <c:catAx>
        <c:axId val="199040384"/>
        <c:scaling>
          <c:orientation val="minMax"/>
        </c:scaling>
        <c:delete val="0"/>
        <c:axPos val="b"/>
        <c:numFmt formatCode="General" sourceLinked="0"/>
        <c:majorTickMark val="out"/>
        <c:minorTickMark val="none"/>
        <c:tickLblPos val="nextTo"/>
        <c:crossAx val="199062656"/>
        <c:crosses val="autoZero"/>
        <c:auto val="1"/>
        <c:lblAlgn val="ctr"/>
        <c:lblOffset val="100"/>
        <c:noMultiLvlLbl val="0"/>
      </c:catAx>
      <c:valAx>
        <c:axId val="199062656"/>
        <c:scaling>
          <c:orientation val="minMax"/>
        </c:scaling>
        <c:delete val="0"/>
        <c:axPos val="l"/>
        <c:majorGridlines>
          <c:spPr>
            <a:ln>
              <a:noFill/>
            </a:ln>
          </c:spPr>
        </c:majorGridlines>
        <c:title>
          <c:tx>
            <c:rich>
              <a:bodyPr rot="-5400000" vert="horz"/>
              <a:lstStyle/>
              <a:p>
                <a:pPr>
                  <a:defRPr b="0"/>
                </a:pPr>
                <a:r>
                  <a:rPr lang="cs-CZ" b="0"/>
                  <a:t>CZK bn</a:t>
                </a:r>
              </a:p>
            </c:rich>
          </c:tx>
          <c:layout>
            <c:manualLayout>
              <c:xMode val="edge"/>
              <c:yMode val="edge"/>
              <c:x val="5.5555555555555558E-3"/>
              <c:y val="0.31484470691163602"/>
            </c:manualLayout>
          </c:layout>
          <c:overlay val="0"/>
        </c:title>
        <c:numFmt formatCode="#,##0" sourceLinked="1"/>
        <c:majorTickMark val="out"/>
        <c:minorTickMark val="none"/>
        <c:tickLblPos val="nextTo"/>
        <c:crossAx val="199040384"/>
        <c:crosses val="autoZero"/>
        <c:crossBetween val="between"/>
      </c:valAx>
      <c:valAx>
        <c:axId val="199064576"/>
        <c:scaling>
          <c:orientation val="minMax"/>
          <c:max val="45"/>
          <c:min val="0"/>
        </c:scaling>
        <c:delete val="0"/>
        <c:axPos val="r"/>
        <c:title>
          <c:tx>
            <c:rich>
              <a:bodyPr rot="-5400000" vert="horz"/>
              <a:lstStyle/>
              <a:p>
                <a:pPr>
                  <a:defRPr b="0"/>
                </a:pPr>
                <a:r>
                  <a:rPr lang="cs-CZ" b="0"/>
                  <a:t>% of GDP</a:t>
                </a:r>
              </a:p>
            </c:rich>
          </c:tx>
          <c:layout/>
          <c:overlay val="0"/>
        </c:title>
        <c:numFmt formatCode="0" sourceLinked="0"/>
        <c:majorTickMark val="out"/>
        <c:minorTickMark val="none"/>
        <c:tickLblPos val="high"/>
        <c:crossAx val="199066752"/>
        <c:crosses val="max"/>
        <c:crossBetween val="midCat"/>
      </c:valAx>
      <c:valAx>
        <c:axId val="199066752"/>
        <c:scaling>
          <c:orientation val="minMax"/>
        </c:scaling>
        <c:delete val="1"/>
        <c:axPos val="b"/>
        <c:majorTickMark val="out"/>
        <c:minorTickMark val="none"/>
        <c:tickLblPos val="nextTo"/>
        <c:crossAx val="199064576"/>
        <c:crosses val="autoZero"/>
        <c:crossBetween val="midCat"/>
      </c:valAx>
    </c:plotArea>
    <c:legend>
      <c:legendPos val="b"/>
      <c:layout/>
      <c:overlay val="0"/>
    </c:legend>
    <c:plotVisOnly val="1"/>
    <c:dispBlanksAs val="gap"/>
    <c:showDLblsOverMax val="0"/>
  </c:chart>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sz="1800" b="0" i="0" baseline="0">
                <a:effectLst/>
              </a:rPr>
              <a:t>Y-y relative changes in government debt</a:t>
            </a:r>
            <a:r>
              <a:rPr lang="en-GB" sz="1800" b="0" i="0" baseline="0">
                <a:effectLst/>
              </a:rPr>
              <a:t> </a:t>
            </a:r>
            <a:endParaRPr lang="cs-CZ">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cs-CZ"/>
        </a:p>
      </c:txPr>
    </c:title>
    <c:autoTitleDeleted val="0"/>
    <c:plotArea>
      <c:layout>
        <c:manualLayout>
          <c:layoutTarget val="inner"/>
          <c:xMode val="edge"/>
          <c:yMode val="edge"/>
          <c:x val="0.12327443169977992"/>
          <c:y val="0.17835633326795464"/>
          <c:w val="0.85717001152802641"/>
          <c:h val="0.60008852633563825"/>
        </c:manualLayout>
      </c:layout>
      <c:barChart>
        <c:barDir val="col"/>
        <c:grouping val="stacked"/>
        <c:varyColors val="0"/>
        <c:ser>
          <c:idx val="2"/>
          <c:order val="1"/>
          <c:tx>
            <c:strRef>
              <c:f>dluh!$B$55</c:f>
              <c:strCache>
                <c:ptCount val="1"/>
                <c:pt idx="0">
                  <c:v>effect of change in nominal GDP </c:v>
                </c:pt>
              </c:strCache>
            </c:strRef>
          </c:tx>
          <c:spPr>
            <a:solidFill>
              <a:srgbClr val="92D050"/>
            </a:solidFill>
            <a:ln>
              <a:noFill/>
            </a:ln>
            <a:effectLst/>
          </c:spPr>
          <c:invertIfNegative val="0"/>
          <c:cat>
            <c:strRef>
              <c:f>dluh!$CK$3:$CS$3</c:f>
              <c:strCache>
                <c:ptCount val="9"/>
                <c:pt idx="0">
                  <c:v>2020q2</c:v>
                </c:pt>
                <c:pt idx="1">
                  <c:v>2020q3</c:v>
                </c:pt>
                <c:pt idx="2">
                  <c:v>2020q4</c:v>
                </c:pt>
                <c:pt idx="3">
                  <c:v>2021q1</c:v>
                </c:pt>
                <c:pt idx="4">
                  <c:v>2021q2</c:v>
                </c:pt>
                <c:pt idx="5">
                  <c:v>2021q3</c:v>
                </c:pt>
                <c:pt idx="6">
                  <c:v>2021q4</c:v>
                </c:pt>
                <c:pt idx="7">
                  <c:v>2022q1</c:v>
                </c:pt>
                <c:pt idx="8">
                  <c:v>2022q2</c:v>
                </c:pt>
              </c:strCache>
            </c:strRef>
          </c:cat>
          <c:val>
            <c:numRef>
              <c:f>dluh!$CK$19:$CS$19</c:f>
              <c:numCache>
                <c:formatCode>0.0</c:formatCode>
                <c:ptCount val="9"/>
                <c:pt idx="0">
                  <c:v>-0.78432591388984108</c:v>
                </c:pt>
                <c:pt idx="1">
                  <c:v>-6.109447611991925E-2</c:v>
                </c:pt>
                <c:pt idx="2">
                  <c:v>0.48209964003278216</c:v>
                </c:pt>
                <c:pt idx="3">
                  <c:v>0.59107870725709688</c:v>
                </c:pt>
                <c:pt idx="4">
                  <c:v>-1.2240382736395148</c:v>
                </c:pt>
                <c:pt idx="5">
                  <c:v>-1.9867070820300512</c:v>
                </c:pt>
                <c:pt idx="6">
                  <c:v>-2.5056423027332073</c:v>
                </c:pt>
                <c:pt idx="7">
                  <c:v>-3.7880758976414128</c:v>
                </c:pt>
                <c:pt idx="8">
                  <c:v>-3.4184576342726487</c:v>
                </c:pt>
              </c:numCache>
            </c:numRef>
          </c:val>
          <c:extLst>
            <c:ext xmlns:c16="http://schemas.microsoft.com/office/drawing/2014/chart" uri="{C3380CC4-5D6E-409C-BE32-E72D297353CC}">
              <c16:uniqueId val="{00000000-DEFE-45D0-9C1A-87E46E702ACC}"/>
            </c:ext>
          </c:extLst>
        </c:ser>
        <c:ser>
          <c:idx val="3"/>
          <c:order val="2"/>
          <c:tx>
            <c:strRef>
              <c:f>dluh!$B$56</c:f>
              <c:strCache>
                <c:ptCount val="1"/>
                <c:pt idx="0">
                  <c:v>effect of changes in debt </c:v>
                </c:pt>
              </c:strCache>
            </c:strRef>
          </c:tx>
          <c:spPr>
            <a:solidFill>
              <a:srgbClr val="0070C0"/>
            </a:solidFill>
            <a:ln>
              <a:noFill/>
            </a:ln>
            <a:effectLst/>
          </c:spPr>
          <c:invertIfNegative val="0"/>
          <c:cat>
            <c:strRef>
              <c:f>dluh!$CK$3:$CS$3</c:f>
              <c:strCache>
                <c:ptCount val="9"/>
                <c:pt idx="0">
                  <c:v>2020q2</c:v>
                </c:pt>
                <c:pt idx="1">
                  <c:v>2020q3</c:v>
                </c:pt>
                <c:pt idx="2">
                  <c:v>2020q4</c:v>
                </c:pt>
                <c:pt idx="3">
                  <c:v>2021q1</c:v>
                </c:pt>
                <c:pt idx="4">
                  <c:v>2021q2</c:v>
                </c:pt>
                <c:pt idx="5">
                  <c:v>2021q3</c:v>
                </c:pt>
                <c:pt idx="6">
                  <c:v>2021q4</c:v>
                </c:pt>
                <c:pt idx="7">
                  <c:v>2022q1</c:v>
                </c:pt>
                <c:pt idx="8">
                  <c:v>2022q2</c:v>
                </c:pt>
              </c:strCache>
            </c:strRef>
          </c:cat>
          <c:val>
            <c:numRef>
              <c:f>dluh!$CK$20:$CS$20</c:f>
              <c:numCache>
                <c:formatCode>0.0</c:formatCode>
                <c:ptCount val="9"/>
                <c:pt idx="0">
                  <c:v>7.7843259138898411</c:v>
                </c:pt>
                <c:pt idx="1">
                  <c:v>6.7610944761199194</c:v>
                </c:pt>
                <c:pt idx="2">
                  <c:v>7.217900359967218</c:v>
                </c:pt>
                <c:pt idx="3">
                  <c:v>10.908921292742903</c:v>
                </c:pt>
                <c:pt idx="4">
                  <c:v>4.2240382736395148</c:v>
                </c:pt>
                <c:pt idx="5">
                  <c:v>4.286707082030051</c:v>
                </c:pt>
                <c:pt idx="6">
                  <c:v>6.8056423027332071</c:v>
                </c:pt>
                <c:pt idx="7">
                  <c:v>2.6880758976414127</c:v>
                </c:pt>
                <c:pt idx="8">
                  <c:v>4.8184576342726491</c:v>
                </c:pt>
              </c:numCache>
            </c:numRef>
          </c:val>
          <c:extLst>
            <c:ext xmlns:c16="http://schemas.microsoft.com/office/drawing/2014/chart" uri="{C3380CC4-5D6E-409C-BE32-E72D297353CC}">
              <c16:uniqueId val="{00000001-DEFE-45D0-9C1A-87E46E702ACC}"/>
            </c:ext>
          </c:extLst>
        </c:ser>
        <c:dLbls>
          <c:showLegendKey val="0"/>
          <c:showVal val="0"/>
          <c:showCatName val="0"/>
          <c:showSerName val="0"/>
          <c:showPercent val="0"/>
          <c:showBubbleSize val="0"/>
        </c:dLbls>
        <c:gapWidth val="219"/>
        <c:overlap val="100"/>
        <c:axId val="1515520352"/>
        <c:axId val="1515512032"/>
      </c:barChart>
      <c:scatterChart>
        <c:scatterStyle val="lineMarker"/>
        <c:varyColors val="0"/>
        <c:ser>
          <c:idx val="1"/>
          <c:order val="0"/>
          <c:tx>
            <c:strRef>
              <c:f>dluh!$B$54</c:f>
              <c:strCache>
                <c:ptCount val="1"/>
                <c:pt idx="0">
                  <c:v>the total change </c:v>
                </c:pt>
              </c:strCache>
            </c:strRef>
          </c:tx>
          <c:spPr>
            <a:ln w="25400" cap="rnd">
              <a:noFill/>
              <a:round/>
            </a:ln>
            <a:effectLst/>
          </c:spPr>
          <c:marker>
            <c:symbol val="circle"/>
            <c:size val="5"/>
            <c:spPr>
              <a:solidFill>
                <a:srgbClr val="FF0000"/>
              </a:solidFill>
              <a:ln w="25400">
                <a:solidFill>
                  <a:srgbClr val="FF0000"/>
                </a:solidFill>
              </a:ln>
              <a:effectLst/>
            </c:spPr>
          </c:marker>
          <c:dPt>
            <c:idx val="3"/>
            <c:marker>
              <c:symbol val="circle"/>
              <c:size val="5"/>
              <c:spPr>
                <a:solidFill>
                  <a:srgbClr val="FF0000"/>
                </a:solidFill>
                <a:ln w="25400">
                  <a:solidFill>
                    <a:srgbClr val="FF0000"/>
                  </a:solidFill>
                </a:ln>
                <a:effectLst>
                  <a:outerShdw blurRad="88900" dist="76200" dir="8400000" sx="103000" sy="103000" algn="ctr" rotWithShape="0">
                    <a:srgbClr val="000000">
                      <a:alpha val="43137"/>
                    </a:srgbClr>
                  </a:outerShdw>
                </a:effectLst>
              </c:spPr>
            </c:marker>
            <c:bubble3D val="0"/>
            <c:spPr>
              <a:ln w="25400" cap="rnd">
                <a:noFill/>
                <a:round/>
              </a:ln>
              <a:effectLst>
                <a:outerShdw blurRad="88900" dist="76200" dir="8400000" sx="103000" sy="103000" algn="ctr" rotWithShape="0">
                  <a:srgbClr val="000000">
                    <a:alpha val="43137"/>
                  </a:srgbClr>
                </a:outerShdw>
              </a:effectLst>
            </c:spPr>
            <c:extLst>
              <c:ext xmlns:c16="http://schemas.microsoft.com/office/drawing/2014/chart" uri="{C3380CC4-5D6E-409C-BE32-E72D297353CC}">
                <c16:uniqueId val="{00000003-DEFE-45D0-9C1A-87E46E702ACC}"/>
              </c:ext>
            </c:extLst>
          </c:dPt>
          <c:dLbls>
            <c:dLbl>
              <c:idx val="0"/>
              <c:layout>
                <c:manualLayout>
                  <c:x val="-3.6724542781164583E-2"/>
                  <c:y val="5.95432092727539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EFE-45D0-9C1A-87E46E702ACC}"/>
                </c:ext>
              </c:extLst>
            </c:dLbl>
            <c:dLbl>
              <c:idx val="1"/>
              <c:layout>
                <c:manualLayout>
                  <c:x val="-3.30377182391242E-2"/>
                  <c:y val="6.14354183987871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EFE-45D0-9C1A-87E46E702ACC}"/>
                </c:ext>
              </c:extLst>
            </c:dLbl>
            <c:dLbl>
              <c:idx val="2"/>
              <c:layout>
                <c:manualLayout>
                  <c:x val="-3.5791031177546832E-2"/>
                  <c:y val="5.52242382745634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EFE-45D0-9C1A-87E46E702ACC}"/>
                </c:ext>
              </c:extLst>
            </c:dLbl>
            <c:dLbl>
              <c:idx val="3"/>
              <c:layout>
                <c:manualLayout>
                  <c:x val="-3.7020096147435948E-2"/>
                  <c:y val="6.161246148579253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EFE-45D0-9C1A-87E46E702ACC}"/>
                </c:ext>
              </c:extLst>
            </c:dLbl>
            <c:dLbl>
              <c:idx val="4"/>
              <c:layout>
                <c:manualLayout>
                  <c:x val="-3.4360486218620603E-2"/>
                  <c:y val="4.25118599305520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EFE-45D0-9C1A-87E46E702ACC}"/>
                </c:ext>
              </c:extLst>
            </c:dLbl>
            <c:dLbl>
              <c:idx val="5"/>
              <c:layout>
                <c:manualLayout>
                  <c:x val="-3.5106406619210231E-2"/>
                  <c:y val="5.49342201789993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DEFE-45D0-9C1A-87E46E702ACC}"/>
                </c:ext>
              </c:extLst>
            </c:dLbl>
            <c:dLbl>
              <c:idx val="6"/>
              <c:layout>
                <c:manualLayout>
                  <c:x val="-3.1607173280198013E-2"/>
                  <c:y val="6.73565804274465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DEFE-45D0-9C1A-87E46E702ACC}"/>
                </c:ext>
              </c:extLst>
            </c:dLbl>
            <c:dLbl>
              <c:idx val="7"/>
              <c:layout>
                <c:manualLayout>
                  <c:x val="-3.7113799157043284E-2"/>
                  <c:y val="5.689440993788819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DEFE-45D0-9C1A-87E46E702ACC}"/>
                </c:ext>
              </c:extLst>
            </c:dLbl>
            <c:dLbl>
              <c:idx val="8"/>
              <c:layout>
                <c:manualLayout>
                  <c:x val="-3.1607173280197923E-2"/>
                  <c:y val="6.1145400303222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DEFE-45D0-9C1A-87E46E702A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yVal>
            <c:numRef>
              <c:f>dluh!$CK$18:$CS$18</c:f>
              <c:numCache>
                <c:formatCode>0.0</c:formatCode>
                <c:ptCount val="9"/>
                <c:pt idx="0">
                  <c:v>7</c:v>
                </c:pt>
                <c:pt idx="1">
                  <c:v>6.7</c:v>
                </c:pt>
                <c:pt idx="2">
                  <c:v>7.7</c:v>
                </c:pt>
                <c:pt idx="3">
                  <c:v>11.5</c:v>
                </c:pt>
                <c:pt idx="4">
                  <c:v>3</c:v>
                </c:pt>
                <c:pt idx="5">
                  <c:v>2.2999999999999998</c:v>
                </c:pt>
                <c:pt idx="6">
                  <c:v>4.3</c:v>
                </c:pt>
                <c:pt idx="7">
                  <c:v>-1.1000000000000001</c:v>
                </c:pt>
                <c:pt idx="8">
                  <c:v>1.4</c:v>
                </c:pt>
              </c:numCache>
            </c:numRef>
          </c:yVal>
          <c:smooth val="0"/>
          <c:extLst>
            <c:ext xmlns:c16="http://schemas.microsoft.com/office/drawing/2014/chart" uri="{C3380CC4-5D6E-409C-BE32-E72D297353CC}">
              <c16:uniqueId val="{0000000C-DEFE-45D0-9C1A-87E46E702ACC}"/>
            </c:ext>
          </c:extLst>
        </c:ser>
        <c:dLbls>
          <c:showLegendKey val="0"/>
          <c:showVal val="0"/>
          <c:showCatName val="0"/>
          <c:showSerName val="0"/>
          <c:showPercent val="0"/>
          <c:showBubbleSize val="0"/>
        </c:dLbls>
        <c:axId val="1515520352"/>
        <c:axId val="1515512032"/>
      </c:scatterChart>
      <c:catAx>
        <c:axId val="15155203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515512032"/>
        <c:crosses val="autoZero"/>
        <c:auto val="1"/>
        <c:lblAlgn val="ctr"/>
        <c:lblOffset val="100"/>
        <c:noMultiLvlLbl val="0"/>
      </c:catAx>
      <c:valAx>
        <c:axId val="1515512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cs-CZ" baseline="0">
                    <a:solidFill>
                      <a:sysClr val="windowText" lastClr="000000"/>
                    </a:solidFill>
                  </a:rPr>
                  <a:t>p. b.</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5155203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35038659484416E-2"/>
          <c:y val="4.1085881556253576E-2"/>
          <c:w val="0.90350569010863835"/>
          <c:h val="0.83847678435006567"/>
        </c:manualLayout>
      </c:layout>
      <c:lineChart>
        <c:grouping val="standard"/>
        <c:varyColors val="0"/>
        <c:ser>
          <c:idx val="0"/>
          <c:order val="0"/>
          <c:tx>
            <c:strRef>
              <c:f>'SEZ _EN'!$E$2</c:f>
              <c:strCache>
                <c:ptCount val="1"/>
                <c:pt idx="0">
                  <c:v>% GDP</c:v>
                </c:pt>
              </c:strCache>
            </c:strRef>
          </c:tx>
          <c:spPr>
            <a:ln w="28575" cap="rnd">
              <a:solidFill>
                <a:srgbClr val="0066CC"/>
              </a:solidFill>
              <a:round/>
            </a:ln>
            <a:effectLst/>
          </c:spPr>
          <c:marker>
            <c:symbol val="circle"/>
            <c:size val="5"/>
            <c:spPr>
              <a:solidFill>
                <a:srgbClr val="0066CC"/>
              </a:solidFill>
              <a:ln w="9525">
                <a:solidFill>
                  <a:schemeClr val="accent1"/>
                </a:solidFill>
              </a:ln>
              <a:effectLst/>
            </c:spPr>
          </c:marker>
          <c:dLbls>
            <c:dLbl>
              <c:idx val="0"/>
              <c:layout>
                <c:manualLayout>
                  <c:x val="-4.5232257538833059E-2"/>
                  <c:y val="6.34762811217284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A3B-499D-B214-332E702CA692}"/>
                </c:ext>
              </c:extLst>
            </c:dLbl>
            <c:dLbl>
              <c:idx val="1"/>
              <c:layout>
                <c:manualLayout>
                  <c:x val="-3.3929748668528381E-2"/>
                  <c:y val="5.65431795530657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A3B-499D-B214-332E702CA692}"/>
                </c:ext>
              </c:extLst>
            </c:dLbl>
            <c:dLbl>
              <c:idx val="2"/>
              <c:layout>
                <c:manualLayout>
                  <c:x val="-3.939804149598896E-2"/>
                  <c:y val="6.716861352139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A3B-499D-B214-332E702CA692}"/>
                </c:ext>
              </c:extLst>
            </c:dLbl>
            <c:dLbl>
              <c:idx val="3"/>
              <c:layout>
                <c:manualLayout>
                  <c:x val="-3.5574366115806548E-2"/>
                  <c:y val="6.802119890982433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A3B-499D-B214-332E702CA692}"/>
                </c:ext>
              </c:extLst>
            </c:dLbl>
            <c:dLbl>
              <c:idx val="4"/>
              <c:layout>
                <c:manualLayout>
                  <c:x val="-4.144017604314159E-2"/>
                  <c:y val="6.472930290493349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A3B-499D-B214-332E702CA692}"/>
                </c:ext>
              </c:extLst>
            </c:dLbl>
            <c:dLbl>
              <c:idx val="5"/>
              <c:layout>
                <c:manualLayout>
                  <c:x val="-4.0093658076517928E-2"/>
                  <c:y val="6.69713955247119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A3B-499D-B214-332E702CA692}"/>
                </c:ext>
              </c:extLst>
            </c:dLbl>
            <c:dLbl>
              <c:idx val="6"/>
              <c:layout>
                <c:manualLayout>
                  <c:x val="-3.1064785110835293E-2"/>
                  <c:y val="7.942746563459228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A3B-499D-B214-332E702CA692}"/>
                </c:ext>
              </c:extLst>
            </c:dLbl>
            <c:dLbl>
              <c:idx val="7"/>
              <c:layout>
                <c:manualLayout>
                  <c:x val="-3.161814626976505E-2"/>
                  <c:y val="5.321900440411039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A3B-499D-B214-332E702CA692}"/>
                </c:ext>
              </c:extLst>
            </c:dLbl>
            <c:dLbl>
              <c:idx val="8"/>
              <c:layout>
                <c:manualLayout>
                  <c:x val="-2.9078753948562512E-2"/>
                  <c:y val="5.47328617821077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DA3B-499D-B214-332E702CA69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'SEZ _EN'!$A$76:$A$84</c:f>
              <c:strCache>
                <c:ptCount val="9"/>
                <c:pt idx="0">
                  <c:v>Q2 2020</c:v>
                </c:pt>
                <c:pt idx="1">
                  <c:v>Q3 2020</c:v>
                </c:pt>
                <c:pt idx="2">
                  <c:v>Q4 2020</c:v>
                </c:pt>
                <c:pt idx="3">
                  <c:v>Q1 2021</c:v>
                </c:pt>
                <c:pt idx="4">
                  <c:v>Q2 2021</c:v>
                </c:pt>
                <c:pt idx="5">
                  <c:v>Q3 2021</c:v>
                </c:pt>
                <c:pt idx="6">
                  <c:v>Q4 2021</c:v>
                </c:pt>
                <c:pt idx="7">
                  <c:v>Q1 2022</c:v>
                </c:pt>
                <c:pt idx="8">
                  <c:v>Q2 2022</c:v>
                </c:pt>
              </c:strCache>
            </c:strRef>
          </c:cat>
          <c:val>
            <c:numRef>
              <c:f>'SEZ _EN'!$E$76:$E$84</c:f>
              <c:numCache>
                <c:formatCode>0.0</c:formatCode>
                <c:ptCount val="9"/>
                <c:pt idx="0">
                  <c:v>-8.3572330915591699</c:v>
                </c:pt>
                <c:pt idx="1">
                  <c:v>-5.4102452638981955</c:v>
                </c:pt>
                <c:pt idx="2">
                  <c:v>-6.9644790231816316</c:v>
                </c:pt>
                <c:pt idx="3">
                  <c:v>-7.3606850161524617</c:v>
                </c:pt>
                <c:pt idx="4">
                  <c:v>-4.3745223097804606</c:v>
                </c:pt>
                <c:pt idx="5">
                  <c:v>-4.6382050171569444</c:v>
                </c:pt>
                <c:pt idx="6">
                  <c:v>-4.1089059474991387</c:v>
                </c:pt>
                <c:pt idx="7">
                  <c:v>-3.211489845018991</c:v>
                </c:pt>
                <c:pt idx="8">
                  <c:v>-2.3422814552051561</c:v>
                </c:pt>
              </c:numCache>
            </c:numRef>
          </c:val>
          <c:smooth val="0"/>
          <c:extLst>
            <c:ext xmlns:c16="http://schemas.microsoft.com/office/drawing/2014/chart" uri="{C3380CC4-5D6E-409C-BE32-E72D297353CC}">
              <c16:uniqueId val="{00000009-DA3B-499D-B214-332E702CA692}"/>
            </c:ext>
          </c:extLst>
        </c:ser>
        <c:dLbls>
          <c:showLegendKey val="0"/>
          <c:showVal val="0"/>
          <c:showCatName val="0"/>
          <c:showSerName val="0"/>
          <c:showPercent val="0"/>
          <c:showBubbleSize val="0"/>
        </c:dLbls>
        <c:marker val="1"/>
        <c:smooth val="0"/>
        <c:axId val="548997200"/>
        <c:axId val="333288000"/>
      </c:lineChart>
      <c:catAx>
        <c:axId val="5489972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333288000"/>
        <c:crosses val="autoZero"/>
        <c:auto val="1"/>
        <c:lblAlgn val="ctr"/>
        <c:lblOffset val="100"/>
        <c:noMultiLvlLbl val="0"/>
      </c:catAx>
      <c:valAx>
        <c:axId val="333288000"/>
        <c:scaling>
          <c:orientation val="minMax"/>
          <c:max val="3"/>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cs-CZ" sz="800">
                    <a:solidFill>
                      <a:schemeClr val="tx1"/>
                    </a:solidFill>
                    <a:latin typeface="Arial" panose="020B0604020202020204" pitchFamily="34" charset="0"/>
                    <a:cs typeface="Arial" panose="020B0604020202020204" pitchFamily="34" charset="0"/>
                  </a:rPr>
                  <a:t>% of </a:t>
                </a:r>
                <a:r>
                  <a:rPr lang="cs-CZ" sz="800" baseline="0">
                    <a:solidFill>
                      <a:schemeClr val="tx1"/>
                    </a:solidFill>
                    <a:latin typeface="Arial" panose="020B0604020202020204" pitchFamily="34" charset="0"/>
                    <a:cs typeface="Arial" panose="020B0604020202020204" pitchFamily="34" charset="0"/>
                  </a:rPr>
                  <a:t> GDP</a:t>
                </a:r>
                <a:endParaRPr lang="cs-CZ" sz="800">
                  <a:solidFill>
                    <a:schemeClr val="tx1"/>
                  </a:solidFill>
                  <a:latin typeface="Arial" panose="020B0604020202020204" pitchFamily="34" charset="0"/>
                  <a:cs typeface="Arial" panose="020B0604020202020204" pitchFamily="34" charset="0"/>
                </a:endParaRPr>
              </a:p>
            </c:rich>
          </c:tx>
          <c:layout>
            <c:manualLayout>
              <c:xMode val="edge"/>
              <c:yMode val="edge"/>
              <c:x val="8.3594580109196247E-3"/>
              <c:y val="0.3416895364928043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title>
        <c:numFmt formatCode="0.0" sourceLinked="1"/>
        <c:majorTickMark val="out"/>
        <c:minorTickMark val="none"/>
        <c:tickLblPos val="nextTo"/>
        <c:spPr>
          <a:solidFill>
            <a:sysClr val="window" lastClr="FFFFFF"/>
          </a:solid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54899720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5B5B3-6E6B-43EB-A778-03DF6A08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354</TotalTime>
  <Pages>4</Pages>
  <Words>880</Words>
  <Characters>5192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6060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Houžvičková Helena</cp:lastModifiedBy>
  <cp:revision>93</cp:revision>
  <cp:lastPrinted>2022-09-29T11:25:00Z</cp:lastPrinted>
  <dcterms:created xsi:type="dcterms:W3CDTF">2022-03-31T06:17:00Z</dcterms:created>
  <dcterms:modified xsi:type="dcterms:W3CDTF">2022-09-30T08:11:00Z</dcterms:modified>
</cp:coreProperties>
</file>