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7F4096" w:rsidRDefault="006218C7" w:rsidP="00065E35">
      <w:pPr>
        <w:pStyle w:val="datum0"/>
        <w:rPr>
          <w:lang w:val="en-GB"/>
        </w:rPr>
      </w:pPr>
      <w:r w:rsidRPr="007F4096">
        <w:rPr>
          <w:lang w:val="en-GB"/>
        </w:rPr>
        <w:t>17</w:t>
      </w:r>
      <w:r w:rsidR="00065E35" w:rsidRPr="007F4096">
        <w:rPr>
          <w:lang w:val="en-GB"/>
        </w:rPr>
        <w:t xml:space="preserve"> </w:t>
      </w:r>
      <w:r w:rsidR="00021C88">
        <w:rPr>
          <w:lang w:val="en-GB"/>
        </w:rPr>
        <w:t>August</w:t>
      </w:r>
      <w:r w:rsidR="00065E35" w:rsidRPr="007F4096">
        <w:rPr>
          <w:lang w:val="en-GB"/>
        </w:rPr>
        <w:t xml:space="preserve"> 2020</w:t>
      </w:r>
    </w:p>
    <w:p w:rsidR="00065E35" w:rsidRPr="00A66F22" w:rsidRDefault="00A66F22" w:rsidP="0031681B">
      <w:pPr>
        <w:pStyle w:val="Nzev"/>
      </w:pPr>
      <w:r w:rsidRPr="00A66F22">
        <w:rPr>
          <w:rStyle w:val="Siln"/>
          <w:b/>
          <w:bCs/>
        </w:rPr>
        <w:t xml:space="preserve">Construction work prices continued to grow </w:t>
      </w:r>
      <w:bookmarkStart w:id="0" w:name="_GoBack"/>
      <w:bookmarkEnd w:id="0"/>
      <w:r w:rsidRPr="00A66F22">
        <w:rPr>
          <w:rStyle w:val="Siln"/>
          <w:b/>
          <w:bCs/>
        </w:rPr>
        <w:t>y-o-y</w:t>
      </w:r>
    </w:p>
    <w:p w:rsidR="00065E35" w:rsidRPr="007F4096" w:rsidRDefault="00065E35" w:rsidP="00065E35">
      <w:pPr>
        <w:pStyle w:val="Podtitulek"/>
      </w:pPr>
      <w:r w:rsidRPr="007F4096">
        <w:t xml:space="preserve">Producer price indices – </w:t>
      </w:r>
      <w:r w:rsidR="00543308">
        <w:t>July</w:t>
      </w:r>
      <w:r w:rsidR="004D7B51" w:rsidRPr="007F4096">
        <w:t xml:space="preserve"> </w:t>
      </w:r>
      <w:r w:rsidR="00E5364E" w:rsidRPr="007F4096">
        <w:t>2020</w:t>
      </w:r>
    </w:p>
    <w:p w:rsidR="00065E35" w:rsidRPr="001667E2" w:rsidRDefault="009E74AF" w:rsidP="00065E35">
      <w:pPr>
        <w:pStyle w:val="Perex"/>
        <w:contextualSpacing/>
        <w:rPr>
          <w:bCs/>
        </w:rPr>
      </w:pPr>
      <w:r w:rsidRPr="00D03E7B">
        <w:rPr>
          <w:lang w:eastAsia="cs-CZ"/>
        </w:rPr>
        <w:t xml:space="preserve">Industrial producer prices </w:t>
      </w:r>
      <w:r w:rsidR="001C37A9" w:rsidRPr="00D03E7B">
        <w:rPr>
          <w:lang w:eastAsia="cs-CZ"/>
        </w:rPr>
        <w:t>(+0.1%) and c</w:t>
      </w:r>
      <w:r w:rsidR="00385BAD" w:rsidRPr="00D03E7B">
        <w:rPr>
          <w:lang w:eastAsia="cs-CZ"/>
        </w:rPr>
        <w:t>onstruction work prices</w:t>
      </w:r>
      <w:r w:rsidR="00385BAD" w:rsidRPr="00D03E7B">
        <w:rPr>
          <w:bCs/>
          <w:iCs/>
          <w:szCs w:val="20"/>
        </w:rPr>
        <w:t xml:space="preserve"> </w:t>
      </w:r>
      <w:r w:rsidR="001C37A9" w:rsidRPr="00D03E7B">
        <w:rPr>
          <w:bCs/>
          <w:iCs/>
          <w:szCs w:val="20"/>
        </w:rPr>
        <w:t xml:space="preserve">(+0.2%) both </w:t>
      </w:r>
      <w:r w:rsidR="001C37A9" w:rsidRPr="00D03E7B">
        <w:rPr>
          <w:lang w:eastAsia="cs-CZ"/>
        </w:rPr>
        <w:t xml:space="preserve">went up. </w:t>
      </w:r>
      <w:r w:rsidRPr="00D03E7B">
        <w:rPr>
          <w:lang w:eastAsia="cs-CZ"/>
        </w:rPr>
        <w:t>A</w:t>
      </w:r>
      <w:r w:rsidRPr="002E2356">
        <w:rPr>
          <w:lang w:eastAsia="cs-CZ"/>
        </w:rPr>
        <w:t xml:space="preserve">gricultural producer prices </w:t>
      </w:r>
      <w:r w:rsidR="00385BAD" w:rsidRPr="002E2356">
        <w:rPr>
          <w:lang w:eastAsia="cs-CZ"/>
        </w:rPr>
        <w:t>(-</w:t>
      </w:r>
      <w:r w:rsidR="001C37A9" w:rsidRPr="002E2356">
        <w:rPr>
          <w:lang w:eastAsia="cs-CZ"/>
        </w:rPr>
        <w:t>1</w:t>
      </w:r>
      <w:r w:rsidR="00E45AF9" w:rsidRPr="002E2356">
        <w:rPr>
          <w:lang w:eastAsia="cs-CZ"/>
        </w:rPr>
        <w:t>.</w:t>
      </w:r>
      <w:r w:rsidR="001C37A9" w:rsidRPr="002E2356">
        <w:rPr>
          <w:lang w:eastAsia="cs-CZ"/>
        </w:rPr>
        <w:t>2</w:t>
      </w:r>
      <w:r w:rsidR="008960D9" w:rsidRPr="002E2356">
        <w:rPr>
          <w:lang w:eastAsia="cs-CZ"/>
        </w:rPr>
        <w:t>%) and</w:t>
      </w:r>
      <w:r w:rsidR="00385BAD" w:rsidRPr="002E2356">
        <w:rPr>
          <w:lang w:eastAsia="cs-CZ"/>
        </w:rPr>
        <w:t xml:space="preserve"> s</w:t>
      </w:r>
      <w:r w:rsidR="00385BAD" w:rsidRPr="002E2356">
        <w:rPr>
          <w:bCs/>
          <w:iCs/>
          <w:szCs w:val="20"/>
        </w:rPr>
        <w:t>ervice producer prices in the business sphere</w:t>
      </w:r>
      <w:r w:rsidR="001C37A9" w:rsidRPr="002E2356">
        <w:rPr>
          <w:bCs/>
          <w:iCs/>
          <w:szCs w:val="20"/>
        </w:rPr>
        <w:t xml:space="preserve"> </w:t>
      </w:r>
      <w:r w:rsidR="00385BAD" w:rsidRPr="002E2356">
        <w:rPr>
          <w:lang w:eastAsia="cs-CZ"/>
        </w:rPr>
        <w:t>(-0.</w:t>
      </w:r>
      <w:r w:rsidR="001C37A9" w:rsidRPr="002E2356">
        <w:rPr>
          <w:lang w:eastAsia="cs-CZ"/>
        </w:rPr>
        <w:t>9</w:t>
      </w:r>
      <w:r w:rsidR="00385BAD" w:rsidRPr="002E2356">
        <w:rPr>
          <w:lang w:eastAsia="cs-CZ"/>
        </w:rPr>
        <w:t>%) both went down</w:t>
      </w:r>
      <w:r w:rsidR="00065E35" w:rsidRPr="002E2356">
        <w:rPr>
          <w:lang w:eastAsia="cs-CZ"/>
        </w:rPr>
        <w:t>, month-on-month</w:t>
      </w:r>
      <w:r w:rsidR="008B538D" w:rsidRPr="002E2356">
        <w:rPr>
          <w:lang w:eastAsia="cs-CZ"/>
        </w:rPr>
        <w:t>.</w:t>
      </w:r>
      <w:r w:rsidR="00065E35" w:rsidRPr="002E2356">
        <w:rPr>
          <w:lang w:eastAsia="cs-CZ"/>
        </w:rPr>
        <w:t xml:space="preserve"> </w:t>
      </w:r>
      <w:r w:rsidR="004C3731" w:rsidRPr="002E2356">
        <w:rPr>
          <w:lang w:eastAsia="cs-CZ"/>
        </w:rPr>
        <w:t xml:space="preserve">From the </w:t>
      </w:r>
      <w:r w:rsidR="00065E35" w:rsidRPr="002E2356">
        <w:rPr>
          <w:lang w:eastAsia="cs-CZ"/>
        </w:rPr>
        <w:t xml:space="preserve">year-on-year perspective, </w:t>
      </w:r>
      <w:r w:rsidR="00065E35" w:rsidRPr="00A737BD">
        <w:rPr>
          <w:lang w:eastAsia="cs-CZ"/>
        </w:rPr>
        <w:t>agricultura</w:t>
      </w:r>
      <w:r w:rsidR="007D7B4A" w:rsidRPr="00A737BD">
        <w:rPr>
          <w:lang w:eastAsia="cs-CZ"/>
        </w:rPr>
        <w:t xml:space="preserve">l producer prices decreased by </w:t>
      </w:r>
      <w:r w:rsidR="00C67CDA" w:rsidRPr="00A737BD">
        <w:rPr>
          <w:lang w:eastAsia="cs-CZ"/>
        </w:rPr>
        <w:t>4</w:t>
      </w:r>
      <w:r w:rsidR="00065E35" w:rsidRPr="00A737BD">
        <w:rPr>
          <w:lang w:eastAsia="cs-CZ"/>
        </w:rPr>
        <w:t>.</w:t>
      </w:r>
      <w:r w:rsidR="002E2356" w:rsidRPr="00A737BD">
        <w:rPr>
          <w:lang w:eastAsia="cs-CZ"/>
        </w:rPr>
        <w:t>1</w:t>
      </w:r>
      <w:r w:rsidR="00EF0064" w:rsidRPr="00A737BD">
        <w:rPr>
          <w:lang w:eastAsia="cs-CZ"/>
        </w:rPr>
        <w:t>% and i</w:t>
      </w:r>
      <w:r w:rsidR="007D501C" w:rsidRPr="00A737BD">
        <w:rPr>
          <w:lang w:eastAsia="cs-CZ"/>
        </w:rPr>
        <w:t xml:space="preserve">ndustrial producer prices </w:t>
      </w:r>
      <w:r w:rsidR="002E2356" w:rsidRPr="00A737BD">
        <w:rPr>
          <w:lang w:eastAsia="cs-CZ"/>
        </w:rPr>
        <w:t>fell by 0.1</w:t>
      </w:r>
      <w:r w:rsidR="00EF0064" w:rsidRPr="00A737BD">
        <w:rPr>
          <w:lang w:eastAsia="cs-CZ"/>
        </w:rPr>
        <w:t>%.</w:t>
      </w:r>
      <w:r w:rsidR="008D156B" w:rsidRPr="00A737BD">
        <w:rPr>
          <w:lang w:eastAsia="cs-CZ"/>
        </w:rPr>
        <w:t xml:space="preserve"> C</w:t>
      </w:r>
      <w:r w:rsidR="00065E35" w:rsidRPr="00A737BD">
        <w:rPr>
          <w:lang w:eastAsia="cs-CZ"/>
        </w:rPr>
        <w:t>ons</w:t>
      </w:r>
      <w:r w:rsidR="00A737BD" w:rsidRPr="00A737BD">
        <w:rPr>
          <w:lang w:eastAsia="cs-CZ"/>
        </w:rPr>
        <w:t>truction work prices (+3</w:t>
      </w:r>
      <w:r w:rsidR="00120D30" w:rsidRPr="00A737BD">
        <w:rPr>
          <w:lang w:eastAsia="cs-CZ"/>
        </w:rPr>
        <w:t>.</w:t>
      </w:r>
      <w:r w:rsidR="00A737BD" w:rsidRPr="00A737BD">
        <w:rPr>
          <w:lang w:eastAsia="cs-CZ"/>
        </w:rPr>
        <w:t>8</w:t>
      </w:r>
      <w:r w:rsidR="00065E35" w:rsidRPr="00A737BD">
        <w:rPr>
          <w:lang w:eastAsia="cs-CZ"/>
        </w:rPr>
        <w:t xml:space="preserve">%) and </w:t>
      </w:r>
      <w:r w:rsidR="00065E35" w:rsidRPr="00A737BD">
        <w:rPr>
          <w:bCs/>
          <w:iCs/>
          <w:szCs w:val="20"/>
        </w:rPr>
        <w:t>service producer pri</w:t>
      </w:r>
      <w:r w:rsidR="00FE0EE4" w:rsidRPr="00A737BD">
        <w:rPr>
          <w:bCs/>
          <w:iCs/>
          <w:szCs w:val="20"/>
        </w:rPr>
        <w:t xml:space="preserve">ces in the business </w:t>
      </w:r>
      <w:r w:rsidR="00FE0EE4" w:rsidRPr="001667E2">
        <w:rPr>
          <w:bCs/>
          <w:iCs/>
          <w:szCs w:val="20"/>
        </w:rPr>
        <w:t>sphere (+2.</w:t>
      </w:r>
      <w:r w:rsidR="00B81DEF" w:rsidRPr="001667E2">
        <w:rPr>
          <w:bCs/>
          <w:iCs/>
          <w:szCs w:val="20"/>
        </w:rPr>
        <w:t>1</w:t>
      </w:r>
      <w:r w:rsidR="00065E35" w:rsidRPr="001667E2">
        <w:rPr>
          <w:bCs/>
          <w:iCs/>
          <w:szCs w:val="20"/>
        </w:rPr>
        <w:t xml:space="preserve">%) </w:t>
      </w:r>
      <w:r w:rsidR="00065E35" w:rsidRPr="001667E2">
        <w:rPr>
          <w:lang w:eastAsia="cs-CZ"/>
        </w:rPr>
        <w:t>increased.</w:t>
      </w:r>
      <w:r w:rsidR="00065E35" w:rsidRPr="001667E2">
        <w:rPr>
          <w:bCs/>
        </w:rPr>
        <w:t xml:space="preserve"> </w:t>
      </w:r>
    </w:p>
    <w:p w:rsidR="00065E35" w:rsidRPr="00F00D43" w:rsidRDefault="00065E35" w:rsidP="00065E35">
      <w:pPr>
        <w:pStyle w:val="Nadpis1"/>
        <w:spacing w:after="120"/>
        <w:jc w:val="both"/>
      </w:pPr>
      <w:r w:rsidRPr="001667E2">
        <w:t xml:space="preserve">Month-on-month </w:t>
      </w:r>
      <w:r w:rsidRPr="00F00D43">
        <w:t>comparison</w:t>
      </w:r>
    </w:p>
    <w:p w:rsidR="00065E35" w:rsidRPr="00411E65" w:rsidRDefault="00065E35" w:rsidP="00065E35">
      <w:pPr>
        <w:rPr>
          <w:color w:val="FF0000"/>
          <w:szCs w:val="20"/>
          <w:lang w:val="en-GB"/>
        </w:rPr>
      </w:pPr>
      <w:r w:rsidRPr="00F00D43">
        <w:rPr>
          <w:b/>
          <w:szCs w:val="20"/>
          <w:lang w:val="en-GB"/>
        </w:rPr>
        <w:t>Agricultural producer prices</w:t>
      </w:r>
      <w:r w:rsidR="001667E2" w:rsidRPr="00F00D43">
        <w:rPr>
          <w:szCs w:val="20"/>
          <w:lang w:val="en-GB"/>
        </w:rPr>
        <w:t xml:space="preserve"> fell</w:t>
      </w:r>
      <w:r w:rsidRPr="00F00D43">
        <w:rPr>
          <w:szCs w:val="20"/>
          <w:lang w:val="en-GB"/>
        </w:rPr>
        <w:t xml:space="preserve"> </w:t>
      </w:r>
      <w:r w:rsidR="001667E2" w:rsidRPr="00F00D43">
        <w:rPr>
          <w:szCs w:val="20"/>
          <w:lang w:val="en-GB"/>
        </w:rPr>
        <w:t>by 1</w:t>
      </w:r>
      <w:r w:rsidRPr="00F00D43">
        <w:rPr>
          <w:szCs w:val="20"/>
          <w:lang w:val="en-GB"/>
        </w:rPr>
        <w:t>.</w:t>
      </w:r>
      <w:r w:rsidR="001667E2" w:rsidRPr="00F00D43">
        <w:rPr>
          <w:szCs w:val="20"/>
          <w:lang w:val="en-GB"/>
        </w:rPr>
        <w:t>2</w:t>
      </w:r>
      <w:r w:rsidRPr="00F00D43">
        <w:rPr>
          <w:szCs w:val="20"/>
          <w:lang w:val="en-GB"/>
        </w:rPr>
        <w:t>%.</w:t>
      </w:r>
      <w:r w:rsidR="004C3655" w:rsidRPr="00F00D43">
        <w:rPr>
          <w:szCs w:val="20"/>
          <w:lang w:val="en-GB"/>
        </w:rPr>
        <w:t xml:space="preserve"> Prices of </w:t>
      </w:r>
      <w:r w:rsidR="00020F89" w:rsidRPr="00F00D43">
        <w:rPr>
          <w:szCs w:val="20"/>
          <w:lang w:val="en-GB"/>
        </w:rPr>
        <w:t>potatoes</w:t>
      </w:r>
      <w:r w:rsidR="007224DE" w:rsidRPr="00F00D43">
        <w:rPr>
          <w:szCs w:val="20"/>
          <w:lang w:val="en-GB"/>
        </w:rPr>
        <w:t xml:space="preserve"> </w:t>
      </w:r>
      <w:r w:rsidR="00113A4B" w:rsidRPr="00F00D43">
        <w:rPr>
          <w:szCs w:val="20"/>
          <w:lang w:val="en-GB"/>
        </w:rPr>
        <w:t>(</w:t>
      </w:r>
      <w:r w:rsidR="00020F89" w:rsidRPr="00F00D43">
        <w:rPr>
          <w:szCs w:val="20"/>
          <w:lang w:val="en-GB"/>
        </w:rPr>
        <w:t>-24</w:t>
      </w:r>
      <w:r w:rsidR="00113A4B" w:rsidRPr="00F00D43">
        <w:rPr>
          <w:szCs w:val="20"/>
          <w:lang w:val="en-GB"/>
        </w:rPr>
        <w:t>.</w:t>
      </w:r>
      <w:r w:rsidR="00020F89" w:rsidRPr="00F00D43">
        <w:rPr>
          <w:szCs w:val="20"/>
          <w:lang w:val="en-GB"/>
        </w:rPr>
        <w:t>3</w:t>
      </w:r>
      <w:r w:rsidR="00F2414E" w:rsidRPr="00F00D43">
        <w:rPr>
          <w:szCs w:val="20"/>
          <w:lang w:val="en-GB"/>
        </w:rPr>
        <w:t>%)</w:t>
      </w:r>
      <w:r w:rsidR="00020F89" w:rsidRPr="00F00D43">
        <w:rPr>
          <w:szCs w:val="20"/>
          <w:lang w:val="en-GB"/>
        </w:rPr>
        <w:t xml:space="preserve">, poultry (-3.6%) </w:t>
      </w:r>
      <w:r w:rsidR="00F2414E" w:rsidRPr="00F00D43">
        <w:rPr>
          <w:szCs w:val="20"/>
          <w:lang w:val="en-GB"/>
        </w:rPr>
        <w:t xml:space="preserve">and </w:t>
      </w:r>
      <w:r w:rsidR="00F00D43" w:rsidRPr="00F00D43">
        <w:rPr>
          <w:szCs w:val="20"/>
          <w:lang w:val="en-GB"/>
        </w:rPr>
        <w:t xml:space="preserve">pigs for </w:t>
      </w:r>
      <w:r w:rsidR="00F00D43" w:rsidRPr="00C907E3">
        <w:rPr>
          <w:szCs w:val="20"/>
          <w:lang w:val="en-GB"/>
        </w:rPr>
        <w:t>slaughter</w:t>
      </w:r>
      <w:r w:rsidR="00020F89" w:rsidRPr="00C907E3">
        <w:rPr>
          <w:szCs w:val="20"/>
          <w:lang w:val="en-GB"/>
        </w:rPr>
        <w:t xml:space="preserve"> (-</w:t>
      </w:r>
      <w:r w:rsidR="00856A32" w:rsidRPr="00C907E3">
        <w:rPr>
          <w:szCs w:val="20"/>
          <w:lang w:val="en-GB"/>
        </w:rPr>
        <w:t>3</w:t>
      </w:r>
      <w:r w:rsidRPr="00C907E3">
        <w:rPr>
          <w:szCs w:val="20"/>
          <w:lang w:val="en-GB"/>
        </w:rPr>
        <w:t>.</w:t>
      </w:r>
      <w:r w:rsidR="00F2414E" w:rsidRPr="00C907E3">
        <w:rPr>
          <w:szCs w:val="20"/>
          <w:lang w:val="en-GB"/>
        </w:rPr>
        <w:t>5</w:t>
      </w:r>
      <w:r w:rsidR="00104B3A" w:rsidRPr="00C907E3">
        <w:rPr>
          <w:szCs w:val="20"/>
          <w:lang w:val="en-GB"/>
        </w:rPr>
        <w:t>%)</w:t>
      </w:r>
      <w:r w:rsidR="00F2414E" w:rsidRPr="00C907E3">
        <w:rPr>
          <w:szCs w:val="20"/>
          <w:lang w:val="en-GB"/>
        </w:rPr>
        <w:t xml:space="preserve"> </w:t>
      </w:r>
      <w:r w:rsidR="00104B3A" w:rsidRPr="00C907E3">
        <w:rPr>
          <w:szCs w:val="20"/>
          <w:lang w:val="en-GB"/>
        </w:rPr>
        <w:t xml:space="preserve">were </w:t>
      </w:r>
      <w:r w:rsidR="00F00D43" w:rsidRPr="00C907E3">
        <w:rPr>
          <w:szCs w:val="20"/>
          <w:lang w:val="en-GB"/>
        </w:rPr>
        <w:t>lower</w:t>
      </w:r>
      <w:r w:rsidR="005C74B7" w:rsidRPr="00C907E3">
        <w:rPr>
          <w:szCs w:val="20"/>
          <w:lang w:val="en-GB"/>
        </w:rPr>
        <w:t>.</w:t>
      </w:r>
      <w:r w:rsidR="006E12B6" w:rsidRPr="00C907E3">
        <w:rPr>
          <w:szCs w:val="20"/>
          <w:lang w:val="en-GB"/>
        </w:rPr>
        <w:t xml:space="preserve"> </w:t>
      </w:r>
      <w:r w:rsidR="0098438B" w:rsidRPr="00C907E3">
        <w:rPr>
          <w:szCs w:val="20"/>
          <w:lang w:val="en-GB"/>
        </w:rPr>
        <w:t xml:space="preserve">On the </w:t>
      </w:r>
      <w:r w:rsidR="00592547" w:rsidRPr="00C907E3">
        <w:rPr>
          <w:szCs w:val="20"/>
          <w:lang w:val="en-GB"/>
        </w:rPr>
        <w:t>de</w:t>
      </w:r>
      <w:r w:rsidR="00F947DF" w:rsidRPr="00C907E3">
        <w:rPr>
          <w:szCs w:val="20"/>
          <w:lang w:val="en-GB"/>
        </w:rPr>
        <w:t>crease</w:t>
      </w:r>
      <w:r w:rsidR="005C74B7" w:rsidRPr="00C907E3">
        <w:rPr>
          <w:szCs w:val="20"/>
          <w:lang w:val="en-GB"/>
        </w:rPr>
        <w:t xml:space="preserve"> </w:t>
      </w:r>
      <w:r w:rsidR="001B2F48" w:rsidRPr="00C907E3">
        <w:rPr>
          <w:szCs w:val="20"/>
          <w:lang w:val="en-GB"/>
        </w:rPr>
        <w:t xml:space="preserve">also </w:t>
      </w:r>
      <w:r w:rsidR="0098438B" w:rsidRPr="00C907E3">
        <w:rPr>
          <w:szCs w:val="20"/>
          <w:lang w:val="en-GB"/>
        </w:rPr>
        <w:t>were</w:t>
      </w:r>
      <w:r w:rsidR="00F947DF" w:rsidRPr="00C907E3">
        <w:rPr>
          <w:szCs w:val="20"/>
          <w:lang w:val="en-GB"/>
        </w:rPr>
        <w:t xml:space="preserve"> </w:t>
      </w:r>
      <w:r w:rsidR="0098438B" w:rsidRPr="00C907E3">
        <w:rPr>
          <w:szCs w:val="20"/>
          <w:lang w:val="en-GB"/>
        </w:rPr>
        <w:t>prices</w:t>
      </w:r>
      <w:r w:rsidR="005C74B7" w:rsidRPr="00C907E3">
        <w:rPr>
          <w:szCs w:val="20"/>
          <w:lang w:val="en-GB"/>
        </w:rPr>
        <w:t xml:space="preserve"> </w:t>
      </w:r>
      <w:r w:rsidR="0098438B" w:rsidRPr="00C907E3">
        <w:rPr>
          <w:szCs w:val="20"/>
          <w:lang w:val="en-GB"/>
        </w:rPr>
        <w:t xml:space="preserve">of </w:t>
      </w:r>
      <w:r w:rsidR="001B2F48" w:rsidRPr="00C907E3">
        <w:rPr>
          <w:szCs w:val="20"/>
          <w:lang w:val="en-GB"/>
        </w:rPr>
        <w:t xml:space="preserve">cereals (-2.4%) and milk (-0.8%). On the increase were prices of oleaginous crops </w:t>
      </w:r>
      <w:r w:rsidR="00F947DF" w:rsidRPr="00C907E3">
        <w:rPr>
          <w:szCs w:val="20"/>
          <w:lang w:val="en-GB"/>
        </w:rPr>
        <w:t>(</w:t>
      </w:r>
      <w:r w:rsidR="001B2F48" w:rsidRPr="00C907E3">
        <w:rPr>
          <w:szCs w:val="20"/>
          <w:lang w:val="en-GB"/>
        </w:rPr>
        <w:t>+</w:t>
      </w:r>
      <w:r w:rsidR="007526F1" w:rsidRPr="00C907E3">
        <w:rPr>
          <w:szCs w:val="20"/>
          <w:lang w:val="en-GB"/>
        </w:rPr>
        <w:t>1</w:t>
      </w:r>
      <w:r w:rsidR="00E37BA2" w:rsidRPr="00C907E3">
        <w:rPr>
          <w:szCs w:val="20"/>
          <w:lang w:val="en-GB"/>
        </w:rPr>
        <w:t>.</w:t>
      </w:r>
      <w:r w:rsidR="005D41B3" w:rsidRPr="00C907E3">
        <w:rPr>
          <w:szCs w:val="20"/>
          <w:lang w:val="en-GB"/>
        </w:rPr>
        <w:t>3</w:t>
      </w:r>
      <w:r w:rsidR="0023005D" w:rsidRPr="00C907E3">
        <w:rPr>
          <w:szCs w:val="20"/>
          <w:lang w:val="en-GB"/>
        </w:rPr>
        <w:t>%),</w:t>
      </w:r>
      <w:r w:rsidR="00C907E3" w:rsidRPr="00C907E3">
        <w:rPr>
          <w:szCs w:val="20"/>
          <w:lang w:val="en-GB"/>
        </w:rPr>
        <w:t xml:space="preserve"> </w:t>
      </w:r>
      <w:r w:rsidR="00AC74FC" w:rsidRPr="00C907E3">
        <w:rPr>
          <w:szCs w:val="20"/>
          <w:lang w:val="en-GB"/>
        </w:rPr>
        <w:t>eggs</w:t>
      </w:r>
      <w:r w:rsidR="00E226A1" w:rsidRPr="00C907E3">
        <w:rPr>
          <w:szCs w:val="20"/>
          <w:lang w:val="en-GB"/>
        </w:rPr>
        <w:t xml:space="preserve"> (</w:t>
      </w:r>
      <w:r w:rsidR="00C907E3" w:rsidRPr="00C907E3">
        <w:rPr>
          <w:szCs w:val="20"/>
          <w:lang w:val="en-GB"/>
        </w:rPr>
        <w:t>+1</w:t>
      </w:r>
      <w:r w:rsidR="00FB4071" w:rsidRPr="00C907E3">
        <w:rPr>
          <w:szCs w:val="20"/>
          <w:lang w:val="en-GB"/>
        </w:rPr>
        <w:t>.</w:t>
      </w:r>
      <w:r w:rsidR="00AC74FC" w:rsidRPr="00C907E3">
        <w:rPr>
          <w:szCs w:val="20"/>
          <w:lang w:val="en-GB"/>
        </w:rPr>
        <w:t>5</w:t>
      </w:r>
      <w:r w:rsidR="00044627" w:rsidRPr="00C907E3">
        <w:rPr>
          <w:szCs w:val="20"/>
          <w:lang w:val="en-GB"/>
        </w:rPr>
        <w:t>%)</w:t>
      </w:r>
      <w:r w:rsidR="00C907E3" w:rsidRPr="00C907E3">
        <w:rPr>
          <w:szCs w:val="20"/>
          <w:lang w:val="en-GB"/>
        </w:rPr>
        <w:t xml:space="preserve"> and</w:t>
      </w:r>
      <w:r w:rsidR="00DC1A8F" w:rsidRPr="00C907E3">
        <w:rPr>
          <w:szCs w:val="20"/>
          <w:lang w:val="en-GB"/>
        </w:rPr>
        <w:t xml:space="preserve"> </w:t>
      </w:r>
      <w:r w:rsidR="00C907E3" w:rsidRPr="00C907E3">
        <w:rPr>
          <w:szCs w:val="20"/>
          <w:lang w:val="en-GB"/>
        </w:rPr>
        <w:t>cattle for slaughter (+1.7%).</w:t>
      </w:r>
    </w:p>
    <w:p w:rsidR="00FC57F8" w:rsidRPr="00A74196" w:rsidRDefault="00FC57F8" w:rsidP="00065E35">
      <w:pPr>
        <w:rPr>
          <w:bCs/>
          <w:color w:val="FF0000"/>
          <w:szCs w:val="20"/>
          <w:lang w:val="en-GB"/>
        </w:rPr>
      </w:pPr>
    </w:p>
    <w:p w:rsidR="00032329" w:rsidRPr="00A74196" w:rsidRDefault="00A74196" w:rsidP="00065E35">
      <w:pPr>
        <w:rPr>
          <w:szCs w:val="20"/>
          <w:lang w:val="en-GB"/>
        </w:rPr>
      </w:pPr>
      <w:r w:rsidRPr="00A74196">
        <w:rPr>
          <w:szCs w:val="20"/>
          <w:lang w:val="en-GB"/>
        </w:rPr>
        <w:t xml:space="preserve">Prices of </w:t>
      </w:r>
      <w:r w:rsidRPr="00A74196">
        <w:rPr>
          <w:b/>
          <w:szCs w:val="20"/>
          <w:lang w:val="en-GB"/>
        </w:rPr>
        <w:t xml:space="preserve">industrial producers </w:t>
      </w:r>
      <w:r w:rsidRPr="00A74196">
        <w:rPr>
          <w:szCs w:val="20"/>
          <w:lang w:val="en-GB"/>
        </w:rPr>
        <w:t>increased by 0.1%. Prices rose in ‘coke, refined petroleum products’. Prices were higher in ‘chemicals and chemical products’ (+1.9%). Prices fell in 'basic metals, fabricated metal products’ (-0.9%) and ‘transport equipment’ (-0.6%). On the decrease were also prices in ‘food products, beverages, tobacco’ (-0.3%), there of ‘preserved meat and meat products’ (-1.6%), on the other hand, prices rose in ‘dairy products’ (+0.8%).</w:t>
      </w:r>
    </w:p>
    <w:p w:rsidR="00A74196" w:rsidRPr="00A74196" w:rsidRDefault="00A74196" w:rsidP="00065E35">
      <w:pPr>
        <w:rPr>
          <w:bCs/>
          <w:szCs w:val="20"/>
          <w:lang w:val="en-GB"/>
        </w:rPr>
      </w:pPr>
    </w:p>
    <w:p w:rsidR="00065E35" w:rsidRPr="00A74196" w:rsidRDefault="00065E35" w:rsidP="00065E35">
      <w:pPr>
        <w:rPr>
          <w:strike/>
          <w:szCs w:val="20"/>
          <w:lang w:val="en-GB"/>
        </w:rPr>
      </w:pPr>
      <w:r w:rsidRPr="00A74196">
        <w:rPr>
          <w:bCs/>
          <w:szCs w:val="20"/>
          <w:lang w:val="en-GB"/>
        </w:rPr>
        <w:t>According to an estimate,</w:t>
      </w:r>
      <w:r w:rsidRPr="00A74196">
        <w:rPr>
          <w:b/>
          <w:bCs/>
          <w:szCs w:val="20"/>
          <w:lang w:val="en-GB"/>
        </w:rPr>
        <w:t xml:space="preserve"> construction work</w:t>
      </w:r>
      <w:r w:rsidRPr="00A74196">
        <w:rPr>
          <w:b/>
          <w:szCs w:val="20"/>
          <w:lang w:val="en-GB"/>
        </w:rPr>
        <w:t xml:space="preserve"> prices</w:t>
      </w:r>
      <w:r w:rsidR="00B767A5" w:rsidRPr="00A74196">
        <w:rPr>
          <w:szCs w:val="20"/>
          <w:lang w:val="en-GB"/>
        </w:rPr>
        <w:t xml:space="preserve"> </w:t>
      </w:r>
      <w:r w:rsidR="000E5489" w:rsidRPr="00A74196">
        <w:rPr>
          <w:szCs w:val="20"/>
          <w:lang w:val="en-GB"/>
        </w:rPr>
        <w:t xml:space="preserve">grew by 0.2% </w:t>
      </w:r>
      <w:r w:rsidR="003660D9" w:rsidRPr="00A74196">
        <w:rPr>
          <w:szCs w:val="20"/>
          <w:lang w:val="en-GB"/>
        </w:rPr>
        <w:t>and prices of </w:t>
      </w:r>
      <w:r w:rsidRPr="00A74196">
        <w:rPr>
          <w:szCs w:val="20"/>
          <w:lang w:val="en-GB"/>
        </w:rPr>
        <w:t>construction material and products input</w:t>
      </w:r>
      <w:r w:rsidR="00D839B8" w:rsidRPr="00A74196">
        <w:rPr>
          <w:szCs w:val="20"/>
          <w:lang w:val="en-GB"/>
        </w:rPr>
        <w:t xml:space="preserve"> dropped</w:t>
      </w:r>
      <w:r w:rsidR="00FE29F4" w:rsidRPr="00A74196">
        <w:rPr>
          <w:szCs w:val="20"/>
          <w:lang w:val="en-GB"/>
        </w:rPr>
        <w:t xml:space="preserve"> by 0.1</w:t>
      </w:r>
      <w:r w:rsidR="00B767A5" w:rsidRPr="00A74196">
        <w:rPr>
          <w:szCs w:val="20"/>
          <w:lang w:val="en-GB"/>
        </w:rPr>
        <w:t>%</w:t>
      </w:r>
      <w:r w:rsidRPr="00A74196">
        <w:rPr>
          <w:szCs w:val="20"/>
          <w:lang w:val="en-GB"/>
        </w:rPr>
        <w:t>.</w:t>
      </w:r>
    </w:p>
    <w:p w:rsidR="00065E35" w:rsidRPr="00A74196" w:rsidRDefault="00065E35" w:rsidP="00065E35">
      <w:pPr>
        <w:rPr>
          <w:b/>
          <w:szCs w:val="20"/>
          <w:lang w:val="en-GB"/>
        </w:rPr>
      </w:pPr>
    </w:p>
    <w:p w:rsidR="00065E35" w:rsidRPr="00A74196" w:rsidRDefault="00065E35" w:rsidP="00065E35">
      <w:pPr>
        <w:rPr>
          <w:color w:val="FF0000"/>
          <w:szCs w:val="20"/>
          <w:lang w:val="en-GB"/>
        </w:rPr>
      </w:pPr>
      <w:r w:rsidRPr="00A74196">
        <w:rPr>
          <w:rFonts w:cs="Arial"/>
          <w:b/>
          <w:bCs/>
          <w:iCs/>
          <w:szCs w:val="20"/>
          <w:lang w:val="en-GB"/>
        </w:rPr>
        <w:t>Service producer prices in the business sphere</w:t>
      </w:r>
      <w:r w:rsidR="00FB6E90" w:rsidRPr="00A74196">
        <w:rPr>
          <w:szCs w:val="20"/>
          <w:lang w:val="en-GB"/>
        </w:rPr>
        <w:t xml:space="preserve"> went down</w:t>
      </w:r>
      <w:r w:rsidR="00791A88" w:rsidRPr="00A74196">
        <w:rPr>
          <w:szCs w:val="20"/>
          <w:lang w:val="en-GB"/>
        </w:rPr>
        <w:t xml:space="preserve"> by 0</w:t>
      </w:r>
      <w:r w:rsidR="00A97A6D" w:rsidRPr="00A74196">
        <w:rPr>
          <w:szCs w:val="20"/>
          <w:lang w:val="en-GB"/>
        </w:rPr>
        <w:t>.</w:t>
      </w:r>
      <w:r w:rsidR="00FB6E90" w:rsidRPr="00A74196">
        <w:rPr>
          <w:szCs w:val="20"/>
          <w:lang w:val="en-GB"/>
        </w:rPr>
        <w:t>9</w:t>
      </w:r>
      <w:r w:rsidRPr="00A74196">
        <w:rPr>
          <w:szCs w:val="20"/>
          <w:lang w:val="en-GB"/>
        </w:rPr>
        <w:t>%.</w:t>
      </w:r>
      <w:r w:rsidR="00383473" w:rsidRPr="00A74196">
        <w:rPr>
          <w:szCs w:val="20"/>
          <w:lang w:val="en-GB"/>
        </w:rPr>
        <w:t xml:space="preserve"> Prices for </w:t>
      </w:r>
      <w:r w:rsidR="00724A17" w:rsidRPr="00A74196">
        <w:rPr>
          <w:szCs w:val="20"/>
          <w:lang w:val="en-GB"/>
        </w:rPr>
        <w:t>‘advertising and market research services’ (-17.4%)</w:t>
      </w:r>
      <w:r w:rsidR="00821548" w:rsidRPr="00A74196">
        <w:rPr>
          <w:szCs w:val="20"/>
          <w:lang w:val="en-GB"/>
        </w:rPr>
        <w:t xml:space="preserve"> and ‘management consulting services’ (-0.7%) decreased.</w:t>
      </w:r>
      <w:r w:rsidR="00724A17" w:rsidRPr="00A74196">
        <w:rPr>
          <w:szCs w:val="20"/>
          <w:lang w:val="en-GB"/>
        </w:rPr>
        <w:t xml:space="preserve"> </w:t>
      </w:r>
      <w:r w:rsidR="00EC70D6" w:rsidRPr="00A74196">
        <w:rPr>
          <w:szCs w:val="20"/>
          <w:lang w:val="en-GB"/>
        </w:rPr>
        <w:t>Increasing were prices of ‘computer programming, consultancy and related services’ (+0.9%)</w:t>
      </w:r>
      <w:r w:rsidR="00EC6995" w:rsidRPr="00A74196">
        <w:rPr>
          <w:szCs w:val="20"/>
          <w:lang w:val="en-GB"/>
        </w:rPr>
        <w:t xml:space="preserve"> and </w:t>
      </w:r>
      <w:r w:rsidR="006A1D34" w:rsidRPr="00A74196">
        <w:rPr>
          <w:szCs w:val="20"/>
          <w:lang w:val="en-GB"/>
        </w:rPr>
        <w:t>‘</w:t>
      </w:r>
      <w:r w:rsidR="00BD0B61" w:rsidRPr="00A74196">
        <w:rPr>
          <w:szCs w:val="20"/>
          <w:lang w:val="en-GB"/>
        </w:rPr>
        <w:t>warehousing and support services for transportation</w:t>
      </w:r>
      <w:r w:rsidR="006A1D34" w:rsidRPr="00A74196">
        <w:rPr>
          <w:szCs w:val="20"/>
          <w:lang w:val="en-GB"/>
        </w:rPr>
        <w:t>’ (</w:t>
      </w:r>
      <w:r w:rsidR="00EC6995" w:rsidRPr="00A74196">
        <w:rPr>
          <w:szCs w:val="20"/>
          <w:lang w:val="en-GB"/>
        </w:rPr>
        <w:t>+</w:t>
      </w:r>
      <w:r w:rsidR="008C0B4A" w:rsidRPr="00A74196">
        <w:rPr>
          <w:szCs w:val="20"/>
          <w:lang w:val="en-GB"/>
        </w:rPr>
        <w:t>0</w:t>
      </w:r>
      <w:r w:rsidR="00A0539C" w:rsidRPr="00A74196">
        <w:rPr>
          <w:szCs w:val="20"/>
          <w:lang w:val="en-GB"/>
        </w:rPr>
        <w:t>.</w:t>
      </w:r>
      <w:r w:rsidR="00EC6995" w:rsidRPr="00A74196">
        <w:rPr>
          <w:szCs w:val="20"/>
          <w:lang w:val="en-GB"/>
        </w:rPr>
        <w:t>7</w:t>
      </w:r>
      <w:r w:rsidR="00A0539C" w:rsidRPr="00A74196">
        <w:rPr>
          <w:szCs w:val="20"/>
          <w:lang w:val="en-GB"/>
        </w:rPr>
        <w:t>%)</w:t>
      </w:r>
      <w:r w:rsidRPr="00A74196">
        <w:rPr>
          <w:szCs w:val="20"/>
          <w:lang w:val="en-GB"/>
        </w:rPr>
        <w:t>.</w:t>
      </w:r>
      <w:r w:rsidR="00F737BC" w:rsidRPr="00A74196">
        <w:rPr>
          <w:szCs w:val="20"/>
          <w:lang w:val="en-GB"/>
        </w:rPr>
        <w:t xml:space="preserve"> </w:t>
      </w:r>
      <w:r w:rsidR="004A23D1" w:rsidRPr="00A74196">
        <w:rPr>
          <w:szCs w:val="20"/>
          <w:lang w:val="en-GB"/>
        </w:rPr>
        <w:t>P</w:t>
      </w:r>
      <w:r w:rsidRPr="00A74196">
        <w:rPr>
          <w:szCs w:val="20"/>
          <w:lang w:val="en-GB"/>
        </w:rPr>
        <w:t>rice</w:t>
      </w:r>
      <w:r w:rsidR="006300B4" w:rsidRPr="00A74196">
        <w:rPr>
          <w:szCs w:val="20"/>
          <w:lang w:val="en-GB"/>
        </w:rPr>
        <w:t>s</w:t>
      </w:r>
      <w:r w:rsidR="008B5029" w:rsidRPr="00A74196">
        <w:rPr>
          <w:szCs w:val="20"/>
          <w:lang w:val="en-GB"/>
        </w:rPr>
        <w:t xml:space="preserve"> </w:t>
      </w:r>
      <w:r w:rsidR="00186752" w:rsidRPr="00A74196">
        <w:rPr>
          <w:szCs w:val="20"/>
          <w:lang w:val="en-GB"/>
        </w:rPr>
        <w:t>of</w:t>
      </w:r>
      <w:r w:rsidR="008579AB" w:rsidRPr="00A74196">
        <w:rPr>
          <w:szCs w:val="20"/>
          <w:lang w:val="en-GB"/>
        </w:rPr>
        <w:t xml:space="preserve"> </w:t>
      </w:r>
      <w:r w:rsidR="00021356" w:rsidRPr="00A74196">
        <w:rPr>
          <w:szCs w:val="20"/>
          <w:lang w:val="en-GB"/>
        </w:rPr>
        <w:t>‘</w:t>
      </w:r>
      <w:r w:rsidR="004A23D1" w:rsidRPr="00A74196">
        <w:rPr>
          <w:szCs w:val="20"/>
          <w:lang w:val="en-GB"/>
        </w:rPr>
        <w:t xml:space="preserve">publishing services’, </w:t>
      </w:r>
      <w:r w:rsidR="00021356" w:rsidRPr="00A74196">
        <w:rPr>
          <w:szCs w:val="20"/>
          <w:lang w:val="en-GB"/>
        </w:rPr>
        <w:t>‘</w:t>
      </w:r>
      <w:r w:rsidR="004A23D1" w:rsidRPr="00A74196">
        <w:rPr>
          <w:szCs w:val="20"/>
          <w:lang w:val="en-GB"/>
        </w:rPr>
        <w:t>real estate services</w:t>
      </w:r>
      <w:r w:rsidR="00021356" w:rsidRPr="00A74196">
        <w:rPr>
          <w:szCs w:val="20"/>
          <w:lang w:val="en-GB"/>
        </w:rPr>
        <w:t xml:space="preserve">’ and </w:t>
      </w:r>
      <w:r w:rsidR="002A34E9" w:rsidRPr="00A74196">
        <w:rPr>
          <w:szCs w:val="20"/>
          <w:lang w:val="en-GB"/>
        </w:rPr>
        <w:t>‘</w:t>
      </w:r>
      <w:r w:rsidR="00275F8E" w:rsidRPr="00A74196">
        <w:rPr>
          <w:szCs w:val="20"/>
          <w:lang w:val="en-GB"/>
        </w:rPr>
        <w:t>information services</w:t>
      </w:r>
      <w:r w:rsidR="002A34E9" w:rsidRPr="00A74196">
        <w:rPr>
          <w:szCs w:val="20"/>
          <w:lang w:val="en-GB"/>
        </w:rPr>
        <w:t>’</w:t>
      </w:r>
      <w:r w:rsidR="00275F8E" w:rsidRPr="00A74196">
        <w:rPr>
          <w:szCs w:val="20"/>
          <w:lang w:val="en-GB"/>
        </w:rPr>
        <w:t xml:space="preserve"> all went up by 0.4%</w:t>
      </w:r>
      <w:r w:rsidR="002A34E9" w:rsidRPr="00A74196">
        <w:rPr>
          <w:szCs w:val="20"/>
          <w:lang w:val="en-GB"/>
        </w:rPr>
        <w:t>.</w:t>
      </w:r>
      <w:r w:rsidR="006262CB" w:rsidRPr="00A74196">
        <w:rPr>
          <w:szCs w:val="20"/>
          <w:lang w:val="en-GB"/>
        </w:rPr>
        <w:t xml:space="preserve"> </w:t>
      </w:r>
      <w:r w:rsidRPr="00A74196">
        <w:rPr>
          <w:rFonts w:cs="Arial"/>
          <w:bCs/>
          <w:iCs/>
          <w:szCs w:val="20"/>
          <w:lang w:val="en-GB"/>
        </w:rPr>
        <w:t>Service producer prices in the business sphere</w:t>
      </w:r>
      <w:r w:rsidRPr="00A74196">
        <w:rPr>
          <w:szCs w:val="20"/>
          <w:lang w:val="en-GB"/>
        </w:rPr>
        <w:t xml:space="preserve">, excluding </w:t>
      </w:r>
      <w:r w:rsidR="00891003" w:rsidRPr="00A74196">
        <w:rPr>
          <w:szCs w:val="20"/>
          <w:lang w:val="en-GB"/>
        </w:rPr>
        <w:t>adver</w:t>
      </w:r>
      <w:r w:rsidR="00EC50AC" w:rsidRPr="00A74196">
        <w:rPr>
          <w:szCs w:val="20"/>
          <w:lang w:val="en-GB"/>
        </w:rPr>
        <w:t xml:space="preserve">tising services </w:t>
      </w:r>
      <w:r w:rsidR="00275F8E" w:rsidRPr="00A74196">
        <w:rPr>
          <w:szCs w:val="20"/>
          <w:lang w:val="en-GB"/>
        </w:rPr>
        <w:t>rose by 0.3</w:t>
      </w:r>
      <w:r w:rsidRPr="00A74196">
        <w:rPr>
          <w:szCs w:val="20"/>
          <w:lang w:val="en-GB"/>
        </w:rPr>
        <w:t>%.</w:t>
      </w:r>
      <w:r w:rsidRPr="00A74196">
        <w:rPr>
          <w:color w:val="FF0000"/>
          <w:szCs w:val="20"/>
          <w:lang w:val="en-GB"/>
        </w:rPr>
        <w:t xml:space="preserve"> </w:t>
      </w:r>
    </w:p>
    <w:p w:rsidR="009A37B3" w:rsidRPr="00A74196" w:rsidRDefault="009A37B3" w:rsidP="00065E35">
      <w:pPr>
        <w:rPr>
          <w:szCs w:val="20"/>
          <w:lang w:val="en-GB"/>
        </w:rPr>
      </w:pPr>
    </w:p>
    <w:p w:rsidR="00065E35" w:rsidRPr="00A74196" w:rsidRDefault="00065E35" w:rsidP="00065E35">
      <w:pPr>
        <w:pStyle w:val="Nadpis1"/>
        <w:spacing w:after="120"/>
        <w:jc w:val="both"/>
      </w:pPr>
      <w:r w:rsidRPr="00A74196">
        <w:t>Year-on-year comparison</w:t>
      </w:r>
    </w:p>
    <w:p w:rsidR="00065E35" w:rsidRPr="00A74196" w:rsidRDefault="00065E35" w:rsidP="00065E35">
      <w:pPr>
        <w:rPr>
          <w:color w:val="FF0000"/>
          <w:szCs w:val="20"/>
          <w:lang w:val="en-GB"/>
        </w:rPr>
      </w:pPr>
      <w:r w:rsidRPr="00A74196">
        <w:rPr>
          <w:b/>
          <w:bCs/>
          <w:szCs w:val="20"/>
          <w:lang w:val="en-GB"/>
        </w:rPr>
        <w:t>Agricultural producer prices</w:t>
      </w:r>
      <w:r w:rsidR="00A34610" w:rsidRPr="00A74196">
        <w:rPr>
          <w:bCs/>
          <w:szCs w:val="20"/>
          <w:lang w:val="en-GB"/>
        </w:rPr>
        <w:t xml:space="preserve"> fell by </w:t>
      </w:r>
      <w:r w:rsidR="00C343C2" w:rsidRPr="00A74196">
        <w:rPr>
          <w:bCs/>
          <w:szCs w:val="20"/>
          <w:lang w:val="en-GB"/>
        </w:rPr>
        <w:t>4</w:t>
      </w:r>
      <w:r w:rsidRPr="00A74196">
        <w:rPr>
          <w:bCs/>
          <w:szCs w:val="20"/>
          <w:lang w:val="en-GB"/>
        </w:rPr>
        <w:t>.</w:t>
      </w:r>
      <w:r w:rsidR="008B453E" w:rsidRPr="00A74196">
        <w:rPr>
          <w:bCs/>
          <w:szCs w:val="20"/>
          <w:lang w:val="en-GB"/>
        </w:rPr>
        <w:t>1</w:t>
      </w:r>
      <w:r w:rsidRPr="00A74196">
        <w:rPr>
          <w:bCs/>
          <w:szCs w:val="20"/>
          <w:lang w:val="en-GB"/>
        </w:rPr>
        <w:t>% (</w:t>
      </w:r>
      <w:r w:rsidR="001443E7" w:rsidRPr="00A74196">
        <w:rPr>
          <w:bCs/>
          <w:szCs w:val="20"/>
          <w:lang w:val="en-GB"/>
        </w:rPr>
        <w:t>-4</w:t>
      </w:r>
      <w:r w:rsidR="00847A97" w:rsidRPr="00A74196">
        <w:rPr>
          <w:bCs/>
          <w:szCs w:val="20"/>
          <w:lang w:val="en-GB"/>
        </w:rPr>
        <w:t>.</w:t>
      </w:r>
      <w:r w:rsidR="001443E7" w:rsidRPr="00A74196">
        <w:rPr>
          <w:bCs/>
          <w:szCs w:val="20"/>
          <w:lang w:val="en-GB"/>
        </w:rPr>
        <w:t>4</w:t>
      </w:r>
      <w:r w:rsidR="00847A97" w:rsidRPr="00A74196">
        <w:rPr>
          <w:bCs/>
          <w:szCs w:val="20"/>
          <w:lang w:val="en-GB"/>
        </w:rPr>
        <w:t xml:space="preserve">% </w:t>
      </w:r>
      <w:r w:rsidRPr="00A74196">
        <w:rPr>
          <w:bCs/>
          <w:szCs w:val="20"/>
          <w:lang w:val="en-GB"/>
        </w:rPr>
        <w:t xml:space="preserve">in </w:t>
      </w:r>
      <w:r w:rsidR="001443E7" w:rsidRPr="00A74196">
        <w:rPr>
          <w:bCs/>
          <w:szCs w:val="20"/>
          <w:lang w:val="en-GB"/>
        </w:rPr>
        <w:t>June</w:t>
      </w:r>
      <w:r w:rsidRPr="00A74196">
        <w:rPr>
          <w:bCs/>
          <w:szCs w:val="20"/>
          <w:lang w:val="en-GB"/>
        </w:rPr>
        <w:t>).</w:t>
      </w:r>
      <w:r w:rsidRPr="00A74196">
        <w:rPr>
          <w:rStyle w:val="hps"/>
          <w:szCs w:val="20"/>
          <w:lang w:val="en-GB"/>
        </w:rPr>
        <w:t xml:space="preserve"> P</w:t>
      </w:r>
      <w:r w:rsidR="003660D9" w:rsidRPr="00A74196">
        <w:rPr>
          <w:szCs w:val="20"/>
          <w:lang w:val="en-GB"/>
        </w:rPr>
        <w:t>rices in </w:t>
      </w:r>
      <w:r w:rsidR="004429CE" w:rsidRPr="00A74196">
        <w:rPr>
          <w:szCs w:val="20"/>
          <w:lang w:val="en-GB"/>
        </w:rPr>
        <w:t>the crop production dropped by 3</w:t>
      </w:r>
      <w:r w:rsidRPr="00A74196">
        <w:rPr>
          <w:szCs w:val="20"/>
          <w:lang w:val="en-GB"/>
        </w:rPr>
        <w:t>.</w:t>
      </w:r>
      <w:r w:rsidR="004429CE" w:rsidRPr="00A74196">
        <w:rPr>
          <w:szCs w:val="20"/>
          <w:lang w:val="en-GB"/>
        </w:rPr>
        <w:t>4</w:t>
      </w:r>
      <w:r w:rsidRPr="00A74196">
        <w:rPr>
          <w:szCs w:val="20"/>
          <w:lang w:val="en-GB"/>
        </w:rPr>
        <w:t>%. On the decrease</w:t>
      </w:r>
      <w:r w:rsidR="005F6235" w:rsidRPr="00A74196">
        <w:rPr>
          <w:szCs w:val="20"/>
          <w:lang w:val="en-GB"/>
        </w:rPr>
        <w:t xml:space="preserve"> were prices of </w:t>
      </w:r>
      <w:r w:rsidR="00AE64F4" w:rsidRPr="00A74196">
        <w:rPr>
          <w:szCs w:val="20"/>
          <w:lang w:val="en-GB"/>
        </w:rPr>
        <w:t>potatoes (-29</w:t>
      </w:r>
      <w:r w:rsidR="009E6DAF" w:rsidRPr="00A74196">
        <w:rPr>
          <w:szCs w:val="20"/>
          <w:lang w:val="en-GB"/>
        </w:rPr>
        <w:t>.</w:t>
      </w:r>
      <w:r w:rsidR="00AE64F4" w:rsidRPr="00A74196">
        <w:rPr>
          <w:szCs w:val="20"/>
          <w:lang w:val="en-GB"/>
        </w:rPr>
        <w:t>2</w:t>
      </w:r>
      <w:r w:rsidR="009E6DAF" w:rsidRPr="00A74196">
        <w:rPr>
          <w:szCs w:val="20"/>
          <w:lang w:val="en-GB"/>
        </w:rPr>
        <w:t>%), cereals (-</w:t>
      </w:r>
      <w:r w:rsidR="00AE64F4" w:rsidRPr="00A74196">
        <w:rPr>
          <w:szCs w:val="20"/>
          <w:lang w:val="en-GB"/>
        </w:rPr>
        <w:t>3</w:t>
      </w:r>
      <w:r w:rsidR="009E6DAF" w:rsidRPr="00A74196">
        <w:rPr>
          <w:szCs w:val="20"/>
          <w:lang w:val="en-GB"/>
        </w:rPr>
        <w:t>.</w:t>
      </w:r>
      <w:r w:rsidR="00A27894" w:rsidRPr="00A74196">
        <w:rPr>
          <w:szCs w:val="20"/>
          <w:lang w:val="en-GB"/>
        </w:rPr>
        <w:t>4</w:t>
      </w:r>
      <w:r w:rsidR="009E6DAF" w:rsidRPr="00A74196">
        <w:rPr>
          <w:szCs w:val="20"/>
          <w:lang w:val="en-GB"/>
        </w:rPr>
        <w:t>%</w:t>
      </w:r>
      <w:r w:rsidR="00EE073F" w:rsidRPr="00A74196">
        <w:rPr>
          <w:szCs w:val="20"/>
          <w:lang w:val="en-GB"/>
        </w:rPr>
        <w:t>)</w:t>
      </w:r>
      <w:r w:rsidR="00427CE6" w:rsidRPr="00A74196">
        <w:rPr>
          <w:szCs w:val="20"/>
          <w:lang w:val="en-GB"/>
        </w:rPr>
        <w:t xml:space="preserve"> and oleaginous crops (-1</w:t>
      </w:r>
      <w:r w:rsidR="00391D7B" w:rsidRPr="00A74196">
        <w:rPr>
          <w:szCs w:val="20"/>
          <w:lang w:val="en-GB"/>
        </w:rPr>
        <w:t>.8</w:t>
      </w:r>
      <w:r w:rsidR="00EE073F" w:rsidRPr="00A74196">
        <w:rPr>
          <w:szCs w:val="20"/>
          <w:lang w:val="en-GB"/>
        </w:rPr>
        <w:t>%).</w:t>
      </w:r>
      <w:r w:rsidR="00BC5170" w:rsidRPr="00A74196">
        <w:rPr>
          <w:szCs w:val="20"/>
          <w:lang w:val="en-GB"/>
        </w:rPr>
        <w:t xml:space="preserve"> </w:t>
      </w:r>
      <w:r w:rsidRPr="00A74196">
        <w:rPr>
          <w:rStyle w:val="hps"/>
          <w:szCs w:val="20"/>
          <w:lang w:val="en-GB"/>
        </w:rPr>
        <w:t>P</w:t>
      </w:r>
      <w:r w:rsidRPr="00A74196">
        <w:rPr>
          <w:szCs w:val="20"/>
          <w:lang w:val="en-GB"/>
        </w:rPr>
        <w:t>rices of</w:t>
      </w:r>
      <w:r w:rsidRPr="00A74196">
        <w:rPr>
          <w:rStyle w:val="hps"/>
          <w:szCs w:val="20"/>
          <w:lang w:val="en-GB"/>
        </w:rPr>
        <w:t xml:space="preserve"> </w:t>
      </w:r>
      <w:r w:rsidR="007229A2" w:rsidRPr="00A74196">
        <w:rPr>
          <w:szCs w:val="20"/>
          <w:lang w:val="en-GB"/>
        </w:rPr>
        <w:t xml:space="preserve">fruit </w:t>
      </w:r>
      <w:r w:rsidR="00942261" w:rsidRPr="00A74196">
        <w:rPr>
          <w:szCs w:val="20"/>
          <w:lang w:val="en-GB"/>
        </w:rPr>
        <w:t>(+3</w:t>
      </w:r>
      <w:r w:rsidRPr="00A74196">
        <w:rPr>
          <w:szCs w:val="20"/>
          <w:lang w:val="en-GB"/>
        </w:rPr>
        <w:t>.</w:t>
      </w:r>
      <w:r w:rsidR="00942261" w:rsidRPr="00A74196">
        <w:rPr>
          <w:szCs w:val="20"/>
          <w:lang w:val="en-GB"/>
        </w:rPr>
        <w:t>3</w:t>
      </w:r>
      <w:r w:rsidR="007229A2" w:rsidRPr="00A74196">
        <w:rPr>
          <w:szCs w:val="20"/>
          <w:lang w:val="en-GB"/>
        </w:rPr>
        <w:t>%</w:t>
      </w:r>
      <w:r w:rsidR="00BC5170" w:rsidRPr="00A74196">
        <w:rPr>
          <w:szCs w:val="20"/>
          <w:lang w:val="en-GB"/>
        </w:rPr>
        <w:t>) and fresh vegetables (+</w:t>
      </w:r>
      <w:r w:rsidR="00121FA5" w:rsidRPr="00A74196">
        <w:rPr>
          <w:szCs w:val="20"/>
          <w:lang w:val="en-GB"/>
        </w:rPr>
        <w:t>3</w:t>
      </w:r>
      <w:r w:rsidR="00BC5170" w:rsidRPr="00A74196">
        <w:rPr>
          <w:szCs w:val="20"/>
          <w:lang w:val="en-GB"/>
        </w:rPr>
        <w:t>.</w:t>
      </w:r>
      <w:r w:rsidR="00942261" w:rsidRPr="00A74196">
        <w:rPr>
          <w:szCs w:val="20"/>
          <w:lang w:val="en-GB"/>
        </w:rPr>
        <w:t>0</w:t>
      </w:r>
      <w:r w:rsidR="00BC5170" w:rsidRPr="00A74196">
        <w:rPr>
          <w:szCs w:val="20"/>
          <w:lang w:val="en-GB"/>
        </w:rPr>
        <w:t>%) went up</w:t>
      </w:r>
      <w:r w:rsidR="007229A2" w:rsidRPr="00A74196">
        <w:rPr>
          <w:szCs w:val="20"/>
          <w:lang w:val="en-GB"/>
        </w:rPr>
        <w:t>.</w:t>
      </w:r>
      <w:r w:rsidR="004779E2" w:rsidRPr="00A74196">
        <w:rPr>
          <w:szCs w:val="20"/>
          <w:lang w:val="en-GB"/>
        </w:rPr>
        <w:t xml:space="preserve"> </w:t>
      </w:r>
      <w:r w:rsidRPr="00A74196">
        <w:rPr>
          <w:rStyle w:val="hps"/>
          <w:szCs w:val="20"/>
          <w:lang w:val="en-GB"/>
        </w:rPr>
        <w:t>P</w:t>
      </w:r>
      <w:r w:rsidRPr="00A74196">
        <w:rPr>
          <w:szCs w:val="20"/>
          <w:lang w:val="en-GB"/>
        </w:rPr>
        <w:t>rice</w:t>
      </w:r>
      <w:r w:rsidR="008D127D" w:rsidRPr="00A74196">
        <w:rPr>
          <w:szCs w:val="20"/>
          <w:lang w:val="en-GB"/>
        </w:rPr>
        <w:t xml:space="preserve">s of animal products </w:t>
      </w:r>
      <w:r w:rsidR="009E154D" w:rsidRPr="00A74196">
        <w:rPr>
          <w:szCs w:val="20"/>
          <w:lang w:val="en-GB"/>
        </w:rPr>
        <w:t>went down</w:t>
      </w:r>
      <w:r w:rsidR="006C4F5C" w:rsidRPr="00A74196">
        <w:rPr>
          <w:szCs w:val="20"/>
          <w:lang w:val="en-GB"/>
        </w:rPr>
        <w:t xml:space="preserve"> by </w:t>
      </w:r>
      <w:r w:rsidR="008A17B5" w:rsidRPr="00A74196">
        <w:rPr>
          <w:szCs w:val="20"/>
          <w:lang w:val="en-GB"/>
        </w:rPr>
        <w:t>5</w:t>
      </w:r>
      <w:r w:rsidR="006678E0" w:rsidRPr="00A74196">
        <w:rPr>
          <w:szCs w:val="20"/>
          <w:lang w:val="en-GB"/>
        </w:rPr>
        <w:t>.</w:t>
      </w:r>
      <w:r w:rsidR="008A17B5" w:rsidRPr="00A74196">
        <w:rPr>
          <w:szCs w:val="20"/>
          <w:lang w:val="en-GB"/>
        </w:rPr>
        <w:t>0</w:t>
      </w:r>
      <w:r w:rsidRPr="00A74196">
        <w:rPr>
          <w:szCs w:val="20"/>
          <w:lang w:val="en-GB"/>
        </w:rPr>
        <w:t>%. Pri</w:t>
      </w:r>
      <w:r w:rsidR="002578B0" w:rsidRPr="00A74196">
        <w:rPr>
          <w:szCs w:val="20"/>
          <w:lang w:val="en-GB"/>
        </w:rPr>
        <w:t xml:space="preserve">ces of pigs for </w:t>
      </w:r>
      <w:r w:rsidR="00040FE0" w:rsidRPr="00A74196">
        <w:rPr>
          <w:szCs w:val="20"/>
          <w:lang w:val="en-GB"/>
        </w:rPr>
        <w:t>slaughter (-</w:t>
      </w:r>
      <w:r w:rsidR="002578B0" w:rsidRPr="00A74196">
        <w:rPr>
          <w:szCs w:val="20"/>
          <w:lang w:val="en-GB"/>
        </w:rPr>
        <w:t>8</w:t>
      </w:r>
      <w:r w:rsidR="008F7CEF" w:rsidRPr="00A74196">
        <w:rPr>
          <w:szCs w:val="20"/>
          <w:lang w:val="en-GB"/>
        </w:rPr>
        <w:t>.</w:t>
      </w:r>
      <w:r w:rsidR="002578B0" w:rsidRPr="00A74196">
        <w:rPr>
          <w:szCs w:val="20"/>
          <w:lang w:val="en-GB"/>
        </w:rPr>
        <w:t>4</w:t>
      </w:r>
      <w:r w:rsidRPr="00A74196">
        <w:rPr>
          <w:szCs w:val="20"/>
          <w:lang w:val="en-GB"/>
        </w:rPr>
        <w:t>%)</w:t>
      </w:r>
      <w:r w:rsidR="0056533C" w:rsidRPr="00A74196">
        <w:rPr>
          <w:szCs w:val="20"/>
          <w:lang w:val="en-GB"/>
        </w:rPr>
        <w:t>,</w:t>
      </w:r>
      <w:r w:rsidR="002578B0" w:rsidRPr="00A74196">
        <w:rPr>
          <w:szCs w:val="20"/>
          <w:lang w:val="en-GB"/>
        </w:rPr>
        <w:t xml:space="preserve"> cattle for slaughter (</w:t>
      </w:r>
      <w:r w:rsidR="000F5A05" w:rsidRPr="00A74196">
        <w:rPr>
          <w:szCs w:val="20"/>
          <w:lang w:val="en-GB"/>
        </w:rPr>
        <w:t>-6</w:t>
      </w:r>
      <w:r w:rsidR="002578B0" w:rsidRPr="00A74196">
        <w:rPr>
          <w:szCs w:val="20"/>
          <w:lang w:val="en-GB"/>
        </w:rPr>
        <w:t>.</w:t>
      </w:r>
      <w:r w:rsidR="000F5A05" w:rsidRPr="00A74196">
        <w:rPr>
          <w:szCs w:val="20"/>
          <w:lang w:val="en-GB"/>
        </w:rPr>
        <w:t>4</w:t>
      </w:r>
      <w:r w:rsidR="002578B0" w:rsidRPr="00A74196">
        <w:rPr>
          <w:szCs w:val="20"/>
          <w:lang w:val="en-GB"/>
        </w:rPr>
        <w:t xml:space="preserve">%), </w:t>
      </w:r>
      <w:r w:rsidR="00072199" w:rsidRPr="00A74196">
        <w:rPr>
          <w:szCs w:val="20"/>
          <w:lang w:val="en-GB"/>
        </w:rPr>
        <w:t>milk</w:t>
      </w:r>
      <w:r w:rsidR="002578B0" w:rsidRPr="00A74196">
        <w:rPr>
          <w:szCs w:val="20"/>
          <w:lang w:val="en-GB"/>
        </w:rPr>
        <w:t xml:space="preserve"> </w:t>
      </w:r>
      <w:r w:rsidR="00CF0292" w:rsidRPr="00A74196">
        <w:rPr>
          <w:szCs w:val="20"/>
          <w:lang w:val="en-GB"/>
        </w:rPr>
        <w:t>(</w:t>
      </w:r>
      <w:r w:rsidR="00040FE0" w:rsidRPr="00A74196">
        <w:rPr>
          <w:szCs w:val="20"/>
          <w:lang w:val="en-GB"/>
        </w:rPr>
        <w:t>-</w:t>
      </w:r>
      <w:r w:rsidR="000F5A05" w:rsidRPr="00A74196">
        <w:rPr>
          <w:szCs w:val="20"/>
          <w:lang w:val="en-GB"/>
        </w:rPr>
        <w:t>4</w:t>
      </w:r>
      <w:r w:rsidR="00CF0292" w:rsidRPr="00A74196">
        <w:rPr>
          <w:szCs w:val="20"/>
          <w:lang w:val="en-GB"/>
        </w:rPr>
        <w:t>.</w:t>
      </w:r>
      <w:r w:rsidR="00331B67" w:rsidRPr="00A74196">
        <w:rPr>
          <w:szCs w:val="20"/>
          <w:lang w:val="en-GB"/>
        </w:rPr>
        <w:t>9</w:t>
      </w:r>
      <w:r w:rsidR="00CF0292" w:rsidRPr="00A74196">
        <w:rPr>
          <w:szCs w:val="20"/>
          <w:lang w:val="en-GB"/>
        </w:rPr>
        <w:t>%)</w:t>
      </w:r>
      <w:r w:rsidR="002578B0" w:rsidRPr="00A74196">
        <w:rPr>
          <w:szCs w:val="20"/>
          <w:lang w:val="en-GB"/>
        </w:rPr>
        <w:t xml:space="preserve"> </w:t>
      </w:r>
      <w:r w:rsidR="00C33AA1" w:rsidRPr="00A74196">
        <w:rPr>
          <w:szCs w:val="20"/>
          <w:lang w:val="en-GB"/>
        </w:rPr>
        <w:t>and poultry (-3</w:t>
      </w:r>
      <w:r w:rsidR="00C77206" w:rsidRPr="00A74196">
        <w:rPr>
          <w:szCs w:val="20"/>
          <w:lang w:val="en-GB"/>
        </w:rPr>
        <w:t>.</w:t>
      </w:r>
      <w:r w:rsidR="00C33AA1" w:rsidRPr="00A74196">
        <w:rPr>
          <w:szCs w:val="20"/>
          <w:lang w:val="en-GB"/>
        </w:rPr>
        <w:t>1</w:t>
      </w:r>
      <w:r w:rsidR="00C77206" w:rsidRPr="00A74196">
        <w:rPr>
          <w:szCs w:val="20"/>
          <w:lang w:val="en-GB"/>
        </w:rPr>
        <w:t>%)</w:t>
      </w:r>
      <w:r w:rsidR="00F116ED" w:rsidRPr="00A74196">
        <w:rPr>
          <w:szCs w:val="20"/>
          <w:lang w:val="en-GB"/>
        </w:rPr>
        <w:t xml:space="preserve"> </w:t>
      </w:r>
      <w:r w:rsidR="00C77206" w:rsidRPr="00A74196">
        <w:rPr>
          <w:szCs w:val="20"/>
          <w:lang w:val="en-GB"/>
        </w:rPr>
        <w:t xml:space="preserve">were lower. </w:t>
      </w:r>
      <w:r w:rsidR="0013554B" w:rsidRPr="00A74196">
        <w:rPr>
          <w:szCs w:val="20"/>
          <w:lang w:val="en-GB"/>
        </w:rPr>
        <w:t xml:space="preserve">Prices of eggs </w:t>
      </w:r>
      <w:r w:rsidR="00E36475" w:rsidRPr="00A74196">
        <w:rPr>
          <w:szCs w:val="20"/>
          <w:lang w:val="en-GB"/>
        </w:rPr>
        <w:t>were higher</w:t>
      </w:r>
      <w:r w:rsidR="00DB6F1A" w:rsidRPr="00A74196">
        <w:rPr>
          <w:szCs w:val="20"/>
          <w:lang w:val="en-GB"/>
        </w:rPr>
        <w:t xml:space="preserve"> by 11</w:t>
      </w:r>
      <w:r w:rsidR="0013554B" w:rsidRPr="00A74196">
        <w:rPr>
          <w:szCs w:val="20"/>
          <w:lang w:val="en-GB"/>
        </w:rPr>
        <w:t>.</w:t>
      </w:r>
      <w:r w:rsidR="00DB6F1A" w:rsidRPr="00A74196">
        <w:rPr>
          <w:szCs w:val="20"/>
          <w:lang w:val="en-GB"/>
        </w:rPr>
        <w:t>2</w:t>
      </w:r>
      <w:r w:rsidR="0013554B" w:rsidRPr="00A74196">
        <w:rPr>
          <w:szCs w:val="20"/>
          <w:lang w:val="en-GB"/>
        </w:rPr>
        <w:t>%</w:t>
      </w:r>
      <w:r w:rsidRPr="00A74196">
        <w:rPr>
          <w:szCs w:val="20"/>
          <w:lang w:val="en-GB"/>
        </w:rPr>
        <w:t>.</w:t>
      </w:r>
      <w:r w:rsidRPr="00A74196">
        <w:rPr>
          <w:color w:val="FF0000"/>
          <w:szCs w:val="20"/>
          <w:lang w:val="en-GB"/>
        </w:rPr>
        <w:t xml:space="preserve">  </w:t>
      </w:r>
    </w:p>
    <w:p w:rsidR="006C5872" w:rsidRPr="00A74196" w:rsidRDefault="006C5872" w:rsidP="006C5872">
      <w:pPr>
        <w:rPr>
          <w:szCs w:val="20"/>
          <w:lang w:val="en-GB"/>
        </w:rPr>
      </w:pPr>
    </w:p>
    <w:p w:rsidR="00A74196" w:rsidRPr="00A74196" w:rsidRDefault="00A74196" w:rsidP="00A74196">
      <w:pPr>
        <w:rPr>
          <w:szCs w:val="20"/>
          <w:lang w:val="en-GB"/>
        </w:rPr>
      </w:pPr>
      <w:r w:rsidRPr="00A74196">
        <w:rPr>
          <w:szCs w:val="20"/>
          <w:lang w:val="en-GB"/>
        </w:rPr>
        <w:t xml:space="preserve">Prices of </w:t>
      </w:r>
      <w:r w:rsidRPr="00A74196">
        <w:rPr>
          <w:b/>
          <w:szCs w:val="20"/>
          <w:lang w:val="en-GB"/>
        </w:rPr>
        <w:t>industrial producers</w:t>
      </w:r>
      <w:r w:rsidRPr="00A74196">
        <w:rPr>
          <w:szCs w:val="20"/>
          <w:lang w:val="en-GB"/>
        </w:rPr>
        <w:t xml:space="preserve"> were lower by 0.1% (</w:t>
      </w:r>
      <w:r w:rsidR="00505F4D">
        <w:rPr>
          <w:szCs w:val="20"/>
          <w:lang w:val="en-GB"/>
        </w:rPr>
        <w:t>-0.3% in June</w:t>
      </w:r>
      <w:r w:rsidRPr="00A74196">
        <w:rPr>
          <w:szCs w:val="20"/>
          <w:lang w:val="en-GB"/>
        </w:rPr>
        <w:t xml:space="preserve">). Prices fell primarily in ‘coke, refined petroleum products’. On the decrease were prices in ‘chemicals and chemical </w:t>
      </w:r>
      <w:r w:rsidRPr="00A74196">
        <w:rPr>
          <w:szCs w:val="20"/>
          <w:lang w:val="en-GB"/>
        </w:rPr>
        <w:lastRenderedPageBreak/>
        <w:t>products’ (-12.6%), ‘mining and quarrying’ (-3.5%) and ‘basic metals, fabricated metal products’ (-1.8%). Prices went up in ‘electricity, gas, steam and air conditioning’ (+7.7%), thereof ‘electricity, transmission and distribution services’ (+9.2%). Prices increased in ‘transport equipment’ (+2.8%), thereof ‘parts and accessories for motor vehicles’ and ‘motor vehicles’ (+3.0% both). Higher were also prices in ‘furniture, other manufactured products’ (+4.7%). Prices rose in ‘food products, beverages, tobacco’ (+1.2%), thereof ‘other food products’ (+5.5%).</w:t>
      </w:r>
    </w:p>
    <w:p w:rsidR="00FC416C" w:rsidRDefault="00A74196" w:rsidP="00A74196">
      <w:pPr>
        <w:rPr>
          <w:szCs w:val="20"/>
          <w:lang w:val="en-GB"/>
        </w:rPr>
      </w:pPr>
      <w:r w:rsidRPr="00A74196">
        <w:rPr>
          <w:szCs w:val="20"/>
          <w:lang w:val="en-GB"/>
        </w:rPr>
        <w:t>Among the main industrial groupings, lower were prices of ‘energy’ (-1.7%) and ‘intermediate goods’ (-2.2%).</w:t>
      </w:r>
    </w:p>
    <w:p w:rsidR="00505F4D" w:rsidRPr="00A74196" w:rsidRDefault="00505F4D" w:rsidP="00A74196">
      <w:pPr>
        <w:rPr>
          <w:bCs/>
          <w:szCs w:val="20"/>
          <w:lang w:val="en-GB"/>
        </w:rPr>
      </w:pPr>
    </w:p>
    <w:p w:rsidR="00065E35" w:rsidRPr="00A74196" w:rsidRDefault="00065E35" w:rsidP="00065E35">
      <w:pPr>
        <w:rPr>
          <w:rFonts w:cs="Arial"/>
          <w:szCs w:val="20"/>
          <w:lang w:val="en-GB"/>
        </w:rPr>
      </w:pPr>
      <w:r w:rsidRPr="00A74196">
        <w:rPr>
          <w:bCs/>
          <w:szCs w:val="20"/>
          <w:lang w:val="en-GB"/>
        </w:rPr>
        <w:t>According to an estimate,</w:t>
      </w:r>
      <w:r w:rsidRPr="00A74196">
        <w:rPr>
          <w:b/>
          <w:bCs/>
          <w:szCs w:val="20"/>
          <w:lang w:val="en-GB"/>
        </w:rPr>
        <w:t xml:space="preserve"> construction work</w:t>
      </w:r>
      <w:r w:rsidRPr="00A74196">
        <w:rPr>
          <w:b/>
          <w:szCs w:val="20"/>
          <w:lang w:val="en-GB"/>
        </w:rPr>
        <w:t xml:space="preserve"> prices</w:t>
      </w:r>
      <w:r w:rsidRPr="00A74196">
        <w:rPr>
          <w:szCs w:val="20"/>
          <w:lang w:val="en-GB"/>
        </w:rPr>
        <w:t xml:space="preserve"> </w:t>
      </w:r>
      <w:r w:rsidRPr="00A74196">
        <w:rPr>
          <w:rStyle w:val="hps"/>
          <w:szCs w:val="20"/>
          <w:lang w:val="en-GB"/>
        </w:rPr>
        <w:t>rose</w:t>
      </w:r>
      <w:r w:rsidR="001D2A1E" w:rsidRPr="00A74196">
        <w:rPr>
          <w:rFonts w:cs="Arial"/>
          <w:bCs/>
          <w:szCs w:val="20"/>
          <w:lang w:val="en-GB"/>
        </w:rPr>
        <w:t xml:space="preserve"> by 3</w:t>
      </w:r>
      <w:r w:rsidR="00D2422B" w:rsidRPr="00A74196">
        <w:rPr>
          <w:rFonts w:cs="Arial"/>
          <w:bCs/>
          <w:szCs w:val="20"/>
          <w:lang w:val="en-GB"/>
        </w:rPr>
        <w:t>.</w:t>
      </w:r>
      <w:r w:rsidR="001D2A1E" w:rsidRPr="00A74196">
        <w:rPr>
          <w:rFonts w:cs="Arial"/>
          <w:bCs/>
          <w:szCs w:val="20"/>
          <w:lang w:val="en-GB"/>
        </w:rPr>
        <w:t>8</w:t>
      </w:r>
      <w:r w:rsidRPr="00A74196">
        <w:rPr>
          <w:rFonts w:cs="Arial"/>
          <w:bCs/>
          <w:szCs w:val="20"/>
          <w:lang w:val="en-GB"/>
        </w:rPr>
        <w:t>% (</w:t>
      </w:r>
      <w:r w:rsidR="00D2422B" w:rsidRPr="00A74196">
        <w:rPr>
          <w:rFonts w:cs="Arial"/>
          <w:bCs/>
          <w:szCs w:val="20"/>
          <w:lang w:val="en-GB"/>
        </w:rPr>
        <w:t xml:space="preserve">+4.1% in </w:t>
      </w:r>
      <w:r w:rsidR="00D972ED" w:rsidRPr="00A74196">
        <w:rPr>
          <w:rFonts w:cs="Arial"/>
          <w:bCs/>
          <w:szCs w:val="20"/>
          <w:lang w:val="en-GB"/>
        </w:rPr>
        <w:t>June after specification</w:t>
      </w:r>
      <w:r w:rsidRPr="00A74196">
        <w:rPr>
          <w:bCs/>
          <w:szCs w:val="20"/>
          <w:lang w:val="en-GB"/>
        </w:rPr>
        <w:t>)</w:t>
      </w:r>
      <w:r w:rsidRPr="00A74196">
        <w:rPr>
          <w:rFonts w:cs="Arial"/>
          <w:bCs/>
          <w:szCs w:val="20"/>
          <w:lang w:val="en-GB"/>
        </w:rPr>
        <w:t xml:space="preserve"> and </w:t>
      </w:r>
      <w:r w:rsidRPr="00A74196">
        <w:rPr>
          <w:szCs w:val="20"/>
          <w:lang w:val="en-GB"/>
        </w:rPr>
        <w:t>prices</w:t>
      </w:r>
      <w:r w:rsidRPr="00A74196">
        <w:rPr>
          <w:rFonts w:cs="Arial"/>
          <w:szCs w:val="20"/>
          <w:lang w:val="en-GB"/>
        </w:rPr>
        <w:t xml:space="preserve"> for </w:t>
      </w:r>
      <w:r w:rsidRPr="00A74196">
        <w:rPr>
          <w:rFonts w:cs="Arial"/>
          <w:bCs/>
          <w:szCs w:val="20"/>
          <w:lang w:val="en-GB"/>
        </w:rPr>
        <w:t>c</w:t>
      </w:r>
      <w:r w:rsidRPr="00A74196">
        <w:rPr>
          <w:szCs w:val="20"/>
          <w:lang w:val="en-GB"/>
        </w:rPr>
        <w:t xml:space="preserve">onstruction material and products input </w:t>
      </w:r>
      <w:r w:rsidR="006A40A2" w:rsidRPr="00A74196">
        <w:rPr>
          <w:rFonts w:cs="Arial"/>
          <w:szCs w:val="20"/>
          <w:lang w:val="en-GB"/>
        </w:rPr>
        <w:t>dropped</w:t>
      </w:r>
      <w:r w:rsidR="007B53E0" w:rsidRPr="00A74196">
        <w:rPr>
          <w:rFonts w:cs="Arial"/>
          <w:szCs w:val="20"/>
          <w:lang w:val="en-GB"/>
        </w:rPr>
        <w:t xml:space="preserve"> by 0</w:t>
      </w:r>
      <w:r w:rsidRPr="00A74196">
        <w:rPr>
          <w:rFonts w:cs="Arial"/>
          <w:szCs w:val="20"/>
          <w:lang w:val="en-GB"/>
        </w:rPr>
        <w:t>.</w:t>
      </w:r>
      <w:r w:rsidR="00EE5ED3" w:rsidRPr="00A74196">
        <w:rPr>
          <w:rFonts w:cs="Arial"/>
          <w:szCs w:val="20"/>
          <w:lang w:val="en-GB"/>
        </w:rPr>
        <w:t>1</w:t>
      </w:r>
      <w:r w:rsidRPr="00A74196">
        <w:rPr>
          <w:rFonts w:cs="Arial"/>
          <w:szCs w:val="20"/>
          <w:lang w:val="en-GB"/>
        </w:rPr>
        <w:t xml:space="preserve">% </w:t>
      </w:r>
      <w:r w:rsidR="00EE5ED3" w:rsidRPr="00A74196">
        <w:rPr>
          <w:rFonts w:cs="Arial"/>
          <w:bCs/>
          <w:szCs w:val="20"/>
          <w:lang w:val="en-GB"/>
        </w:rPr>
        <w:t>(</w:t>
      </w:r>
      <w:r w:rsidR="00A60FFE" w:rsidRPr="00A74196">
        <w:rPr>
          <w:rFonts w:cs="Arial"/>
          <w:bCs/>
          <w:szCs w:val="20"/>
          <w:lang w:val="en-GB"/>
        </w:rPr>
        <w:t>+0</w:t>
      </w:r>
      <w:r w:rsidR="00EE5ED3" w:rsidRPr="00A74196">
        <w:rPr>
          <w:rFonts w:cs="Arial"/>
          <w:bCs/>
          <w:szCs w:val="20"/>
          <w:lang w:val="en-GB"/>
        </w:rPr>
        <w:t>.</w:t>
      </w:r>
      <w:r w:rsidR="00B278FB" w:rsidRPr="00A74196">
        <w:rPr>
          <w:rFonts w:cs="Arial"/>
          <w:bCs/>
          <w:szCs w:val="20"/>
          <w:lang w:val="en-GB"/>
        </w:rPr>
        <w:t>1</w:t>
      </w:r>
      <w:r w:rsidR="00EE5ED3" w:rsidRPr="00A74196">
        <w:rPr>
          <w:rFonts w:cs="Arial"/>
          <w:bCs/>
          <w:szCs w:val="20"/>
          <w:lang w:val="en-GB"/>
        </w:rPr>
        <w:t xml:space="preserve">% in </w:t>
      </w:r>
      <w:r w:rsidR="00B278FB" w:rsidRPr="00A74196">
        <w:rPr>
          <w:rFonts w:cs="Arial"/>
          <w:bCs/>
          <w:szCs w:val="20"/>
          <w:lang w:val="en-GB"/>
        </w:rPr>
        <w:t>June</w:t>
      </w:r>
      <w:r w:rsidR="00EA11B3" w:rsidRPr="00A74196">
        <w:rPr>
          <w:bCs/>
          <w:szCs w:val="20"/>
          <w:lang w:val="en-GB"/>
        </w:rPr>
        <w:t>)</w:t>
      </w:r>
      <w:r w:rsidRPr="00A74196">
        <w:rPr>
          <w:rFonts w:cs="Arial"/>
          <w:szCs w:val="20"/>
          <w:lang w:val="en-GB"/>
        </w:rPr>
        <w:t xml:space="preserve">. </w:t>
      </w:r>
    </w:p>
    <w:p w:rsidR="00065E35" w:rsidRPr="00A74196" w:rsidRDefault="00065E35" w:rsidP="00065E35">
      <w:pPr>
        <w:rPr>
          <w:rFonts w:cs="Arial"/>
          <w:szCs w:val="20"/>
          <w:highlight w:val="yellow"/>
          <w:lang w:val="en-GB"/>
        </w:rPr>
      </w:pPr>
    </w:p>
    <w:p w:rsidR="00065E35" w:rsidRPr="00A74196" w:rsidRDefault="00065E35" w:rsidP="00065E35">
      <w:pPr>
        <w:rPr>
          <w:color w:val="FF0000"/>
          <w:szCs w:val="20"/>
          <w:lang w:val="en-GB"/>
        </w:rPr>
      </w:pPr>
      <w:r w:rsidRPr="00A74196">
        <w:rPr>
          <w:rFonts w:cs="Arial"/>
          <w:b/>
          <w:bCs/>
          <w:iCs/>
          <w:szCs w:val="20"/>
          <w:lang w:val="en-GB"/>
        </w:rPr>
        <w:t>Service producer prices in the business sphere</w:t>
      </w:r>
      <w:r w:rsidRPr="00A74196">
        <w:rPr>
          <w:rFonts w:cs="Arial"/>
          <w:b/>
          <w:bCs/>
          <w:i/>
          <w:iCs/>
          <w:szCs w:val="20"/>
          <w:lang w:val="en-GB"/>
        </w:rPr>
        <w:t xml:space="preserve"> </w:t>
      </w:r>
      <w:r w:rsidR="00707826" w:rsidRPr="00A74196">
        <w:rPr>
          <w:rFonts w:cs="Arial"/>
          <w:szCs w:val="20"/>
          <w:lang w:val="en-GB"/>
        </w:rPr>
        <w:t>were higher by 2.</w:t>
      </w:r>
      <w:r w:rsidR="002701D4" w:rsidRPr="00A74196">
        <w:rPr>
          <w:rFonts w:cs="Arial"/>
          <w:szCs w:val="20"/>
          <w:lang w:val="en-GB"/>
        </w:rPr>
        <w:t>1</w:t>
      </w:r>
      <w:r w:rsidRPr="00A74196">
        <w:rPr>
          <w:rFonts w:cs="Arial"/>
          <w:szCs w:val="20"/>
          <w:lang w:val="en-GB"/>
        </w:rPr>
        <w:t>% (</w:t>
      </w:r>
      <w:r w:rsidR="006B3A46" w:rsidRPr="00A74196">
        <w:rPr>
          <w:rFonts w:cs="Arial"/>
          <w:szCs w:val="20"/>
          <w:lang w:val="en-GB"/>
        </w:rPr>
        <w:t xml:space="preserve">like </w:t>
      </w:r>
      <w:r w:rsidR="00BB10A9" w:rsidRPr="00A74196">
        <w:rPr>
          <w:bCs/>
          <w:szCs w:val="20"/>
          <w:lang w:val="en-GB"/>
        </w:rPr>
        <w:t xml:space="preserve">in </w:t>
      </w:r>
      <w:r w:rsidR="006B3A46" w:rsidRPr="00A74196">
        <w:rPr>
          <w:bCs/>
          <w:szCs w:val="20"/>
          <w:lang w:val="en-GB"/>
        </w:rPr>
        <w:t>June</w:t>
      </w:r>
      <w:r w:rsidRPr="00A74196">
        <w:rPr>
          <w:rFonts w:cs="Arial"/>
          <w:bCs/>
          <w:szCs w:val="20"/>
          <w:lang w:val="en-GB"/>
        </w:rPr>
        <w:t>)</w:t>
      </w:r>
      <w:r w:rsidRPr="00A74196">
        <w:rPr>
          <w:rFonts w:cs="Arial"/>
          <w:szCs w:val="20"/>
          <w:lang w:val="en-GB"/>
        </w:rPr>
        <w:t>.</w:t>
      </w:r>
      <w:r w:rsidR="000E06DA" w:rsidRPr="00A74196">
        <w:rPr>
          <w:rFonts w:cs="Arial"/>
          <w:szCs w:val="20"/>
          <w:lang w:val="en-GB"/>
        </w:rPr>
        <w:t xml:space="preserve"> </w:t>
      </w:r>
      <w:r w:rsidRPr="00A74196">
        <w:rPr>
          <w:rFonts w:cs="Arial"/>
          <w:szCs w:val="20"/>
          <w:lang w:val="en-GB"/>
        </w:rPr>
        <w:t>P</w:t>
      </w:r>
      <w:r w:rsidRPr="00A74196">
        <w:rPr>
          <w:szCs w:val="20"/>
          <w:lang w:val="en-GB"/>
        </w:rPr>
        <w:t>ric</w:t>
      </w:r>
      <w:r w:rsidR="00014877" w:rsidRPr="00A74196">
        <w:rPr>
          <w:szCs w:val="20"/>
          <w:lang w:val="en-GB"/>
        </w:rPr>
        <w:t>e</w:t>
      </w:r>
      <w:r w:rsidR="000F7E7B" w:rsidRPr="00A74196">
        <w:rPr>
          <w:szCs w:val="20"/>
          <w:lang w:val="en-GB"/>
        </w:rPr>
        <w:t xml:space="preserve">s for </w:t>
      </w:r>
      <w:r w:rsidR="005E51BD" w:rsidRPr="00A74196">
        <w:rPr>
          <w:szCs w:val="20"/>
          <w:lang w:val="en-GB"/>
        </w:rPr>
        <w:t xml:space="preserve">‘warehousing and support </w:t>
      </w:r>
      <w:r w:rsidR="00817FC8" w:rsidRPr="00A74196">
        <w:rPr>
          <w:szCs w:val="20"/>
          <w:lang w:val="en-GB"/>
        </w:rPr>
        <w:t>services for transportation’ (+</w:t>
      </w:r>
      <w:r w:rsidR="003D6AB0" w:rsidRPr="00A74196">
        <w:rPr>
          <w:szCs w:val="20"/>
          <w:lang w:val="en-GB"/>
        </w:rPr>
        <w:t>4</w:t>
      </w:r>
      <w:r w:rsidR="005E51BD" w:rsidRPr="00A74196">
        <w:rPr>
          <w:szCs w:val="20"/>
          <w:lang w:val="en-GB"/>
        </w:rPr>
        <w:t>.</w:t>
      </w:r>
      <w:r w:rsidR="000F7E7B" w:rsidRPr="00A74196">
        <w:rPr>
          <w:szCs w:val="20"/>
          <w:lang w:val="en-GB"/>
        </w:rPr>
        <w:t>8</w:t>
      </w:r>
      <w:r w:rsidR="000C5D63" w:rsidRPr="00A74196">
        <w:rPr>
          <w:szCs w:val="20"/>
          <w:lang w:val="en-GB"/>
        </w:rPr>
        <w:t>%)</w:t>
      </w:r>
      <w:r w:rsidR="000F7E7B" w:rsidRPr="00A74196">
        <w:rPr>
          <w:szCs w:val="20"/>
          <w:lang w:val="en-GB"/>
        </w:rPr>
        <w:t>,</w:t>
      </w:r>
      <w:r w:rsidR="000F7E7B" w:rsidRPr="00A74196">
        <w:rPr>
          <w:color w:val="FF0000"/>
          <w:szCs w:val="20"/>
          <w:lang w:val="en-GB"/>
        </w:rPr>
        <w:t xml:space="preserve"> </w:t>
      </w:r>
      <w:r w:rsidR="000F7E7B" w:rsidRPr="00A74196">
        <w:rPr>
          <w:szCs w:val="20"/>
          <w:lang w:val="en-GB"/>
        </w:rPr>
        <w:t>‘management consulting services’</w:t>
      </w:r>
      <w:r w:rsidR="00CD6069" w:rsidRPr="00A74196">
        <w:rPr>
          <w:szCs w:val="20"/>
          <w:lang w:val="en-GB"/>
        </w:rPr>
        <w:t xml:space="preserve"> (+4.5%), </w:t>
      </w:r>
      <w:r w:rsidR="000F7E7B" w:rsidRPr="00A74196">
        <w:rPr>
          <w:szCs w:val="20"/>
          <w:lang w:val="en-GB"/>
        </w:rPr>
        <w:t>‘employment services’ (+</w:t>
      </w:r>
      <w:r w:rsidR="0030189B" w:rsidRPr="00A74196">
        <w:rPr>
          <w:szCs w:val="20"/>
          <w:lang w:val="en-GB"/>
        </w:rPr>
        <w:t>3</w:t>
      </w:r>
      <w:r w:rsidR="000F7E7B" w:rsidRPr="00A74196">
        <w:rPr>
          <w:szCs w:val="20"/>
          <w:lang w:val="en-GB"/>
        </w:rPr>
        <w:t>.4</w:t>
      </w:r>
      <w:r w:rsidR="00B07F85" w:rsidRPr="00A74196">
        <w:rPr>
          <w:szCs w:val="20"/>
          <w:lang w:val="en-GB"/>
        </w:rPr>
        <w:t xml:space="preserve">%) and ‘real estate services’ (+3.1%) </w:t>
      </w:r>
      <w:r w:rsidR="005823E1" w:rsidRPr="00A74196">
        <w:rPr>
          <w:szCs w:val="20"/>
          <w:lang w:val="en-GB"/>
        </w:rPr>
        <w:t xml:space="preserve">rose. </w:t>
      </w:r>
      <w:r w:rsidR="00B07F85" w:rsidRPr="00A74196">
        <w:rPr>
          <w:szCs w:val="20"/>
          <w:lang w:val="en-GB"/>
        </w:rPr>
        <w:t>On the increase were also prices of</w:t>
      </w:r>
      <w:r w:rsidR="00720CAB" w:rsidRPr="00A74196">
        <w:rPr>
          <w:szCs w:val="20"/>
          <w:lang w:val="en-GB"/>
        </w:rPr>
        <w:t xml:space="preserve"> </w:t>
      </w:r>
      <w:r w:rsidR="006E101A" w:rsidRPr="00A74196">
        <w:rPr>
          <w:szCs w:val="20"/>
          <w:lang w:val="en-GB"/>
        </w:rPr>
        <w:t>‘security</w:t>
      </w:r>
      <w:r w:rsidR="008E0BF4" w:rsidRPr="00A74196">
        <w:rPr>
          <w:szCs w:val="20"/>
          <w:lang w:val="en-GB"/>
        </w:rPr>
        <w:t xml:space="preserve"> and investigation services’ </w:t>
      </w:r>
      <w:r w:rsidR="00720CAB" w:rsidRPr="00A74196">
        <w:rPr>
          <w:szCs w:val="20"/>
          <w:lang w:val="en-GB"/>
        </w:rPr>
        <w:t xml:space="preserve">and </w:t>
      </w:r>
      <w:r w:rsidR="003350A8" w:rsidRPr="00A74196">
        <w:rPr>
          <w:szCs w:val="20"/>
          <w:lang w:val="en-GB"/>
        </w:rPr>
        <w:t>‘computer programming, consu</w:t>
      </w:r>
      <w:r w:rsidR="00720CAB" w:rsidRPr="00A74196">
        <w:rPr>
          <w:szCs w:val="20"/>
          <w:lang w:val="en-GB"/>
        </w:rPr>
        <w:t>ltancy and related services’ (+4</w:t>
      </w:r>
      <w:r w:rsidR="003350A8" w:rsidRPr="00A74196">
        <w:rPr>
          <w:szCs w:val="20"/>
          <w:lang w:val="en-GB"/>
        </w:rPr>
        <w:t>.3%</w:t>
      </w:r>
      <w:r w:rsidR="00720CAB" w:rsidRPr="00A74196">
        <w:rPr>
          <w:szCs w:val="20"/>
          <w:lang w:val="en-GB"/>
        </w:rPr>
        <w:t xml:space="preserve"> both</w:t>
      </w:r>
      <w:r w:rsidR="003350A8" w:rsidRPr="00A74196">
        <w:rPr>
          <w:szCs w:val="20"/>
          <w:lang w:val="en-GB"/>
        </w:rPr>
        <w:t>)</w:t>
      </w:r>
      <w:r w:rsidR="00F02019" w:rsidRPr="00A74196">
        <w:rPr>
          <w:szCs w:val="20"/>
          <w:lang w:val="en-GB"/>
        </w:rPr>
        <w:t xml:space="preserve">. </w:t>
      </w:r>
      <w:r w:rsidRPr="00A74196">
        <w:rPr>
          <w:rFonts w:cs="Arial"/>
          <w:bCs/>
          <w:iCs/>
          <w:szCs w:val="20"/>
          <w:lang w:val="en-GB"/>
        </w:rPr>
        <w:t xml:space="preserve">Service producer prices in the business sphere, </w:t>
      </w:r>
      <w:r w:rsidRPr="00A74196">
        <w:rPr>
          <w:szCs w:val="20"/>
          <w:lang w:val="en-GB"/>
        </w:rPr>
        <w:t>excluding advertising s</w:t>
      </w:r>
      <w:r w:rsidR="002E2081" w:rsidRPr="00A74196">
        <w:rPr>
          <w:szCs w:val="20"/>
          <w:lang w:val="en-GB"/>
        </w:rPr>
        <w:t>ervices, grew by 2</w:t>
      </w:r>
      <w:r w:rsidR="00BC231B" w:rsidRPr="00A74196">
        <w:rPr>
          <w:szCs w:val="20"/>
          <w:lang w:val="en-GB"/>
        </w:rPr>
        <w:t>.</w:t>
      </w:r>
      <w:r w:rsidR="00F02019" w:rsidRPr="00A74196">
        <w:rPr>
          <w:szCs w:val="20"/>
          <w:lang w:val="en-GB"/>
        </w:rPr>
        <w:t>3</w:t>
      </w:r>
      <w:r w:rsidRPr="00A74196">
        <w:rPr>
          <w:szCs w:val="20"/>
          <w:lang w:val="en-GB"/>
        </w:rPr>
        <w:t>% (</w:t>
      </w:r>
      <w:r w:rsidR="00F5175C" w:rsidRPr="00A74196">
        <w:rPr>
          <w:szCs w:val="20"/>
          <w:lang w:val="en-GB"/>
        </w:rPr>
        <w:t>+2.</w:t>
      </w:r>
      <w:r w:rsidR="00F02019" w:rsidRPr="00A74196">
        <w:rPr>
          <w:szCs w:val="20"/>
          <w:lang w:val="en-GB"/>
        </w:rPr>
        <w:t>0</w:t>
      </w:r>
      <w:r w:rsidR="00F5175C" w:rsidRPr="00A74196">
        <w:rPr>
          <w:szCs w:val="20"/>
          <w:lang w:val="en-GB"/>
        </w:rPr>
        <w:t xml:space="preserve">% </w:t>
      </w:r>
      <w:r w:rsidR="00854102" w:rsidRPr="00A74196">
        <w:rPr>
          <w:bCs/>
          <w:szCs w:val="20"/>
          <w:lang w:val="en-GB"/>
        </w:rPr>
        <w:t xml:space="preserve">in </w:t>
      </w:r>
      <w:r w:rsidR="00F02019" w:rsidRPr="00A74196">
        <w:rPr>
          <w:bCs/>
          <w:szCs w:val="20"/>
          <w:lang w:val="en-GB"/>
        </w:rPr>
        <w:t>June</w:t>
      </w:r>
      <w:r w:rsidRPr="00A74196">
        <w:rPr>
          <w:szCs w:val="20"/>
          <w:lang w:val="en-GB"/>
        </w:rPr>
        <w:t>).</w:t>
      </w:r>
      <w:r w:rsidRPr="00A74196">
        <w:rPr>
          <w:color w:val="FF0000"/>
          <w:szCs w:val="20"/>
          <w:lang w:val="en-GB"/>
        </w:rPr>
        <w:t xml:space="preserve"> </w:t>
      </w:r>
    </w:p>
    <w:p w:rsidR="00315808" w:rsidRPr="00A74196" w:rsidRDefault="00315808" w:rsidP="00315808">
      <w:pPr>
        <w:rPr>
          <w:b/>
          <w:color w:val="FF0000"/>
          <w:lang w:val="en-GB"/>
        </w:rPr>
      </w:pPr>
    </w:p>
    <w:p w:rsidR="00A74196" w:rsidRPr="00A74196" w:rsidRDefault="00A74196" w:rsidP="00A74196">
      <w:pPr>
        <w:rPr>
          <w:b/>
          <w:szCs w:val="20"/>
          <w:lang w:val="en-GB"/>
        </w:rPr>
      </w:pPr>
      <w:r w:rsidRPr="00A74196">
        <w:rPr>
          <w:b/>
          <w:lang w:val="en-GB"/>
        </w:rPr>
        <w:t xml:space="preserve">Industrial producer prices in the EU – June 2020 </w:t>
      </w:r>
      <w:r w:rsidRPr="00A74196">
        <w:rPr>
          <w:b/>
          <w:szCs w:val="20"/>
          <w:lang w:val="en-GB"/>
        </w:rPr>
        <w:t>(preliminary data)</w:t>
      </w:r>
    </w:p>
    <w:p w:rsidR="00A74196" w:rsidRPr="00A74196" w:rsidRDefault="00A74196" w:rsidP="00A74196">
      <w:pPr>
        <w:rPr>
          <w:rFonts w:cs="Arial"/>
          <w:bCs/>
          <w:iCs/>
          <w:szCs w:val="20"/>
          <w:lang w:val="en-GB"/>
        </w:rPr>
      </w:pPr>
    </w:p>
    <w:p w:rsidR="00A74196" w:rsidRPr="00A74196" w:rsidRDefault="00A74196" w:rsidP="00A74196">
      <w:pPr>
        <w:rPr>
          <w:lang w:val="en-GB"/>
        </w:rPr>
      </w:pPr>
      <w:r w:rsidRPr="00A74196">
        <w:rPr>
          <w:lang w:val="en-GB"/>
        </w:rPr>
        <w:t xml:space="preserve">According to the Eurostat News Releases, industrial producer prices increased in June by 0.7% (in May they fell by 0.5%) in EU27, </w:t>
      </w:r>
      <w:r w:rsidRPr="00A74196">
        <w:rPr>
          <w:b/>
          <w:lang w:val="en-GB"/>
        </w:rPr>
        <w:t xml:space="preserve">month-on-month. </w:t>
      </w:r>
      <w:r w:rsidRPr="00A74196">
        <w:rPr>
          <w:lang w:val="en-GB"/>
        </w:rPr>
        <w:t xml:space="preserve">The highest increase was recorded in Estonia (+3.7%). </w:t>
      </w:r>
      <w:r w:rsidRPr="00A74196">
        <w:rPr>
          <w:szCs w:val="20"/>
          <w:lang w:val="en-GB"/>
        </w:rPr>
        <w:t xml:space="preserve">Price were higher in </w:t>
      </w:r>
      <w:r w:rsidRPr="00A74196">
        <w:rPr>
          <w:lang w:val="en-GB"/>
        </w:rPr>
        <w:t xml:space="preserve">Poland (+0.8%), Austria (+0.2%) and Slovakia (+0.1%) and remained stable in Germany (0.0%). The only decrease was observed in the Czech Republic (-0.1%). </w:t>
      </w:r>
    </w:p>
    <w:p w:rsidR="00A74196" w:rsidRPr="00A74196" w:rsidRDefault="00A74196" w:rsidP="00A74196">
      <w:pPr>
        <w:rPr>
          <w:szCs w:val="20"/>
          <w:lang w:val="en-GB"/>
        </w:rPr>
      </w:pPr>
    </w:p>
    <w:p w:rsidR="00A74196" w:rsidRPr="00A74196" w:rsidRDefault="00A74196" w:rsidP="00A74196">
      <w:pPr>
        <w:rPr>
          <w:lang w:val="en-GB"/>
        </w:rPr>
      </w:pPr>
      <w:r w:rsidRPr="00A74196">
        <w:rPr>
          <w:lang w:val="en-GB"/>
        </w:rPr>
        <w:t xml:space="preserve">Industrial producer prices decreased in June by 3.4% (in May they went down by 4.6%) in EU27, </w:t>
      </w:r>
      <w:r w:rsidRPr="00A74196">
        <w:rPr>
          <w:b/>
          <w:lang w:val="en-GB"/>
        </w:rPr>
        <w:t>year-on-year</w:t>
      </w:r>
      <w:r w:rsidRPr="00A74196">
        <w:rPr>
          <w:lang w:val="en-GB"/>
        </w:rPr>
        <w:t xml:space="preserve">. The largest decrease was observed in Lithuania (-7.8%). </w:t>
      </w:r>
      <w:r w:rsidRPr="00A74196">
        <w:rPr>
          <w:szCs w:val="20"/>
          <w:lang w:val="en-GB"/>
        </w:rPr>
        <w:t xml:space="preserve">Price were lower in </w:t>
      </w:r>
      <w:r w:rsidRPr="00A74196">
        <w:rPr>
          <w:lang w:val="en-GB"/>
        </w:rPr>
        <w:t>Austria (-2.9%), Germany (-1.6%), Poland (-1.1%), the Czech Republic (-0.3%) and Slovakia (-0.2%). The highest increase was recorded in Malta (+1.5%).</w:t>
      </w:r>
    </w:p>
    <w:p w:rsidR="00A74196" w:rsidRPr="00A74196" w:rsidRDefault="00A74196" w:rsidP="00315808">
      <w:pPr>
        <w:rPr>
          <w:b/>
          <w:color w:val="FF0000"/>
          <w:lang w:val="en-GB"/>
        </w:rPr>
      </w:pPr>
    </w:p>
    <w:p w:rsidR="00065E35" w:rsidRPr="00A74196" w:rsidRDefault="00065E35" w:rsidP="00065E35">
      <w:pPr>
        <w:pStyle w:val="Poznmky"/>
        <w:rPr>
          <w:lang w:val="en-GB"/>
        </w:rPr>
      </w:pPr>
      <w:r w:rsidRPr="00A74196">
        <w:rPr>
          <w:lang w:val="en-GB"/>
        </w:rPr>
        <w:t xml:space="preserve">Notes: </w:t>
      </w:r>
    </w:p>
    <w:p w:rsidR="00065E35" w:rsidRPr="0026376B" w:rsidRDefault="00065E35" w:rsidP="00065E35">
      <w:pPr>
        <w:tabs>
          <w:tab w:val="left" w:pos="3544"/>
        </w:tabs>
        <w:ind w:left="3544" w:hanging="3544"/>
        <w:jc w:val="left"/>
        <w:rPr>
          <w:i/>
          <w:sz w:val="18"/>
          <w:szCs w:val="18"/>
          <w:lang w:val="en-GB"/>
        </w:rPr>
      </w:pPr>
      <w:r w:rsidRPr="00A74196">
        <w:rPr>
          <w:i/>
          <w:sz w:val="18"/>
          <w:szCs w:val="18"/>
          <w:lang w:val="en-GB"/>
        </w:rPr>
        <w:t xml:space="preserve">Responsible head at the CZSO: </w:t>
      </w:r>
      <w:r w:rsidRPr="00A74196">
        <w:rPr>
          <w:i/>
          <w:sz w:val="18"/>
          <w:szCs w:val="18"/>
          <w:lang w:val="en-GB"/>
        </w:rPr>
        <w:tab/>
        <w:t xml:space="preserve">Jiří Mrázek, Director of </w:t>
      </w:r>
      <w:r w:rsidRPr="00A74196">
        <w:rPr>
          <w:bCs/>
          <w:i/>
          <w:sz w:val="18"/>
          <w:szCs w:val="18"/>
          <w:lang w:val="en-GB"/>
        </w:rPr>
        <w:t>Prices Statistics Department</w:t>
      </w:r>
      <w:r w:rsidRPr="00A74196">
        <w:rPr>
          <w:i/>
          <w:sz w:val="18"/>
          <w:szCs w:val="18"/>
          <w:lang w:val="en-GB"/>
        </w:rPr>
        <w:t xml:space="preserve">, </w:t>
      </w:r>
      <w:r w:rsidRPr="00A74196">
        <w:rPr>
          <w:i/>
          <w:sz w:val="18"/>
          <w:szCs w:val="18"/>
          <w:lang w:val="en-GB"/>
        </w:rPr>
        <w:br/>
        <w:t xml:space="preserve">phone (+420) </w:t>
      </w:r>
      <w:r w:rsidRPr="00A74196">
        <w:rPr>
          <w:i/>
          <w:iCs/>
          <w:sz w:val="18"/>
          <w:szCs w:val="18"/>
          <w:lang w:val="en-GB"/>
        </w:rPr>
        <w:t>274 052 533</w:t>
      </w:r>
      <w:r w:rsidRPr="00A74196">
        <w:rPr>
          <w:i/>
          <w:sz w:val="18"/>
          <w:szCs w:val="18"/>
          <w:lang w:val="en-GB"/>
        </w:rPr>
        <w:t xml:space="preserve">, e-mail: </w:t>
      </w:r>
      <w:hyperlink r:id="rId7" w:history="1">
        <w:r w:rsidRPr="00A74196">
          <w:rPr>
            <w:rStyle w:val="Hypertextovodkaz"/>
            <w:i/>
            <w:sz w:val="18"/>
            <w:szCs w:val="18"/>
            <w:lang w:val="en-GB"/>
          </w:rPr>
          <w:t>jiri.mrazek@czso.cz</w:t>
        </w:r>
      </w:hyperlink>
    </w:p>
    <w:p w:rsidR="00065E35" w:rsidRPr="0026376B" w:rsidRDefault="00065E35" w:rsidP="00065E35">
      <w:pPr>
        <w:tabs>
          <w:tab w:val="left" w:pos="3544"/>
        </w:tabs>
        <w:spacing w:before="60"/>
        <w:ind w:left="3544" w:hanging="3544"/>
        <w:jc w:val="left"/>
        <w:rPr>
          <w:i/>
          <w:sz w:val="18"/>
          <w:szCs w:val="18"/>
          <w:lang w:val="en-GB"/>
        </w:rPr>
      </w:pPr>
      <w:r w:rsidRPr="0026376B">
        <w:rPr>
          <w:i/>
          <w:sz w:val="18"/>
          <w:szCs w:val="18"/>
          <w:lang w:val="en-GB"/>
        </w:rPr>
        <w:t xml:space="preserve">Contact person: </w:t>
      </w:r>
      <w:r w:rsidRPr="0026376B">
        <w:rPr>
          <w:i/>
          <w:sz w:val="18"/>
          <w:szCs w:val="18"/>
          <w:lang w:val="en-GB"/>
        </w:rPr>
        <w:tab/>
        <w:t>Jiří Šulc, Head of Agricultural, Construction, and Services Prices Statistics</w:t>
      </w:r>
      <w:r w:rsidR="00A74196">
        <w:rPr>
          <w:i/>
          <w:sz w:val="18"/>
          <w:szCs w:val="18"/>
          <w:lang w:val="en-GB"/>
        </w:rPr>
        <w:t xml:space="preserve"> Unit, phone (+420) 274 052 148, </w:t>
      </w:r>
      <w:r w:rsidRPr="0026376B">
        <w:rPr>
          <w:i/>
          <w:sz w:val="18"/>
          <w:szCs w:val="18"/>
          <w:lang w:val="en-GB"/>
        </w:rPr>
        <w:br/>
        <w:t xml:space="preserve">e-mail: </w:t>
      </w:r>
      <w:hyperlink r:id="rId8" w:history="1">
        <w:r w:rsidRPr="0026376B">
          <w:rPr>
            <w:rStyle w:val="Hypertextovodkaz"/>
            <w:i/>
            <w:sz w:val="18"/>
            <w:szCs w:val="18"/>
            <w:lang w:val="en-GB"/>
          </w:rPr>
          <w:t>jiri.sulc@czso.cz</w:t>
        </w:r>
      </w:hyperlink>
    </w:p>
    <w:p w:rsidR="00065E35" w:rsidRPr="0026376B" w:rsidRDefault="00065E35" w:rsidP="00065E35">
      <w:pPr>
        <w:ind w:left="3544"/>
        <w:jc w:val="left"/>
        <w:rPr>
          <w:i/>
          <w:sz w:val="18"/>
          <w:szCs w:val="18"/>
          <w:lang w:val="en-GB"/>
        </w:rPr>
      </w:pPr>
      <w:r w:rsidRPr="0026376B">
        <w:rPr>
          <w:i/>
          <w:sz w:val="18"/>
          <w:szCs w:val="18"/>
          <w:lang w:val="en-GB"/>
        </w:rPr>
        <w:lastRenderedPageBreak/>
        <w:t xml:space="preserve">Miloslav Beránek, </w:t>
      </w:r>
      <w:r w:rsidRPr="0026376B">
        <w:rPr>
          <w:rFonts w:cs="Arial"/>
          <w:i/>
          <w:sz w:val="18"/>
          <w:szCs w:val="18"/>
          <w:lang w:val="en-GB"/>
        </w:rPr>
        <w:t>Industrial and International Trade</w:t>
      </w:r>
      <w:r w:rsidRPr="0026376B">
        <w:rPr>
          <w:i/>
          <w:sz w:val="18"/>
          <w:szCs w:val="18"/>
          <w:lang w:val="en-GB"/>
        </w:rPr>
        <w:t xml:space="preserve"> Prices Statistics Unit, phone (+420) 274 052 665, </w:t>
      </w:r>
      <w:r w:rsidRPr="0026376B">
        <w:rPr>
          <w:i/>
          <w:sz w:val="18"/>
          <w:szCs w:val="18"/>
          <w:lang w:val="en-GB"/>
        </w:rPr>
        <w:br/>
        <w:t xml:space="preserve">e-mail: </w:t>
      </w:r>
      <w:hyperlink r:id="rId9" w:history="1">
        <w:r w:rsidRPr="0026376B">
          <w:rPr>
            <w:rStyle w:val="Hypertextovodkaz"/>
            <w:rFonts w:cs="Arial"/>
            <w:i/>
            <w:sz w:val="18"/>
            <w:szCs w:val="18"/>
            <w:lang w:val="en-GB"/>
          </w:rPr>
          <w:t>miloslav.beranek@czso.cz</w:t>
        </w:r>
      </w:hyperlink>
    </w:p>
    <w:p w:rsidR="00065E35" w:rsidRPr="0026376B" w:rsidRDefault="00065E35" w:rsidP="00065E35">
      <w:pPr>
        <w:pStyle w:val="Poznmky"/>
        <w:pBdr>
          <w:top w:val="none" w:sz="0" w:space="0" w:color="auto"/>
        </w:pBdr>
        <w:spacing w:before="60"/>
        <w:ind w:left="3544" w:hanging="3544"/>
        <w:rPr>
          <w:i/>
          <w:color w:val="auto"/>
          <w:lang w:val="en-GB"/>
        </w:rPr>
      </w:pPr>
      <w:r w:rsidRPr="0026376B">
        <w:rPr>
          <w:i/>
          <w:lang w:val="en-GB"/>
        </w:rPr>
        <w:t>Method of data acquisition</w:t>
      </w:r>
      <w:r w:rsidRPr="0026376B">
        <w:rPr>
          <w:i/>
          <w:color w:val="auto"/>
          <w:lang w:val="en-GB"/>
        </w:rPr>
        <w:t>:</w:t>
      </w:r>
      <w:r w:rsidRPr="0026376B">
        <w:rPr>
          <w:i/>
          <w:color w:val="auto"/>
          <w:lang w:val="en-GB"/>
        </w:rPr>
        <w:tab/>
      </w:r>
      <w:r w:rsidRPr="0026376B">
        <w:rPr>
          <w:i/>
          <w:lang w:val="en-GB"/>
        </w:rPr>
        <w:t xml:space="preserve">CZSO direct surveys </w:t>
      </w:r>
    </w:p>
    <w:p w:rsidR="00065E35" w:rsidRPr="0026376B" w:rsidRDefault="00065E35" w:rsidP="00065E35">
      <w:pPr>
        <w:spacing w:before="60"/>
        <w:jc w:val="left"/>
        <w:rPr>
          <w:i/>
          <w:sz w:val="18"/>
          <w:szCs w:val="18"/>
          <w:lang w:val="en-GB"/>
        </w:rPr>
      </w:pPr>
    </w:p>
    <w:p w:rsidR="00065E35" w:rsidRPr="0026376B" w:rsidRDefault="00065E35" w:rsidP="00065E35">
      <w:pPr>
        <w:spacing w:before="60"/>
        <w:jc w:val="left"/>
        <w:rPr>
          <w:i/>
          <w:sz w:val="18"/>
          <w:szCs w:val="18"/>
          <w:lang w:val="en-GB"/>
        </w:rPr>
      </w:pPr>
      <w:r w:rsidRPr="0026376B">
        <w:rPr>
          <w:i/>
          <w:sz w:val="18"/>
          <w:szCs w:val="18"/>
          <w:lang w:val="en-GB"/>
        </w:rPr>
        <w:t>End of data collection / End of data processing:</w:t>
      </w:r>
    </w:p>
    <w:p w:rsidR="00065E35" w:rsidRPr="006C5872" w:rsidRDefault="00065E35" w:rsidP="00065E35">
      <w:pPr>
        <w:spacing w:before="60"/>
        <w:ind w:left="3969" w:hanging="3969"/>
        <w:jc w:val="left"/>
        <w:rPr>
          <w:i/>
          <w:sz w:val="18"/>
          <w:szCs w:val="18"/>
          <w:lang w:val="en-GB"/>
        </w:rPr>
      </w:pPr>
      <w:r w:rsidRPr="0026376B">
        <w:rPr>
          <w:i/>
          <w:sz w:val="18"/>
          <w:szCs w:val="18"/>
          <w:lang w:val="en-GB"/>
        </w:rPr>
        <w:t xml:space="preserve">Agricultural producer price indices: </w:t>
      </w:r>
      <w:r w:rsidRPr="0026376B">
        <w:rPr>
          <w:i/>
          <w:sz w:val="18"/>
          <w:szCs w:val="18"/>
          <w:lang w:val="en-GB"/>
        </w:rPr>
        <w:tab/>
        <w:t>26th calendar day of referen</w:t>
      </w:r>
      <w:r w:rsidRPr="006C5872">
        <w:rPr>
          <w:i/>
          <w:sz w:val="18"/>
          <w:szCs w:val="18"/>
          <w:lang w:val="en-GB"/>
        </w:rPr>
        <w:t xml:space="preserve">ce month / 8th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Industrial producer price indices: </w:t>
      </w:r>
      <w:r w:rsidRPr="006C5872">
        <w:rPr>
          <w:i/>
          <w:sz w:val="18"/>
          <w:szCs w:val="18"/>
          <w:lang w:val="en-GB"/>
        </w:rPr>
        <w:tab/>
        <w:t xml:space="preserve">20th calendar day of reference month / 9th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Service producer prices in the business sphere: </w:t>
      </w:r>
      <w:r w:rsidRPr="006C5872">
        <w:rPr>
          <w:i/>
          <w:sz w:val="18"/>
          <w:szCs w:val="18"/>
          <w:lang w:val="en-GB"/>
        </w:rPr>
        <w:tab/>
        <w:t xml:space="preserve">20th calendar day of reference month / 9th calendar day of the following month </w:t>
      </w:r>
    </w:p>
    <w:p w:rsidR="00065E35" w:rsidRPr="006C5872" w:rsidRDefault="00065E35" w:rsidP="00065E35">
      <w:pPr>
        <w:jc w:val="left"/>
        <w:rPr>
          <w:rFonts w:eastAsia="Times New Roman" w:cs="Arial"/>
          <w:i/>
          <w:sz w:val="18"/>
          <w:szCs w:val="18"/>
          <w:lang w:val="en-GB" w:eastAsia="cs-CZ"/>
        </w:rPr>
      </w:pPr>
      <w:r w:rsidRPr="006C5872">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6C5872" w:rsidRDefault="00065E35" w:rsidP="00065E35">
      <w:pPr>
        <w:jc w:val="left"/>
        <w:rPr>
          <w:rFonts w:eastAsia="Times New Roman" w:cs="Arial"/>
          <w:i/>
          <w:sz w:val="18"/>
          <w:szCs w:val="18"/>
          <w:lang w:val="en-GB" w:eastAsia="cs-CZ"/>
        </w:rPr>
      </w:pPr>
    </w:p>
    <w:p w:rsidR="00065E35" w:rsidRPr="006C5872" w:rsidRDefault="00065E35" w:rsidP="00065E35">
      <w:pPr>
        <w:tabs>
          <w:tab w:val="left" w:pos="4678"/>
        </w:tabs>
        <w:ind w:left="3544" w:hanging="3544"/>
        <w:jc w:val="left"/>
        <w:rPr>
          <w:i/>
          <w:sz w:val="18"/>
          <w:szCs w:val="18"/>
          <w:lang w:val="en-GB"/>
        </w:rPr>
      </w:pPr>
      <w:r w:rsidRPr="006C5872">
        <w:rPr>
          <w:i/>
          <w:sz w:val="18"/>
          <w:szCs w:val="18"/>
          <w:lang w:val="en-GB"/>
        </w:rPr>
        <w:t xml:space="preserve">Related publications: </w:t>
      </w:r>
      <w:r w:rsidRPr="006C5872">
        <w:rPr>
          <w:i/>
          <w:sz w:val="18"/>
          <w:szCs w:val="18"/>
          <w:lang w:val="en-GB"/>
        </w:rPr>
        <w:tab/>
        <w:t xml:space="preserve">011041 – </w:t>
      </w:r>
      <w:r w:rsidR="00F64D31" w:rsidRPr="006C5872">
        <w:rPr>
          <w:i/>
          <w:sz w:val="18"/>
          <w:szCs w:val="18"/>
          <w:lang w:val="en-GB"/>
        </w:rPr>
        <w:t>20</w:t>
      </w:r>
      <w:r w:rsidRPr="006C5872">
        <w:rPr>
          <w:i/>
          <w:sz w:val="18"/>
          <w:szCs w:val="18"/>
          <w:lang w:val="en-GB"/>
        </w:rPr>
        <w:tab/>
        <w:t xml:space="preserve">Price Indices of Constructions Works, Price </w:t>
      </w:r>
      <w:r w:rsidRPr="006C5872">
        <w:rPr>
          <w:i/>
          <w:sz w:val="18"/>
          <w:szCs w:val="18"/>
          <w:lang w:val="en-GB"/>
        </w:rPr>
        <w:tab/>
        <w:t xml:space="preserve">Indices of Constructions, and Indices of </w:t>
      </w:r>
      <w:r w:rsidRPr="006C5872">
        <w:rPr>
          <w:i/>
          <w:sz w:val="18"/>
          <w:szCs w:val="18"/>
          <w:lang w:val="en-GB"/>
        </w:rPr>
        <w:tab/>
        <w:t>Construction Costs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011044 – </w:t>
      </w:r>
      <w:r w:rsidR="00F64D31" w:rsidRPr="006C5872">
        <w:rPr>
          <w:i/>
          <w:sz w:val="18"/>
          <w:szCs w:val="18"/>
          <w:lang w:val="en-GB"/>
        </w:rPr>
        <w:t>20</w:t>
      </w:r>
      <w:r w:rsidRPr="006C5872">
        <w:rPr>
          <w:i/>
          <w:sz w:val="18"/>
          <w:szCs w:val="18"/>
          <w:lang w:val="en-GB"/>
        </w:rPr>
        <w:tab/>
        <w:t>Industrial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011045 – </w:t>
      </w:r>
      <w:r w:rsidR="00F64D31" w:rsidRPr="006C5872">
        <w:rPr>
          <w:i/>
          <w:sz w:val="18"/>
          <w:szCs w:val="18"/>
          <w:lang w:val="en-GB"/>
        </w:rPr>
        <w:t>20</w:t>
      </w:r>
      <w:r w:rsidRPr="006C5872">
        <w:rPr>
          <w:i/>
          <w:sz w:val="18"/>
          <w:szCs w:val="18"/>
          <w:lang w:val="en-GB"/>
        </w:rPr>
        <w:tab/>
        <w:t>Agricultural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011046 – </w:t>
      </w:r>
      <w:r w:rsidR="00F64D31" w:rsidRPr="006C5872">
        <w:rPr>
          <w:i/>
          <w:sz w:val="18"/>
          <w:szCs w:val="18"/>
          <w:lang w:val="en-GB"/>
        </w:rPr>
        <w:t>20</w:t>
      </w:r>
      <w:r w:rsidRPr="006C5872">
        <w:rPr>
          <w:i/>
          <w:sz w:val="18"/>
          <w:szCs w:val="18"/>
          <w:lang w:val="en-GB"/>
        </w:rPr>
        <w:tab/>
        <w:t xml:space="preserve">Service Producer Prices in the Business </w:t>
      </w:r>
      <w:r w:rsidRPr="006C5872">
        <w:rPr>
          <w:i/>
          <w:sz w:val="18"/>
          <w:szCs w:val="18"/>
          <w:lang w:val="en-GB"/>
        </w:rPr>
        <w:tab/>
        <w:t>Sphere</w:t>
      </w:r>
    </w:p>
    <w:p w:rsidR="00065E35" w:rsidRPr="006C5872" w:rsidRDefault="00065E35" w:rsidP="00065E35">
      <w:pPr>
        <w:tabs>
          <w:tab w:val="left" w:pos="3544"/>
        </w:tabs>
        <w:spacing w:before="60"/>
        <w:jc w:val="left"/>
        <w:rPr>
          <w:i/>
          <w:sz w:val="18"/>
          <w:szCs w:val="18"/>
          <w:lang w:val="en-GB"/>
        </w:rPr>
      </w:pPr>
      <w:r w:rsidRPr="006C5872">
        <w:rPr>
          <w:i/>
          <w:sz w:val="18"/>
          <w:szCs w:val="18"/>
          <w:lang w:val="en-GB"/>
        </w:rPr>
        <w:t>Following outcomes:</w:t>
      </w:r>
      <w:r w:rsidRPr="006C5872">
        <w:rPr>
          <w:i/>
          <w:sz w:val="18"/>
          <w:szCs w:val="18"/>
          <w:lang w:val="en-GB"/>
        </w:rPr>
        <w:tab/>
      </w:r>
      <w:hyperlink r:id="rId10" w:history="1">
        <w:r w:rsidRPr="006C5872">
          <w:rPr>
            <w:rStyle w:val="Hypertextovodkaz"/>
            <w:i/>
            <w:sz w:val="18"/>
            <w:szCs w:val="18"/>
            <w:lang w:val="en-GB"/>
          </w:rPr>
          <w:t>https://www.czso.cz/csu/czso/producer-prices-publications</w:t>
        </w:r>
      </w:hyperlink>
    </w:p>
    <w:p w:rsidR="00065E35" w:rsidRPr="006C5872" w:rsidRDefault="00065E35" w:rsidP="00065E35">
      <w:pPr>
        <w:tabs>
          <w:tab w:val="left" w:pos="3544"/>
        </w:tabs>
        <w:spacing w:before="60"/>
        <w:jc w:val="left"/>
        <w:rPr>
          <w:i/>
          <w:sz w:val="18"/>
          <w:szCs w:val="18"/>
          <w:lang w:val="en-GB"/>
        </w:rPr>
      </w:pPr>
      <w:r w:rsidRPr="006C5872">
        <w:rPr>
          <w:i/>
          <w:sz w:val="18"/>
          <w:szCs w:val="18"/>
          <w:lang w:val="en-GB"/>
        </w:rPr>
        <w:t xml:space="preserve">Next News </w:t>
      </w:r>
      <w:r w:rsidR="00543308">
        <w:rPr>
          <w:i/>
          <w:sz w:val="18"/>
          <w:szCs w:val="18"/>
          <w:lang w:val="en-GB"/>
        </w:rPr>
        <w:t>Release will be published on:</w:t>
      </w:r>
      <w:r w:rsidR="00543308">
        <w:rPr>
          <w:i/>
          <w:sz w:val="18"/>
          <w:szCs w:val="18"/>
          <w:lang w:val="en-GB"/>
        </w:rPr>
        <w:tab/>
        <w:t>16</w:t>
      </w:r>
      <w:r w:rsidRPr="006C5872">
        <w:rPr>
          <w:i/>
          <w:sz w:val="18"/>
          <w:szCs w:val="18"/>
          <w:lang w:val="en-GB"/>
        </w:rPr>
        <w:t xml:space="preserve"> </w:t>
      </w:r>
      <w:r w:rsidR="00543308">
        <w:rPr>
          <w:i/>
          <w:sz w:val="18"/>
          <w:szCs w:val="18"/>
          <w:lang w:val="en-GB"/>
        </w:rPr>
        <w:t xml:space="preserve">September </w:t>
      </w:r>
      <w:r w:rsidRPr="006C5872">
        <w:rPr>
          <w:i/>
          <w:sz w:val="18"/>
          <w:szCs w:val="18"/>
          <w:lang w:val="en-GB"/>
        </w:rPr>
        <w:t>2020</w:t>
      </w:r>
    </w:p>
    <w:p w:rsidR="00065E35" w:rsidRPr="006C5872"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D209A7" w:rsidRPr="00890FCD" w:rsidRDefault="00065E35" w:rsidP="00890FCD">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D209A7" w:rsidRPr="00890FC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44" w:rsidRDefault="00F74B44" w:rsidP="00BA6370">
      <w:r>
        <w:separator/>
      </w:r>
    </w:p>
  </w:endnote>
  <w:endnote w:type="continuationSeparator" w:id="0">
    <w:p w:rsidR="00F74B44" w:rsidRDefault="00F74B4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F74B44">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CB0131" w:rsidRPr="007E75DE">
                  <w:rPr>
                    <w:rFonts w:cs="Arial"/>
                    <w:szCs w:val="15"/>
                  </w:rPr>
                  <w:fldChar w:fldCharType="begin"/>
                </w:r>
                <w:r w:rsidRPr="007E75DE">
                  <w:rPr>
                    <w:rFonts w:cs="Arial"/>
                    <w:szCs w:val="15"/>
                  </w:rPr>
                  <w:instrText xml:space="preserve"> PAGE   \* MERGEFORMAT </w:instrText>
                </w:r>
                <w:r w:rsidR="00CB0131" w:rsidRPr="007E75DE">
                  <w:rPr>
                    <w:rFonts w:cs="Arial"/>
                    <w:szCs w:val="15"/>
                  </w:rPr>
                  <w:fldChar w:fldCharType="separate"/>
                </w:r>
                <w:r w:rsidR="00DD6E54">
                  <w:rPr>
                    <w:rFonts w:cs="Arial"/>
                    <w:noProof/>
                    <w:szCs w:val="15"/>
                  </w:rPr>
                  <w:t>1</w:t>
                </w:r>
                <w:r w:rsidR="00CB0131" w:rsidRPr="007E75DE">
                  <w:rPr>
                    <w:rFonts w:cs="Arial"/>
                    <w:szCs w:val="15"/>
                  </w:rPr>
                  <w:fldChar w:fldCharType="end"/>
                </w:r>
              </w:p>
            </w:txbxContent>
          </v:textbox>
          <w10:wrap anchorx="page" anchory="page"/>
        </v:shape>
      </w:pict>
    </w:r>
    <w:r>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44" w:rsidRDefault="00F74B44" w:rsidP="00BA6370">
      <w:r>
        <w:separator/>
      </w:r>
    </w:p>
  </w:footnote>
  <w:footnote w:type="continuationSeparator" w:id="0">
    <w:p w:rsidR="00F74B44" w:rsidRDefault="00F74B4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F74B44">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NotTrackMoves/>
  <w:defaultTabStop w:val="720"/>
  <w:hyphenationZone w:val="425"/>
  <w:characterSpacingControl w:val="doNotCompress"/>
  <w:hdrShapeDefaults>
    <o:shapedefaults v:ext="edit" spidmax="206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35"/>
    <w:rsid w:val="00002771"/>
    <w:rsid w:val="00006561"/>
    <w:rsid w:val="00014877"/>
    <w:rsid w:val="00016C48"/>
    <w:rsid w:val="00017979"/>
    <w:rsid w:val="00017F44"/>
    <w:rsid w:val="00020F89"/>
    <w:rsid w:val="00021356"/>
    <w:rsid w:val="00021C88"/>
    <w:rsid w:val="00026DE3"/>
    <w:rsid w:val="00032329"/>
    <w:rsid w:val="00040FE0"/>
    <w:rsid w:val="00043BF4"/>
    <w:rsid w:val="00044627"/>
    <w:rsid w:val="00052856"/>
    <w:rsid w:val="00060F44"/>
    <w:rsid w:val="00065AED"/>
    <w:rsid w:val="00065E35"/>
    <w:rsid w:val="00067F12"/>
    <w:rsid w:val="00072199"/>
    <w:rsid w:val="000843A5"/>
    <w:rsid w:val="00091722"/>
    <w:rsid w:val="00091D54"/>
    <w:rsid w:val="000A6A0F"/>
    <w:rsid w:val="000B5CFE"/>
    <w:rsid w:val="000B6F63"/>
    <w:rsid w:val="000C1FC1"/>
    <w:rsid w:val="000C5D63"/>
    <w:rsid w:val="000C724C"/>
    <w:rsid w:val="000E06DA"/>
    <w:rsid w:val="000E5489"/>
    <w:rsid w:val="000E7316"/>
    <w:rsid w:val="000F5A05"/>
    <w:rsid w:val="000F6444"/>
    <w:rsid w:val="000F6E8E"/>
    <w:rsid w:val="000F7E7B"/>
    <w:rsid w:val="001007DD"/>
    <w:rsid w:val="001033B2"/>
    <w:rsid w:val="00104B3A"/>
    <w:rsid w:val="0010779B"/>
    <w:rsid w:val="00113660"/>
    <w:rsid w:val="00113A4B"/>
    <w:rsid w:val="00116ED1"/>
    <w:rsid w:val="00120D30"/>
    <w:rsid w:val="00121FA5"/>
    <w:rsid w:val="001229C8"/>
    <w:rsid w:val="00123849"/>
    <w:rsid w:val="00126971"/>
    <w:rsid w:val="0013242C"/>
    <w:rsid w:val="00132614"/>
    <w:rsid w:val="0013554B"/>
    <w:rsid w:val="001404AB"/>
    <w:rsid w:val="001443E7"/>
    <w:rsid w:val="00145AC7"/>
    <w:rsid w:val="001515AA"/>
    <w:rsid w:val="001559DC"/>
    <w:rsid w:val="001667E2"/>
    <w:rsid w:val="0017231D"/>
    <w:rsid w:val="00176E26"/>
    <w:rsid w:val="00176E58"/>
    <w:rsid w:val="0018061F"/>
    <w:rsid w:val="001810DC"/>
    <w:rsid w:val="00181B40"/>
    <w:rsid w:val="00186752"/>
    <w:rsid w:val="001903F6"/>
    <w:rsid w:val="00196D70"/>
    <w:rsid w:val="001A3872"/>
    <w:rsid w:val="001B185F"/>
    <w:rsid w:val="001B1A79"/>
    <w:rsid w:val="001B2F48"/>
    <w:rsid w:val="001B607F"/>
    <w:rsid w:val="001B6085"/>
    <w:rsid w:val="001B6D8E"/>
    <w:rsid w:val="001C37A9"/>
    <w:rsid w:val="001C71FD"/>
    <w:rsid w:val="001D01EC"/>
    <w:rsid w:val="001D2A1E"/>
    <w:rsid w:val="001D369A"/>
    <w:rsid w:val="001D7466"/>
    <w:rsid w:val="001F0652"/>
    <w:rsid w:val="001F08B3"/>
    <w:rsid w:val="001F370D"/>
    <w:rsid w:val="0020034D"/>
    <w:rsid w:val="002035C6"/>
    <w:rsid w:val="002070FB"/>
    <w:rsid w:val="0020720D"/>
    <w:rsid w:val="00212D5E"/>
    <w:rsid w:val="00213729"/>
    <w:rsid w:val="0021554F"/>
    <w:rsid w:val="00222040"/>
    <w:rsid w:val="0023005D"/>
    <w:rsid w:val="00230C6D"/>
    <w:rsid w:val="002406FA"/>
    <w:rsid w:val="00241015"/>
    <w:rsid w:val="002423F2"/>
    <w:rsid w:val="0025444A"/>
    <w:rsid w:val="002578B0"/>
    <w:rsid w:val="0026308B"/>
    <w:rsid w:val="0026376B"/>
    <w:rsid w:val="00267634"/>
    <w:rsid w:val="002701D4"/>
    <w:rsid w:val="00275F8E"/>
    <w:rsid w:val="0028714E"/>
    <w:rsid w:val="00290A26"/>
    <w:rsid w:val="002952D3"/>
    <w:rsid w:val="00297900"/>
    <w:rsid w:val="002A2D67"/>
    <w:rsid w:val="002A34E9"/>
    <w:rsid w:val="002B224E"/>
    <w:rsid w:val="002B2E47"/>
    <w:rsid w:val="002D37F5"/>
    <w:rsid w:val="002D6C3F"/>
    <w:rsid w:val="002E2081"/>
    <w:rsid w:val="002E2356"/>
    <w:rsid w:val="002F4A1D"/>
    <w:rsid w:val="0030189B"/>
    <w:rsid w:val="003115D7"/>
    <w:rsid w:val="00315808"/>
    <w:rsid w:val="0031681B"/>
    <w:rsid w:val="003221B8"/>
    <w:rsid w:val="0032398D"/>
    <w:rsid w:val="00323C37"/>
    <w:rsid w:val="00325FDE"/>
    <w:rsid w:val="003301A3"/>
    <w:rsid w:val="00331289"/>
    <w:rsid w:val="003314A0"/>
    <w:rsid w:val="00331B67"/>
    <w:rsid w:val="003350A8"/>
    <w:rsid w:val="003351CC"/>
    <w:rsid w:val="00341132"/>
    <w:rsid w:val="00343C38"/>
    <w:rsid w:val="00345E81"/>
    <w:rsid w:val="003572E2"/>
    <w:rsid w:val="0036123A"/>
    <w:rsid w:val="00365F2D"/>
    <w:rsid w:val="003660D9"/>
    <w:rsid w:val="00366CE9"/>
    <w:rsid w:val="0036777B"/>
    <w:rsid w:val="003733E9"/>
    <w:rsid w:val="0037538C"/>
    <w:rsid w:val="003772C1"/>
    <w:rsid w:val="00380082"/>
    <w:rsid w:val="00380178"/>
    <w:rsid w:val="00381D73"/>
    <w:rsid w:val="00381FD7"/>
    <w:rsid w:val="0038282A"/>
    <w:rsid w:val="00383473"/>
    <w:rsid w:val="00385BAD"/>
    <w:rsid w:val="00391D7B"/>
    <w:rsid w:val="0039535D"/>
    <w:rsid w:val="0039706B"/>
    <w:rsid w:val="00397580"/>
    <w:rsid w:val="003A1988"/>
    <w:rsid w:val="003A45C8"/>
    <w:rsid w:val="003B041B"/>
    <w:rsid w:val="003B6614"/>
    <w:rsid w:val="003B7F42"/>
    <w:rsid w:val="003C1BD9"/>
    <w:rsid w:val="003C2DCF"/>
    <w:rsid w:val="003C3372"/>
    <w:rsid w:val="003C7BF1"/>
    <w:rsid w:val="003C7FE7"/>
    <w:rsid w:val="003D0499"/>
    <w:rsid w:val="003D129B"/>
    <w:rsid w:val="003D3576"/>
    <w:rsid w:val="003D3F4B"/>
    <w:rsid w:val="003D6AB0"/>
    <w:rsid w:val="003F165D"/>
    <w:rsid w:val="003F1E97"/>
    <w:rsid w:val="003F526A"/>
    <w:rsid w:val="004051F7"/>
    <w:rsid w:val="00405244"/>
    <w:rsid w:val="00410EE6"/>
    <w:rsid w:val="00411E65"/>
    <w:rsid w:val="00414FC0"/>
    <w:rsid w:val="004241C6"/>
    <w:rsid w:val="00427CE6"/>
    <w:rsid w:val="00436D82"/>
    <w:rsid w:val="004429CE"/>
    <w:rsid w:val="004436EE"/>
    <w:rsid w:val="0045547F"/>
    <w:rsid w:val="00460541"/>
    <w:rsid w:val="00461D44"/>
    <w:rsid w:val="00462465"/>
    <w:rsid w:val="004663A3"/>
    <w:rsid w:val="00475DB1"/>
    <w:rsid w:val="004779E2"/>
    <w:rsid w:val="00484A72"/>
    <w:rsid w:val="00491C46"/>
    <w:rsid w:val="004920AD"/>
    <w:rsid w:val="004921CE"/>
    <w:rsid w:val="004A1C02"/>
    <w:rsid w:val="004A23D1"/>
    <w:rsid w:val="004B0219"/>
    <w:rsid w:val="004C3655"/>
    <w:rsid w:val="004C3731"/>
    <w:rsid w:val="004C6F76"/>
    <w:rsid w:val="004D05B3"/>
    <w:rsid w:val="004D7B51"/>
    <w:rsid w:val="004D7FD6"/>
    <w:rsid w:val="004E01BD"/>
    <w:rsid w:val="004E39BC"/>
    <w:rsid w:val="004E479E"/>
    <w:rsid w:val="004F78E6"/>
    <w:rsid w:val="00503BDC"/>
    <w:rsid w:val="00505F4D"/>
    <w:rsid w:val="00512D99"/>
    <w:rsid w:val="00520389"/>
    <w:rsid w:val="00521132"/>
    <w:rsid w:val="00524369"/>
    <w:rsid w:val="00531DBB"/>
    <w:rsid w:val="00535DFB"/>
    <w:rsid w:val="00536059"/>
    <w:rsid w:val="005366C1"/>
    <w:rsid w:val="00537DE5"/>
    <w:rsid w:val="0054042D"/>
    <w:rsid w:val="00543308"/>
    <w:rsid w:val="00544AFC"/>
    <w:rsid w:val="00547425"/>
    <w:rsid w:val="00552B6C"/>
    <w:rsid w:val="00555BF7"/>
    <w:rsid w:val="00562E5E"/>
    <w:rsid w:val="00564213"/>
    <w:rsid w:val="0056519D"/>
    <w:rsid w:val="0056533C"/>
    <w:rsid w:val="005806F6"/>
    <w:rsid w:val="00581487"/>
    <w:rsid w:val="005823E1"/>
    <w:rsid w:val="00592547"/>
    <w:rsid w:val="00594F5A"/>
    <w:rsid w:val="00597DC7"/>
    <w:rsid w:val="005B2D98"/>
    <w:rsid w:val="005C20AF"/>
    <w:rsid w:val="005C45B6"/>
    <w:rsid w:val="005C4C32"/>
    <w:rsid w:val="005C74B7"/>
    <w:rsid w:val="005D2EA1"/>
    <w:rsid w:val="005D41B3"/>
    <w:rsid w:val="005D44AC"/>
    <w:rsid w:val="005E51BD"/>
    <w:rsid w:val="005E6C1C"/>
    <w:rsid w:val="005F3638"/>
    <w:rsid w:val="005F6235"/>
    <w:rsid w:val="005F64B9"/>
    <w:rsid w:val="005F79FB"/>
    <w:rsid w:val="00604406"/>
    <w:rsid w:val="00604688"/>
    <w:rsid w:val="00605F4A"/>
    <w:rsid w:val="00607822"/>
    <w:rsid w:val="006103AA"/>
    <w:rsid w:val="00613BBF"/>
    <w:rsid w:val="006218C7"/>
    <w:rsid w:val="00621982"/>
    <w:rsid w:val="00622B80"/>
    <w:rsid w:val="006262CB"/>
    <w:rsid w:val="006300B4"/>
    <w:rsid w:val="0064139A"/>
    <w:rsid w:val="0064642B"/>
    <w:rsid w:val="00646837"/>
    <w:rsid w:val="0066643D"/>
    <w:rsid w:val="006678E0"/>
    <w:rsid w:val="00672F43"/>
    <w:rsid w:val="006748B7"/>
    <w:rsid w:val="0068012E"/>
    <w:rsid w:val="00690087"/>
    <w:rsid w:val="006A1D34"/>
    <w:rsid w:val="006A40A2"/>
    <w:rsid w:val="006A4231"/>
    <w:rsid w:val="006A6F99"/>
    <w:rsid w:val="006B095F"/>
    <w:rsid w:val="006B3A46"/>
    <w:rsid w:val="006B53E8"/>
    <w:rsid w:val="006B75A3"/>
    <w:rsid w:val="006C016D"/>
    <w:rsid w:val="006C1658"/>
    <w:rsid w:val="006C341F"/>
    <w:rsid w:val="006C477D"/>
    <w:rsid w:val="006C4F5C"/>
    <w:rsid w:val="006C5872"/>
    <w:rsid w:val="006C5ABC"/>
    <w:rsid w:val="006D0614"/>
    <w:rsid w:val="006D5C60"/>
    <w:rsid w:val="006E024F"/>
    <w:rsid w:val="006E0F56"/>
    <w:rsid w:val="006E101A"/>
    <w:rsid w:val="006E12B6"/>
    <w:rsid w:val="006E4E81"/>
    <w:rsid w:val="006E6602"/>
    <w:rsid w:val="00701839"/>
    <w:rsid w:val="007062EF"/>
    <w:rsid w:val="00707826"/>
    <w:rsid w:val="00707BC6"/>
    <w:rsid w:val="00707F7D"/>
    <w:rsid w:val="007129B9"/>
    <w:rsid w:val="00713E77"/>
    <w:rsid w:val="007152F7"/>
    <w:rsid w:val="0071558A"/>
    <w:rsid w:val="00717EC5"/>
    <w:rsid w:val="00720CAB"/>
    <w:rsid w:val="007224DE"/>
    <w:rsid w:val="007229A2"/>
    <w:rsid w:val="00724A17"/>
    <w:rsid w:val="007342E2"/>
    <w:rsid w:val="00743965"/>
    <w:rsid w:val="00744C75"/>
    <w:rsid w:val="00751A6E"/>
    <w:rsid w:val="007526F1"/>
    <w:rsid w:val="00752FB0"/>
    <w:rsid w:val="00755D8B"/>
    <w:rsid w:val="00763787"/>
    <w:rsid w:val="00765AD6"/>
    <w:rsid w:val="00765C29"/>
    <w:rsid w:val="007719A8"/>
    <w:rsid w:val="00775681"/>
    <w:rsid w:val="00775D6E"/>
    <w:rsid w:val="00781146"/>
    <w:rsid w:val="00791A88"/>
    <w:rsid w:val="007A0CA5"/>
    <w:rsid w:val="007A57F2"/>
    <w:rsid w:val="007B1333"/>
    <w:rsid w:val="007B2877"/>
    <w:rsid w:val="007B53E0"/>
    <w:rsid w:val="007B600C"/>
    <w:rsid w:val="007C3A87"/>
    <w:rsid w:val="007C7539"/>
    <w:rsid w:val="007D501C"/>
    <w:rsid w:val="007D524D"/>
    <w:rsid w:val="007D7005"/>
    <w:rsid w:val="007D7B4A"/>
    <w:rsid w:val="007E3CAC"/>
    <w:rsid w:val="007F4096"/>
    <w:rsid w:val="007F4AEB"/>
    <w:rsid w:val="007F5934"/>
    <w:rsid w:val="007F75B2"/>
    <w:rsid w:val="008043C4"/>
    <w:rsid w:val="008150EF"/>
    <w:rsid w:val="00815FAF"/>
    <w:rsid w:val="008160DE"/>
    <w:rsid w:val="00817FC8"/>
    <w:rsid w:val="00821548"/>
    <w:rsid w:val="0082445F"/>
    <w:rsid w:val="008256E8"/>
    <w:rsid w:val="00831B1B"/>
    <w:rsid w:val="008322C9"/>
    <w:rsid w:val="0083347B"/>
    <w:rsid w:val="00842FD8"/>
    <w:rsid w:val="008444AE"/>
    <w:rsid w:val="00847A97"/>
    <w:rsid w:val="00852A69"/>
    <w:rsid w:val="00854102"/>
    <w:rsid w:val="00855FB3"/>
    <w:rsid w:val="00856A32"/>
    <w:rsid w:val="008579AB"/>
    <w:rsid w:val="00860FAB"/>
    <w:rsid w:val="00861D0E"/>
    <w:rsid w:val="00867569"/>
    <w:rsid w:val="0087209D"/>
    <w:rsid w:val="00885C0D"/>
    <w:rsid w:val="00890FCD"/>
    <w:rsid w:val="00891003"/>
    <w:rsid w:val="008935CE"/>
    <w:rsid w:val="008960D9"/>
    <w:rsid w:val="008A0616"/>
    <w:rsid w:val="008A17B5"/>
    <w:rsid w:val="008A28C6"/>
    <w:rsid w:val="008A601A"/>
    <w:rsid w:val="008A750A"/>
    <w:rsid w:val="008B3970"/>
    <w:rsid w:val="008B453E"/>
    <w:rsid w:val="008B4A77"/>
    <w:rsid w:val="008B5029"/>
    <w:rsid w:val="008B538D"/>
    <w:rsid w:val="008C07E8"/>
    <w:rsid w:val="008C0B4A"/>
    <w:rsid w:val="008C1F13"/>
    <w:rsid w:val="008C384C"/>
    <w:rsid w:val="008C67EB"/>
    <w:rsid w:val="008D0F11"/>
    <w:rsid w:val="008D127D"/>
    <w:rsid w:val="008D156B"/>
    <w:rsid w:val="008E0BF4"/>
    <w:rsid w:val="008F0363"/>
    <w:rsid w:val="008F2562"/>
    <w:rsid w:val="008F73B4"/>
    <w:rsid w:val="008F7CEF"/>
    <w:rsid w:val="009002F7"/>
    <w:rsid w:val="00901811"/>
    <w:rsid w:val="009033FC"/>
    <w:rsid w:val="009035E8"/>
    <w:rsid w:val="0092309B"/>
    <w:rsid w:val="0092482C"/>
    <w:rsid w:val="00941860"/>
    <w:rsid w:val="00942261"/>
    <w:rsid w:val="0094366A"/>
    <w:rsid w:val="00966EC4"/>
    <w:rsid w:val="0096718E"/>
    <w:rsid w:val="00971374"/>
    <w:rsid w:val="00971CA1"/>
    <w:rsid w:val="00974FB1"/>
    <w:rsid w:val="009824A9"/>
    <w:rsid w:val="00982717"/>
    <w:rsid w:val="0098438B"/>
    <w:rsid w:val="009A37B3"/>
    <w:rsid w:val="009B1F01"/>
    <w:rsid w:val="009B3270"/>
    <w:rsid w:val="009B55B1"/>
    <w:rsid w:val="009B6976"/>
    <w:rsid w:val="009C1078"/>
    <w:rsid w:val="009E154D"/>
    <w:rsid w:val="009E1998"/>
    <w:rsid w:val="009E39C5"/>
    <w:rsid w:val="009E6776"/>
    <w:rsid w:val="009E6DAF"/>
    <w:rsid w:val="009E74AF"/>
    <w:rsid w:val="009E76C1"/>
    <w:rsid w:val="009E773E"/>
    <w:rsid w:val="009E7A8E"/>
    <w:rsid w:val="009F310C"/>
    <w:rsid w:val="009F60A1"/>
    <w:rsid w:val="00A0539C"/>
    <w:rsid w:val="00A07BA7"/>
    <w:rsid w:val="00A27894"/>
    <w:rsid w:val="00A27B44"/>
    <w:rsid w:val="00A3084F"/>
    <w:rsid w:val="00A34610"/>
    <w:rsid w:val="00A35BBF"/>
    <w:rsid w:val="00A4343D"/>
    <w:rsid w:val="00A45DC2"/>
    <w:rsid w:val="00A46A65"/>
    <w:rsid w:val="00A502F1"/>
    <w:rsid w:val="00A511A0"/>
    <w:rsid w:val="00A528E0"/>
    <w:rsid w:val="00A60FFE"/>
    <w:rsid w:val="00A622FD"/>
    <w:rsid w:val="00A66F22"/>
    <w:rsid w:val="00A70A83"/>
    <w:rsid w:val="00A737BD"/>
    <w:rsid w:val="00A74196"/>
    <w:rsid w:val="00A75C30"/>
    <w:rsid w:val="00A81EB3"/>
    <w:rsid w:val="00A9131D"/>
    <w:rsid w:val="00A97A6D"/>
    <w:rsid w:val="00AB3D01"/>
    <w:rsid w:val="00AB40BB"/>
    <w:rsid w:val="00AB5C9F"/>
    <w:rsid w:val="00AB6196"/>
    <w:rsid w:val="00AC3140"/>
    <w:rsid w:val="00AC429F"/>
    <w:rsid w:val="00AC74FC"/>
    <w:rsid w:val="00AE42FE"/>
    <w:rsid w:val="00AE4C28"/>
    <w:rsid w:val="00AE64F4"/>
    <w:rsid w:val="00AF1E0A"/>
    <w:rsid w:val="00AF22CC"/>
    <w:rsid w:val="00AF30B6"/>
    <w:rsid w:val="00B00C1D"/>
    <w:rsid w:val="00B0726B"/>
    <w:rsid w:val="00B07F85"/>
    <w:rsid w:val="00B114AA"/>
    <w:rsid w:val="00B249DF"/>
    <w:rsid w:val="00B278FB"/>
    <w:rsid w:val="00B30C3E"/>
    <w:rsid w:val="00B31ACF"/>
    <w:rsid w:val="00B53FF3"/>
    <w:rsid w:val="00B632CC"/>
    <w:rsid w:val="00B755F3"/>
    <w:rsid w:val="00B767A5"/>
    <w:rsid w:val="00B81DEF"/>
    <w:rsid w:val="00B8645F"/>
    <w:rsid w:val="00B920CA"/>
    <w:rsid w:val="00BA12F1"/>
    <w:rsid w:val="00BA1444"/>
    <w:rsid w:val="00BA439F"/>
    <w:rsid w:val="00BA53BC"/>
    <w:rsid w:val="00BA6370"/>
    <w:rsid w:val="00BB10A9"/>
    <w:rsid w:val="00BB3681"/>
    <w:rsid w:val="00BB6BA8"/>
    <w:rsid w:val="00BB7277"/>
    <w:rsid w:val="00BC231B"/>
    <w:rsid w:val="00BC5170"/>
    <w:rsid w:val="00BD0B61"/>
    <w:rsid w:val="00BD38F1"/>
    <w:rsid w:val="00BD4FA6"/>
    <w:rsid w:val="00BE02A3"/>
    <w:rsid w:val="00BE7C5E"/>
    <w:rsid w:val="00C1074D"/>
    <w:rsid w:val="00C17384"/>
    <w:rsid w:val="00C17FAA"/>
    <w:rsid w:val="00C2033B"/>
    <w:rsid w:val="00C2126E"/>
    <w:rsid w:val="00C225BD"/>
    <w:rsid w:val="00C269D4"/>
    <w:rsid w:val="00C27D15"/>
    <w:rsid w:val="00C33AA1"/>
    <w:rsid w:val="00C343C2"/>
    <w:rsid w:val="00C4160D"/>
    <w:rsid w:val="00C524A7"/>
    <w:rsid w:val="00C62848"/>
    <w:rsid w:val="00C67CDA"/>
    <w:rsid w:val="00C77206"/>
    <w:rsid w:val="00C8032D"/>
    <w:rsid w:val="00C8078B"/>
    <w:rsid w:val="00C8406E"/>
    <w:rsid w:val="00C87BD6"/>
    <w:rsid w:val="00C907E3"/>
    <w:rsid w:val="00CA456A"/>
    <w:rsid w:val="00CB0131"/>
    <w:rsid w:val="00CB2709"/>
    <w:rsid w:val="00CB3209"/>
    <w:rsid w:val="00CB46E0"/>
    <w:rsid w:val="00CB6F89"/>
    <w:rsid w:val="00CC40CB"/>
    <w:rsid w:val="00CD33D6"/>
    <w:rsid w:val="00CD6069"/>
    <w:rsid w:val="00CD63A9"/>
    <w:rsid w:val="00CE228C"/>
    <w:rsid w:val="00CE3029"/>
    <w:rsid w:val="00CE618D"/>
    <w:rsid w:val="00CE71D9"/>
    <w:rsid w:val="00CF0292"/>
    <w:rsid w:val="00CF3FAC"/>
    <w:rsid w:val="00CF545B"/>
    <w:rsid w:val="00D03E7B"/>
    <w:rsid w:val="00D066D9"/>
    <w:rsid w:val="00D125DD"/>
    <w:rsid w:val="00D1658C"/>
    <w:rsid w:val="00D209A7"/>
    <w:rsid w:val="00D20AE8"/>
    <w:rsid w:val="00D22296"/>
    <w:rsid w:val="00D2332B"/>
    <w:rsid w:val="00D2422B"/>
    <w:rsid w:val="00D26A10"/>
    <w:rsid w:val="00D27D69"/>
    <w:rsid w:val="00D32A69"/>
    <w:rsid w:val="00D40DCE"/>
    <w:rsid w:val="00D43223"/>
    <w:rsid w:val="00D448C2"/>
    <w:rsid w:val="00D52CA6"/>
    <w:rsid w:val="00D5452F"/>
    <w:rsid w:val="00D547FF"/>
    <w:rsid w:val="00D60E97"/>
    <w:rsid w:val="00D666C3"/>
    <w:rsid w:val="00D72937"/>
    <w:rsid w:val="00D77FDE"/>
    <w:rsid w:val="00D811AB"/>
    <w:rsid w:val="00D839B8"/>
    <w:rsid w:val="00D84EDF"/>
    <w:rsid w:val="00D91108"/>
    <w:rsid w:val="00D9372A"/>
    <w:rsid w:val="00D972ED"/>
    <w:rsid w:val="00DA04A8"/>
    <w:rsid w:val="00DB3C19"/>
    <w:rsid w:val="00DB6F1A"/>
    <w:rsid w:val="00DC0155"/>
    <w:rsid w:val="00DC0577"/>
    <w:rsid w:val="00DC1A8F"/>
    <w:rsid w:val="00DC4516"/>
    <w:rsid w:val="00DC4532"/>
    <w:rsid w:val="00DD286D"/>
    <w:rsid w:val="00DD3C70"/>
    <w:rsid w:val="00DD6E54"/>
    <w:rsid w:val="00DD7C53"/>
    <w:rsid w:val="00DF0AFD"/>
    <w:rsid w:val="00DF3B13"/>
    <w:rsid w:val="00DF47FE"/>
    <w:rsid w:val="00E0156A"/>
    <w:rsid w:val="00E06173"/>
    <w:rsid w:val="00E12C89"/>
    <w:rsid w:val="00E226A1"/>
    <w:rsid w:val="00E24013"/>
    <w:rsid w:val="00E24A14"/>
    <w:rsid w:val="00E258A9"/>
    <w:rsid w:val="00E26704"/>
    <w:rsid w:val="00E31804"/>
    <w:rsid w:val="00E31980"/>
    <w:rsid w:val="00E34DB4"/>
    <w:rsid w:val="00E36475"/>
    <w:rsid w:val="00E37BA2"/>
    <w:rsid w:val="00E41906"/>
    <w:rsid w:val="00E45AF9"/>
    <w:rsid w:val="00E51771"/>
    <w:rsid w:val="00E532E1"/>
    <w:rsid w:val="00E5364E"/>
    <w:rsid w:val="00E6423C"/>
    <w:rsid w:val="00E64C4A"/>
    <w:rsid w:val="00E71483"/>
    <w:rsid w:val="00E739F1"/>
    <w:rsid w:val="00E80D6E"/>
    <w:rsid w:val="00E84F0F"/>
    <w:rsid w:val="00E86111"/>
    <w:rsid w:val="00E91754"/>
    <w:rsid w:val="00E925D3"/>
    <w:rsid w:val="00E93830"/>
    <w:rsid w:val="00E93E0E"/>
    <w:rsid w:val="00EA11B3"/>
    <w:rsid w:val="00EA68BA"/>
    <w:rsid w:val="00EB0113"/>
    <w:rsid w:val="00EB0825"/>
    <w:rsid w:val="00EB095F"/>
    <w:rsid w:val="00EB1A25"/>
    <w:rsid w:val="00EB1ED3"/>
    <w:rsid w:val="00EC50AC"/>
    <w:rsid w:val="00EC66F7"/>
    <w:rsid w:val="00EC6995"/>
    <w:rsid w:val="00EC70D6"/>
    <w:rsid w:val="00ED1720"/>
    <w:rsid w:val="00ED3A7F"/>
    <w:rsid w:val="00EE073F"/>
    <w:rsid w:val="00EE4603"/>
    <w:rsid w:val="00EE4E86"/>
    <w:rsid w:val="00EE55E9"/>
    <w:rsid w:val="00EE5ED3"/>
    <w:rsid w:val="00EE70B6"/>
    <w:rsid w:val="00EE70B7"/>
    <w:rsid w:val="00EF0064"/>
    <w:rsid w:val="00EF0A06"/>
    <w:rsid w:val="00EF352C"/>
    <w:rsid w:val="00F00D43"/>
    <w:rsid w:val="00F02019"/>
    <w:rsid w:val="00F04F08"/>
    <w:rsid w:val="00F116ED"/>
    <w:rsid w:val="00F179EA"/>
    <w:rsid w:val="00F2414E"/>
    <w:rsid w:val="00F25462"/>
    <w:rsid w:val="00F30B35"/>
    <w:rsid w:val="00F314B7"/>
    <w:rsid w:val="00F33E56"/>
    <w:rsid w:val="00F45471"/>
    <w:rsid w:val="00F51445"/>
    <w:rsid w:val="00F5175C"/>
    <w:rsid w:val="00F51B2B"/>
    <w:rsid w:val="00F52D3D"/>
    <w:rsid w:val="00F61F2E"/>
    <w:rsid w:val="00F631EA"/>
    <w:rsid w:val="00F64D31"/>
    <w:rsid w:val="00F70731"/>
    <w:rsid w:val="00F737BC"/>
    <w:rsid w:val="00F74B44"/>
    <w:rsid w:val="00F83C49"/>
    <w:rsid w:val="00F8778A"/>
    <w:rsid w:val="00F90AB7"/>
    <w:rsid w:val="00F90AF2"/>
    <w:rsid w:val="00F947DF"/>
    <w:rsid w:val="00FA64EE"/>
    <w:rsid w:val="00FB4071"/>
    <w:rsid w:val="00FB6810"/>
    <w:rsid w:val="00FB687C"/>
    <w:rsid w:val="00FB6E90"/>
    <w:rsid w:val="00FC416C"/>
    <w:rsid w:val="00FC57F8"/>
    <w:rsid w:val="00FD13E0"/>
    <w:rsid w:val="00FD5E7D"/>
    <w:rsid w:val="00FE0EE4"/>
    <w:rsid w:val="00FE114D"/>
    <w:rsid w:val="00FE29F4"/>
    <w:rsid w:val="00FE7B9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071bc"/>
    </o:shapedefaults>
    <o:shapelayout v:ext="edit">
      <o:idmap v:ext="edit" data="1"/>
    </o:shapelayout>
  </w:shapeDefaults>
  <w:decimalSymbol w:val=","/>
  <w:listSeparator w:val=";"/>
  <w15:docId w15:val="{5C17356E-855A-4F3A-BA43-76DA119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 w:type="character" w:styleId="Siln">
    <w:name w:val="Strong"/>
    <w:uiPriority w:val="22"/>
    <w:qFormat/>
    <w:rsid w:val="00316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005B-E71C-4414-9F26-8F4CE24A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408</TotalTime>
  <Pages>1</Pages>
  <Words>1090</Words>
  <Characters>6432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7507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Mgr. Hana Sýkorová</cp:lastModifiedBy>
  <cp:revision>254</cp:revision>
  <dcterms:created xsi:type="dcterms:W3CDTF">2020-05-14T06:36:00Z</dcterms:created>
  <dcterms:modified xsi:type="dcterms:W3CDTF">2020-08-14T09:29:00Z</dcterms:modified>
</cp:coreProperties>
</file>