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76F9" w14:textId="54E73C1E" w:rsidR="001F35EB" w:rsidRDefault="00565974" w:rsidP="001F35EB">
      <w:pPr>
        <w:pStyle w:val="Datum"/>
        <w:rPr>
          <w:lang w:val="en-US"/>
        </w:rPr>
      </w:pPr>
      <w:r>
        <w:rPr>
          <w:lang w:val="en-US"/>
        </w:rPr>
        <w:t>January 26</w:t>
      </w:r>
      <w:r w:rsidR="0052088D">
        <w:rPr>
          <w:lang w:val="en-US"/>
        </w:rPr>
        <w:t>, 202</w:t>
      </w:r>
      <w:r>
        <w:rPr>
          <w:lang w:val="en-US"/>
        </w:rPr>
        <w:t>6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7B250222" w14:textId="77777777" w:rsidR="00206CD3" w:rsidRDefault="00206CD3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206CD3">
        <w:rPr>
          <w:rFonts w:eastAsia="Times New Roman"/>
          <w:b/>
          <w:bCs/>
          <w:color w:val="BD1B21"/>
          <w:sz w:val="32"/>
          <w:szCs w:val="32"/>
        </w:rPr>
        <w:t>Overall confidence in the economy remains just above its long-term average</w:t>
      </w:r>
    </w:p>
    <w:p w14:paraId="045D669C" w14:textId="3DB8F1E7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565974">
        <w:rPr>
          <w:rFonts w:eastAsia="Times New Roman"/>
          <w:b/>
          <w:bCs/>
          <w:sz w:val="28"/>
          <w:szCs w:val="28"/>
        </w:rPr>
        <w:t>January 2026</w:t>
      </w:r>
    </w:p>
    <w:p w14:paraId="54AF650F" w14:textId="77777777" w:rsidR="000D2555" w:rsidRPr="002A2478" w:rsidRDefault="000D2555" w:rsidP="00866D18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3E00370F" w14:textId="1D877433" w:rsidR="00206CD3" w:rsidRPr="00206CD3" w:rsidRDefault="00206CD3" w:rsidP="00866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206CD3">
        <w:rPr>
          <w:rFonts w:cs="Arial"/>
          <w:b/>
          <w:szCs w:val="18"/>
        </w:rPr>
        <w:t>The composite confidence indicator (economic sentiment indicator), expressed as a basic index, remained unchanged m-o-m in January, staying at December's value of 100.2. While the business confidence indicator rose slightly by 0.6 points to 98.6, the consumer confidence indicator fell by 2.8 points to 108.2.</w:t>
      </w:r>
    </w:p>
    <w:p w14:paraId="4D7BC9AC" w14:textId="77777777" w:rsidR="00FF2BB1" w:rsidRDefault="00FF2BB1" w:rsidP="00866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noProof/>
          <w:lang w:val="en"/>
        </w:rPr>
      </w:pPr>
    </w:p>
    <w:p w14:paraId="7B3D1198" w14:textId="5A3AE641" w:rsidR="00FF2BB1" w:rsidRDefault="00FF2BB1" w:rsidP="00866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>
        <w:rPr>
          <w:rStyle w:val="rynqvb"/>
          <w:noProof/>
          <w:lang w:val="en"/>
        </w:rPr>
        <w:drawing>
          <wp:inline distT="0" distB="0" distL="0" distR="0" wp14:anchorId="4D736D00" wp14:editId="50D938A4">
            <wp:extent cx="5483817" cy="3829050"/>
            <wp:effectExtent l="0" t="0" r="3175" b="0"/>
            <wp:docPr id="128060670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580" cy="3831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21BD9" w14:textId="77777777" w:rsidR="00D31B3E" w:rsidRDefault="00D31B3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</w:p>
    <w:p w14:paraId="2A4DEC4A" w14:textId="2BC5D905" w:rsidR="00A765E9" w:rsidRDefault="00206CD3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 w:rsidRPr="00206CD3">
        <w:rPr>
          <w:rStyle w:val="rynqvb"/>
          <w:lang w:val="en"/>
        </w:rPr>
        <w:t>At the beginning of 2026, confidence in the economy increased m-o-m in selected services (+1.3 points), more moderately in industry (+0.5 points) and in trade (+0.3 points). Compared to December, business confidence declined only in the construction sector (-4.7 points).</w:t>
      </w:r>
    </w:p>
    <w:p w14:paraId="13B80BC3" w14:textId="77777777" w:rsidR="00206CD3" w:rsidRDefault="00206CD3" w:rsidP="00806AF4">
      <w:pPr>
        <w:rPr>
          <w:rStyle w:val="rynqvb"/>
          <w:bCs/>
          <w:lang w:val="en"/>
        </w:rPr>
      </w:pPr>
    </w:p>
    <w:p w14:paraId="469BCA53" w14:textId="6D30D425" w:rsidR="00206CD3" w:rsidRPr="00206CD3" w:rsidRDefault="00206CD3" w:rsidP="00806AF4">
      <w:pPr>
        <w:rPr>
          <w:rStyle w:val="rynqvb"/>
          <w:bCs/>
          <w:lang w:val="en"/>
        </w:rPr>
      </w:pPr>
      <w:r w:rsidRPr="00206CD3">
        <w:rPr>
          <w:rStyle w:val="rynqvb"/>
          <w:b/>
          <w:lang w:val="en"/>
        </w:rPr>
        <w:t>Consumer</w:t>
      </w:r>
      <w:r w:rsidRPr="00206CD3">
        <w:rPr>
          <w:rStyle w:val="rynqvb"/>
          <w:bCs/>
          <w:lang w:val="en"/>
        </w:rPr>
        <w:t xml:space="preserve"> confidence declined m-o-m. The confidence indicator fell by 2.8 points to 108.2. The share of consumers </w:t>
      </w:r>
      <w:r w:rsidRPr="00206CD3">
        <w:rPr>
          <w:rStyle w:val="rynqvb"/>
          <w:bCs/>
          <w:i/>
          <w:iCs/>
          <w:lang w:val="en"/>
        </w:rPr>
        <w:t>expecting the overall economic situation</w:t>
      </w:r>
      <w:r w:rsidRPr="00206CD3">
        <w:rPr>
          <w:rStyle w:val="rynqvb"/>
          <w:bCs/>
          <w:lang w:val="en"/>
        </w:rPr>
        <w:t xml:space="preserve"> in Czechia to deteriorate over the next twelve months increased compared to December. The share of households expecting their </w:t>
      </w:r>
      <w:r w:rsidRPr="00206CD3">
        <w:rPr>
          <w:rStyle w:val="rynqvb"/>
          <w:bCs/>
          <w:i/>
          <w:iCs/>
          <w:lang w:val="en"/>
        </w:rPr>
        <w:t>financial situation to improve</w:t>
      </w:r>
      <w:r w:rsidRPr="00206CD3">
        <w:rPr>
          <w:rStyle w:val="rynqvb"/>
          <w:bCs/>
          <w:lang w:val="en"/>
        </w:rPr>
        <w:t xml:space="preserve"> over the next twelve months increased slightly m-o-m. The share of </w:t>
      </w:r>
      <w:r w:rsidRPr="00206CD3">
        <w:rPr>
          <w:rStyle w:val="rynqvb"/>
          <w:bCs/>
          <w:lang w:val="en"/>
        </w:rPr>
        <w:lastRenderedPageBreak/>
        <w:t xml:space="preserve">respondents who assess </w:t>
      </w:r>
      <w:r w:rsidRPr="00206CD3">
        <w:rPr>
          <w:rStyle w:val="rynqvb"/>
          <w:bCs/>
          <w:i/>
          <w:iCs/>
          <w:lang w:val="en"/>
        </w:rPr>
        <w:t>their current financial situation</w:t>
      </w:r>
      <w:r w:rsidRPr="00206CD3">
        <w:rPr>
          <w:rStyle w:val="rynqvb"/>
          <w:bCs/>
          <w:lang w:val="en"/>
        </w:rPr>
        <w:t xml:space="preserve"> as worse than in the previous twelve months also increased slightly. The number of respondents </w:t>
      </w:r>
      <w:r w:rsidRPr="00206CD3">
        <w:rPr>
          <w:rStyle w:val="rynqvb"/>
          <w:bCs/>
          <w:i/>
          <w:iCs/>
          <w:lang w:val="en"/>
        </w:rPr>
        <w:t>who do not plan to make any major purchases</w:t>
      </w:r>
      <w:r w:rsidRPr="00206CD3">
        <w:rPr>
          <w:rStyle w:val="rynqvb"/>
          <w:bCs/>
          <w:lang w:val="en"/>
        </w:rPr>
        <w:t xml:space="preserve"> in the next twelve months increased.</w:t>
      </w:r>
    </w:p>
    <w:p w14:paraId="7F295834" w14:textId="016FD998" w:rsidR="00806AF4" w:rsidRPr="00C7341E" w:rsidRDefault="00806AF4" w:rsidP="00806AF4">
      <w:pPr>
        <w:rPr>
          <w:lang w:val="en"/>
        </w:rPr>
      </w:pPr>
      <w:r w:rsidRPr="00C7341E">
        <w:rPr>
          <w:lang w:val="en"/>
        </w:rPr>
        <w:t>***</w:t>
      </w:r>
    </w:p>
    <w:p w14:paraId="7029BF7E" w14:textId="3210FD7B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proofErr w:type="spellStart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>supplementary</w:t>
        </w:r>
        <w:proofErr w:type="spellEnd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>information</w:t>
        </w:r>
        <w:proofErr w:type="spellEnd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to </w:t>
        </w:r>
        <w:proofErr w:type="spellStart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RI business </w:t>
        </w:r>
        <w:proofErr w:type="spellStart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>surveys</w:t>
        </w:r>
        <w:proofErr w:type="spellEnd"/>
        <w:r w:rsidRPr="00D71883">
          <w:rPr>
            <w:rStyle w:val="Hypertextovodkaz"/>
            <w:rFonts w:ascii="Arial" w:eastAsia="Calibri" w:hAnsi="Arial" w:cs="Times New Roman"/>
            <w:i/>
            <w:lang w:eastAsia="en-US"/>
          </w:rPr>
          <w:t>.</w:t>
        </w:r>
      </w:hyperlink>
    </w:p>
    <w:p w14:paraId="55FB6D44" w14:textId="77777777" w:rsidR="002A2646" w:rsidRDefault="002A2646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</w:p>
    <w:p w14:paraId="5D36E440" w14:textId="77777777" w:rsidR="002A2646" w:rsidRDefault="002A2646" w:rsidP="002A2646">
      <w:pPr>
        <w:pStyle w:val="FormtovanvHTML"/>
        <w:spacing w:line="276" w:lineRule="auto"/>
        <w:jc w:val="both"/>
        <w:rPr>
          <w:rFonts w:ascii="Arial" w:eastAsia="Calibri" w:hAnsi="Arial" w:cs="Times New Roman"/>
          <w:szCs w:val="22"/>
          <w:lang w:val="en-GB" w:eastAsia="en-US"/>
        </w:rPr>
      </w:pPr>
      <w:r>
        <w:rPr>
          <w:rFonts w:ascii="Arial" w:eastAsia="Calibri" w:hAnsi="Arial" w:cs="Times New Roman"/>
          <w:szCs w:val="22"/>
          <w:lang w:val="en-GB" w:eastAsia="en-US"/>
        </w:rPr>
        <w:t>***</w:t>
      </w:r>
    </w:p>
    <w:p w14:paraId="1DDF5DAB" w14:textId="3C3D8049" w:rsidR="002A2646" w:rsidRPr="00C71B9A" w:rsidRDefault="002A2646" w:rsidP="002A2646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u w:val="none"/>
          <w:lang w:eastAsia="en-US"/>
        </w:rPr>
      </w:pPr>
      <w:r w:rsidRPr="008A2546">
        <w:rPr>
          <w:rFonts w:ascii="Arial" w:eastAsia="Calibri" w:hAnsi="Arial" w:cs="Times New Roman"/>
          <w:szCs w:val="22"/>
          <w:lang w:val="en-GB" w:eastAsia="en-US"/>
        </w:rPr>
        <w:t>In January 202</w:t>
      </w:r>
      <w:r>
        <w:rPr>
          <w:rFonts w:ascii="Arial" w:eastAsia="Calibri" w:hAnsi="Arial" w:cs="Times New Roman"/>
          <w:szCs w:val="22"/>
          <w:lang w:val="en-GB" w:eastAsia="en-US"/>
        </w:rPr>
        <w:t>6</w:t>
      </w:r>
      <w:r w:rsidRPr="008A2546">
        <w:rPr>
          <w:rFonts w:ascii="Arial" w:eastAsia="Calibri" w:hAnsi="Arial" w:cs="Times New Roman"/>
          <w:szCs w:val="22"/>
          <w:lang w:val="en-GB" w:eastAsia="en-US"/>
        </w:rPr>
        <w:t>, we change the base to calculate the basis index in a news release by the Czech Statistical Office. For 202</w:t>
      </w:r>
      <w:r>
        <w:rPr>
          <w:rFonts w:ascii="Arial" w:eastAsia="Calibri" w:hAnsi="Arial" w:cs="Times New Roman"/>
          <w:szCs w:val="22"/>
          <w:lang w:val="en-GB" w:eastAsia="en-US"/>
        </w:rPr>
        <w:t>6</w:t>
      </w:r>
      <w:r w:rsidRPr="008A2546">
        <w:rPr>
          <w:rFonts w:ascii="Arial" w:eastAsia="Calibri" w:hAnsi="Arial" w:cs="Times New Roman"/>
          <w:szCs w:val="22"/>
          <w:lang w:val="en-GB" w:eastAsia="en-US"/>
        </w:rPr>
        <w:t xml:space="preserve">, we calculate the long-term average from 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January </w:t>
      </w:r>
      <w:r w:rsidRPr="008A2546">
        <w:rPr>
          <w:rFonts w:ascii="Arial" w:eastAsia="Calibri" w:hAnsi="Arial" w:cs="Times New Roman"/>
          <w:szCs w:val="22"/>
          <w:lang w:val="en-GB" w:eastAsia="en-US"/>
        </w:rPr>
        <w:t xml:space="preserve">2003 to 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December </w:t>
      </w:r>
      <w:r w:rsidRPr="008A2546">
        <w:rPr>
          <w:rFonts w:ascii="Arial" w:eastAsia="Calibri" w:hAnsi="Arial" w:cs="Times New Roman"/>
          <w:szCs w:val="22"/>
          <w:lang w:val="en-GB" w:eastAsia="en-US"/>
        </w:rPr>
        <w:t>202</w:t>
      </w:r>
      <w:r>
        <w:rPr>
          <w:rFonts w:ascii="Arial" w:eastAsia="Calibri" w:hAnsi="Arial" w:cs="Times New Roman"/>
          <w:szCs w:val="22"/>
          <w:lang w:val="en-GB" w:eastAsia="en-US"/>
        </w:rPr>
        <w:t>5</w:t>
      </w:r>
      <w:r w:rsidRPr="008A2546">
        <w:rPr>
          <w:rFonts w:ascii="Arial" w:eastAsia="Calibri" w:hAnsi="Arial" w:cs="Times New Roman"/>
          <w:szCs w:val="22"/>
          <w:lang w:val="en-GB" w:eastAsia="en-US"/>
        </w:rPr>
        <w:t>. The long-term average is changed one a year in news release publication data in January.</w:t>
      </w:r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01C1BD38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565974">
        <w:rPr>
          <w:lang w:val="en-GB"/>
        </w:rPr>
        <w:t>January 19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</w:t>
      </w:r>
      <w:r w:rsidR="00565974">
        <w:rPr>
          <w:lang w:val="en-GB"/>
        </w:rPr>
        <w:t>6</w:t>
      </w:r>
    </w:p>
    <w:p w14:paraId="579340E4" w14:textId="55DA6E0F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565974">
        <w:rPr>
          <w:lang w:val="en-GB"/>
        </w:rPr>
        <w:t>January 15</w:t>
      </w:r>
      <w:r w:rsidR="002C46C4">
        <w:rPr>
          <w:lang w:val="en-GB"/>
        </w:rPr>
        <w:t>, 202</w:t>
      </w:r>
      <w:r w:rsidR="00565974">
        <w:rPr>
          <w:lang w:val="en-GB"/>
        </w:rPr>
        <w:t>6</w:t>
      </w:r>
    </w:p>
    <w:p w14:paraId="5A3158A5" w14:textId="5548DF07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565974">
        <w:rPr>
          <w:lang w:val="en-GB"/>
        </w:rPr>
        <w:t>February</w:t>
      </w:r>
      <w:r w:rsidR="008C7AD6">
        <w:rPr>
          <w:lang w:val="en-GB"/>
        </w:rPr>
        <w:t xml:space="preserve"> 2</w:t>
      </w:r>
      <w:r w:rsidR="00565974">
        <w:rPr>
          <w:lang w:val="en-GB"/>
        </w:rPr>
        <w:t>4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8C7AD6">
        <w:rPr>
          <w:lang w:val="en-GB"/>
        </w:rPr>
        <w:t>6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52088D" w:rsidP="0052088D">
      <w:pPr>
        <w:jc w:val="left"/>
        <w:rPr>
          <w:rStyle w:val="Hypertextovodkaz"/>
          <w:lang w:val="cs-CZ"/>
        </w:rPr>
      </w:pPr>
      <w:hyperlink r:id="rId14" w:history="1">
        <w:r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Link to </w:t>
      </w:r>
      <w:proofErr w:type="spellStart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European</w:t>
      </w:r>
      <w:proofErr w:type="spellEnd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Annex</w:t>
      </w:r>
      <w:proofErr w:type="spellEnd"/>
      <w:r w:rsidRPr="00BE4195">
        <w:rPr>
          <w:szCs w:val="20"/>
          <w:lang w:val="cs-CZ"/>
        </w:rPr>
        <w:t>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432B87">
        <w:rPr>
          <w:szCs w:val="20"/>
          <w:lang w:val="cs-CZ"/>
        </w:rPr>
        <w:t>Additional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information</w:t>
      </w:r>
      <w:proofErr w:type="spellEnd"/>
      <w:r w:rsidRPr="00432B87">
        <w:rPr>
          <w:szCs w:val="20"/>
          <w:lang w:val="cs-CZ"/>
        </w:rPr>
        <w:t xml:space="preserve"> to NR Business </w:t>
      </w:r>
      <w:proofErr w:type="spellStart"/>
      <w:r w:rsidRPr="00432B87">
        <w:rPr>
          <w:szCs w:val="20"/>
          <w:lang w:val="cs-CZ"/>
        </w:rPr>
        <w:t>cycle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survey</w:t>
      </w:r>
      <w:proofErr w:type="spellEnd"/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Table 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basic </w:t>
      </w:r>
      <w:proofErr w:type="spellStart"/>
      <w:r w:rsidRPr="00BE4195">
        <w:rPr>
          <w:szCs w:val="20"/>
          <w:lang w:val="cs-CZ"/>
        </w:rPr>
        <w:t>indices</w:t>
      </w:r>
      <w:proofErr w:type="spellEnd"/>
    </w:p>
    <w:p w14:paraId="4E7F51B6" w14:textId="14185B2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base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565974">
        <w:rPr>
          <w:szCs w:val="20"/>
          <w:lang w:val="cs-CZ"/>
        </w:rPr>
        <w:t>6</w:t>
      </w:r>
      <w:r w:rsidR="00DD5EB5" w:rsidRPr="00BE4195">
        <w:rPr>
          <w:szCs w:val="20"/>
          <w:lang w:val="cs-CZ"/>
        </w:rPr>
        <w:t>)</w:t>
      </w:r>
    </w:p>
    <w:p w14:paraId="056E8CF6" w14:textId="6EFA4298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565974">
        <w:rPr>
          <w:szCs w:val="20"/>
          <w:lang w:val="cs-CZ"/>
        </w:rPr>
        <w:t>6</w:t>
      </w:r>
      <w:r w:rsidR="00DD5EB5" w:rsidRPr="00BE4195">
        <w:rPr>
          <w:szCs w:val="20"/>
          <w:lang w:val="cs-CZ"/>
        </w:rPr>
        <w:t>)</w:t>
      </w:r>
    </w:p>
    <w:p w14:paraId="7D2264AC" w14:textId="3EC0276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2.2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Balances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of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565974">
        <w:rPr>
          <w:szCs w:val="20"/>
          <w:lang w:val="cs-CZ"/>
        </w:rPr>
        <w:t>6</w:t>
      </w:r>
      <w:r w:rsidR="00DD5EB5" w:rsidRPr="00BE4195">
        <w:rPr>
          <w:szCs w:val="20"/>
          <w:lang w:val="cs-CZ"/>
        </w:rPr>
        <w:t>)</w:t>
      </w:r>
    </w:p>
    <w:p w14:paraId="3FDD6765" w14:textId="463B74ED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3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Economic</w:t>
      </w:r>
      <w:proofErr w:type="spellEnd"/>
      <w:r w:rsidR="00DD5EB5" w:rsidRPr="00BE4195">
        <w:rPr>
          <w:szCs w:val="20"/>
          <w:lang w:val="cs-CZ"/>
        </w:rPr>
        <w:t xml:space="preserve"> Sentiment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</w:t>
      </w:r>
      <w:proofErr w:type="spellStart"/>
      <w:r w:rsidR="00DD5EB5" w:rsidRPr="00BE4195">
        <w:rPr>
          <w:szCs w:val="20"/>
          <w:lang w:val="cs-CZ"/>
        </w:rPr>
        <w:t>international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comparison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FF0603">
        <w:rPr>
          <w:szCs w:val="20"/>
          <w:lang w:val="cs-CZ"/>
        </w:rPr>
        <w:t xml:space="preserve"> (2007-202</w:t>
      </w:r>
      <w:r w:rsidR="00565974">
        <w:rPr>
          <w:szCs w:val="20"/>
          <w:lang w:val="cs-CZ"/>
        </w:rPr>
        <w:t>6</w:t>
      </w:r>
      <w:r w:rsidR="00DD5EB5">
        <w:rPr>
          <w:szCs w:val="20"/>
          <w:lang w:val="cs-CZ"/>
        </w:rPr>
        <w:t>)</w:t>
      </w:r>
    </w:p>
    <w:p w14:paraId="1B08D8A4" w14:textId="466CB05D" w:rsidR="00565974" w:rsidRPr="00BE4195" w:rsidRDefault="00565974" w:rsidP="00565974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4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Production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Capacity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Utilisation</w:t>
      </w:r>
      <w:proofErr w:type="spellEnd"/>
      <w:r w:rsidRPr="00BE4195">
        <w:rPr>
          <w:szCs w:val="20"/>
          <w:lang w:val="cs-CZ"/>
        </w:rPr>
        <w:t xml:space="preserve"> in </w:t>
      </w:r>
      <w:proofErr w:type="spellStart"/>
      <w:r w:rsidRPr="00BE4195">
        <w:rPr>
          <w:szCs w:val="20"/>
          <w:lang w:val="cs-CZ"/>
        </w:rPr>
        <w:t>Manufacturing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Industry</w:t>
      </w:r>
      <w:proofErr w:type="spellEnd"/>
      <w:r>
        <w:rPr>
          <w:szCs w:val="20"/>
          <w:lang w:val="cs-CZ"/>
        </w:rPr>
        <w:t xml:space="preserve"> (2003-2026)</w:t>
      </w:r>
    </w:p>
    <w:p w14:paraId="3D6BD4DC" w14:textId="7D60B1CA" w:rsidR="00565974" w:rsidRPr="00BE4195" w:rsidRDefault="00565974" w:rsidP="00565974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5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Limits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of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Production</w:t>
      </w:r>
      <w:proofErr w:type="spellEnd"/>
      <w:r w:rsidRPr="00BE4195">
        <w:rPr>
          <w:szCs w:val="20"/>
          <w:lang w:val="cs-CZ"/>
        </w:rPr>
        <w:t xml:space="preserve"> in </w:t>
      </w:r>
      <w:proofErr w:type="spellStart"/>
      <w:r w:rsidRPr="00BE4195">
        <w:rPr>
          <w:szCs w:val="20"/>
          <w:lang w:val="cs-CZ"/>
        </w:rPr>
        <w:t>Industry</w:t>
      </w:r>
      <w:proofErr w:type="spellEnd"/>
      <w:r>
        <w:rPr>
          <w:szCs w:val="20"/>
          <w:lang w:val="cs-CZ"/>
        </w:rPr>
        <w:t xml:space="preserve"> (2005-2026)</w:t>
      </w:r>
    </w:p>
    <w:p w14:paraId="6CD1C81F" w14:textId="55DD1E5D" w:rsidR="00565974" w:rsidRDefault="00565974" w:rsidP="00565974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6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Limits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of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Production</w:t>
      </w:r>
      <w:proofErr w:type="spellEnd"/>
      <w:r w:rsidRPr="00BE4195">
        <w:rPr>
          <w:szCs w:val="20"/>
          <w:lang w:val="cs-CZ"/>
        </w:rPr>
        <w:t xml:space="preserve"> in </w:t>
      </w:r>
      <w:proofErr w:type="spellStart"/>
      <w:r w:rsidRPr="00BE4195">
        <w:rPr>
          <w:szCs w:val="20"/>
          <w:lang w:val="cs-CZ"/>
        </w:rPr>
        <w:t>Construction</w:t>
      </w:r>
      <w:proofErr w:type="spellEnd"/>
      <w:r>
        <w:rPr>
          <w:szCs w:val="20"/>
          <w:lang w:val="cs-CZ"/>
        </w:rPr>
        <w:t xml:space="preserve"> (2005-2026)</w:t>
      </w:r>
    </w:p>
    <w:p w14:paraId="46F7430D" w14:textId="4778F366" w:rsidR="00565974" w:rsidRDefault="00565974" w:rsidP="00565974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lastRenderedPageBreak/>
        <w:t>Graph</w:t>
      </w:r>
      <w:proofErr w:type="spellEnd"/>
      <w:r>
        <w:rPr>
          <w:szCs w:val="20"/>
          <w:lang w:val="cs-CZ"/>
        </w:rPr>
        <w:t xml:space="preserve"> 7 </w:t>
      </w:r>
      <w:proofErr w:type="spellStart"/>
      <w:r>
        <w:rPr>
          <w:szCs w:val="20"/>
          <w:lang w:val="cs-CZ"/>
        </w:rPr>
        <w:t>Limits</w:t>
      </w:r>
      <w:proofErr w:type="spellEnd"/>
      <w:r>
        <w:rPr>
          <w:szCs w:val="20"/>
          <w:lang w:val="cs-CZ"/>
        </w:rPr>
        <w:t xml:space="preserve"> </w:t>
      </w:r>
      <w:proofErr w:type="spellStart"/>
      <w:r>
        <w:rPr>
          <w:szCs w:val="20"/>
          <w:lang w:val="cs-CZ"/>
        </w:rPr>
        <w:t>of</w:t>
      </w:r>
      <w:proofErr w:type="spellEnd"/>
      <w:r>
        <w:rPr>
          <w:szCs w:val="20"/>
          <w:lang w:val="cs-CZ"/>
        </w:rPr>
        <w:t xml:space="preserve"> </w:t>
      </w:r>
      <w:proofErr w:type="spellStart"/>
      <w:r>
        <w:rPr>
          <w:szCs w:val="20"/>
          <w:lang w:val="cs-CZ"/>
        </w:rPr>
        <w:t>Production</w:t>
      </w:r>
      <w:proofErr w:type="spellEnd"/>
      <w:r>
        <w:rPr>
          <w:szCs w:val="20"/>
          <w:lang w:val="cs-CZ"/>
        </w:rPr>
        <w:t xml:space="preserve"> in </w:t>
      </w:r>
      <w:proofErr w:type="spellStart"/>
      <w:r>
        <w:rPr>
          <w:szCs w:val="20"/>
          <w:lang w:val="cs-CZ"/>
        </w:rPr>
        <w:t>Selected</w:t>
      </w:r>
      <w:proofErr w:type="spellEnd"/>
      <w:r>
        <w:rPr>
          <w:szCs w:val="20"/>
          <w:lang w:val="cs-CZ"/>
        </w:rPr>
        <w:t xml:space="preserve"> </w:t>
      </w:r>
      <w:proofErr w:type="spellStart"/>
      <w:r>
        <w:rPr>
          <w:szCs w:val="20"/>
          <w:lang w:val="cs-CZ"/>
        </w:rPr>
        <w:t>Services</w:t>
      </w:r>
      <w:proofErr w:type="spellEnd"/>
      <w:r>
        <w:rPr>
          <w:szCs w:val="20"/>
          <w:lang w:val="cs-CZ"/>
        </w:rPr>
        <w:t xml:space="preserve"> (2005-2026)</w:t>
      </w:r>
    </w:p>
    <w:p w14:paraId="4E29962F" w14:textId="77777777" w:rsidR="005B353C" w:rsidRDefault="005B353C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7AFD1CA1" w14:textId="77777777" w:rsidR="00B701D2" w:rsidRDefault="00B701D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12CE" w14:textId="77777777" w:rsidR="00697959" w:rsidRDefault="00697959" w:rsidP="00BA6370">
      <w:r>
        <w:separator/>
      </w:r>
    </w:p>
  </w:endnote>
  <w:endnote w:type="continuationSeparator" w:id="0">
    <w:p w14:paraId="2D951CFE" w14:textId="77777777" w:rsidR="00697959" w:rsidRDefault="0069795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1C9B0F7A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C660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81  |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100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1C9B0F7A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C660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F34A" w14:textId="77777777" w:rsidR="00697959" w:rsidRDefault="00697959" w:rsidP="00BA6370">
      <w:r>
        <w:separator/>
      </w:r>
    </w:p>
  </w:footnote>
  <w:footnote w:type="continuationSeparator" w:id="0">
    <w:p w14:paraId="30B187D6" w14:textId="77777777" w:rsidR="00697959" w:rsidRDefault="0069795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44812"/>
    <w:rsid w:val="00050E95"/>
    <w:rsid w:val="00051259"/>
    <w:rsid w:val="000517AB"/>
    <w:rsid w:val="00052AB1"/>
    <w:rsid w:val="00053BCD"/>
    <w:rsid w:val="000555EB"/>
    <w:rsid w:val="000601C2"/>
    <w:rsid w:val="000674CB"/>
    <w:rsid w:val="000717B2"/>
    <w:rsid w:val="000740BD"/>
    <w:rsid w:val="00076126"/>
    <w:rsid w:val="000843A5"/>
    <w:rsid w:val="000855AC"/>
    <w:rsid w:val="0009050B"/>
    <w:rsid w:val="00091722"/>
    <w:rsid w:val="0009388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16D4"/>
    <w:rsid w:val="00121810"/>
    <w:rsid w:val="001230E2"/>
    <w:rsid w:val="00123849"/>
    <w:rsid w:val="0012593A"/>
    <w:rsid w:val="00125B2D"/>
    <w:rsid w:val="0013242C"/>
    <w:rsid w:val="00133C94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3AE6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548C"/>
    <w:rsid w:val="001C71FD"/>
    <w:rsid w:val="001C7923"/>
    <w:rsid w:val="001D369A"/>
    <w:rsid w:val="001D5A3C"/>
    <w:rsid w:val="001E1E0F"/>
    <w:rsid w:val="001E5911"/>
    <w:rsid w:val="001E5DF0"/>
    <w:rsid w:val="001E625B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6CD3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525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646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51"/>
    <w:rsid w:val="00300C99"/>
    <w:rsid w:val="0030126C"/>
    <w:rsid w:val="00302C00"/>
    <w:rsid w:val="00302D70"/>
    <w:rsid w:val="0030445C"/>
    <w:rsid w:val="00307E5A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505D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7F4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24F7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1316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648C4"/>
    <w:rsid w:val="00565974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353C"/>
    <w:rsid w:val="005B507E"/>
    <w:rsid w:val="005B5467"/>
    <w:rsid w:val="005B6A1C"/>
    <w:rsid w:val="005C2B1A"/>
    <w:rsid w:val="005C5BDD"/>
    <w:rsid w:val="005C5ED1"/>
    <w:rsid w:val="005D3017"/>
    <w:rsid w:val="005D5115"/>
    <w:rsid w:val="005E0E7C"/>
    <w:rsid w:val="005E2050"/>
    <w:rsid w:val="005E2BA4"/>
    <w:rsid w:val="005E2C92"/>
    <w:rsid w:val="005E39B4"/>
    <w:rsid w:val="005E3D28"/>
    <w:rsid w:val="005E493C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569E3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6963"/>
    <w:rsid w:val="006976BC"/>
    <w:rsid w:val="00697959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4EBB"/>
    <w:rsid w:val="006E607F"/>
    <w:rsid w:val="006E7209"/>
    <w:rsid w:val="006F0333"/>
    <w:rsid w:val="006F07A5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31C2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26B7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D18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3EBE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C7AD6"/>
    <w:rsid w:val="008D06E5"/>
    <w:rsid w:val="008D0F11"/>
    <w:rsid w:val="008D0FE4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1761"/>
    <w:rsid w:val="00915F5D"/>
    <w:rsid w:val="00916E7E"/>
    <w:rsid w:val="00920DAE"/>
    <w:rsid w:val="0092386E"/>
    <w:rsid w:val="00926763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47DF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15DB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47721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765E9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53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572A"/>
    <w:rsid w:val="00B06BDB"/>
    <w:rsid w:val="00B1024D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01D2"/>
    <w:rsid w:val="00B7103B"/>
    <w:rsid w:val="00B77261"/>
    <w:rsid w:val="00B77985"/>
    <w:rsid w:val="00B81C69"/>
    <w:rsid w:val="00B87F35"/>
    <w:rsid w:val="00B92520"/>
    <w:rsid w:val="00B925A1"/>
    <w:rsid w:val="00B96779"/>
    <w:rsid w:val="00B97792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4F74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58CC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49D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7341E"/>
    <w:rsid w:val="00C8406E"/>
    <w:rsid w:val="00C869E7"/>
    <w:rsid w:val="00C9102F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5D5C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1B3E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883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A7D"/>
    <w:rsid w:val="00DA6C40"/>
    <w:rsid w:val="00DA7514"/>
    <w:rsid w:val="00DB28C0"/>
    <w:rsid w:val="00DB38EE"/>
    <w:rsid w:val="00DB58B7"/>
    <w:rsid w:val="00DB5A54"/>
    <w:rsid w:val="00DB5B6E"/>
    <w:rsid w:val="00DB7746"/>
    <w:rsid w:val="00DB785D"/>
    <w:rsid w:val="00DC656F"/>
    <w:rsid w:val="00DD32BF"/>
    <w:rsid w:val="00DD479B"/>
    <w:rsid w:val="00DD5EB5"/>
    <w:rsid w:val="00DD6CDC"/>
    <w:rsid w:val="00DD724F"/>
    <w:rsid w:val="00DD7BA4"/>
    <w:rsid w:val="00DE0B7E"/>
    <w:rsid w:val="00DE11F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39EC"/>
    <w:rsid w:val="00E25683"/>
    <w:rsid w:val="00E256E8"/>
    <w:rsid w:val="00E258A2"/>
    <w:rsid w:val="00E26704"/>
    <w:rsid w:val="00E2674F"/>
    <w:rsid w:val="00E274B6"/>
    <w:rsid w:val="00E278EA"/>
    <w:rsid w:val="00E2797A"/>
    <w:rsid w:val="00E31980"/>
    <w:rsid w:val="00E35165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0E18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0F04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C6603"/>
    <w:rsid w:val="00FD0E7C"/>
    <w:rsid w:val="00FD16AA"/>
    <w:rsid w:val="00FD20D4"/>
    <w:rsid w:val="00FD491B"/>
    <w:rsid w:val="00FD576A"/>
    <w:rsid w:val="00FD58DC"/>
    <w:rsid w:val="00FD6FD4"/>
    <w:rsid w:val="00FD7CDC"/>
    <w:rsid w:val="00FE114D"/>
    <w:rsid w:val="00FE3C55"/>
    <w:rsid w:val="00FE63C8"/>
    <w:rsid w:val="00FE7DFD"/>
    <w:rsid w:val="00FF0603"/>
    <w:rsid w:val="00FF0D1A"/>
    <w:rsid w:val="00FF1DDB"/>
    <w:rsid w:val="00FF2BB1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7d30bdf6-15d3-bddd-93a6-505eea99b329/akpr012626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84B0-F48B-4524-97A0-6485A0B5D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92CA4A-D175-4B76-9B97-32E5DED8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3BB1B-66CE-4C98-8AE0-C5FB9B2CF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F8233-F830-4F81-AF88-0DFA517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49</TotalTime>
  <Pages>3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3994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Slunečková Markéta</cp:lastModifiedBy>
  <cp:revision>33</cp:revision>
  <dcterms:created xsi:type="dcterms:W3CDTF">2025-06-19T10:05:00Z</dcterms:created>
  <dcterms:modified xsi:type="dcterms:W3CDTF">2026-01-23T09:23:00Z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