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EE56" w14:textId="492E1D2D" w:rsidR="009A5665" w:rsidRDefault="009A5665" w:rsidP="00F21B6A">
      <w:pPr>
        <w:pStyle w:val="Nadpis1"/>
      </w:pPr>
      <w:r>
        <w:t>Důvěra v ekonomiku se zvýšila</w:t>
      </w:r>
    </w:p>
    <w:p w14:paraId="43414965" w14:textId="5F02F97B" w:rsidR="00F21B6A" w:rsidRDefault="00000000" w:rsidP="00200551">
      <w:pPr>
        <w:jc w:val="left"/>
      </w:pPr>
      <w:sdt>
        <w:sdtPr>
          <w:id w:val="902409853"/>
          <w:placeholder>
            <w:docPart w:val="D2DC22C412C242BC85F5E324AAE3CB79"/>
          </w:placeholder>
          <w:date w:fullDate="2026-06-24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2974CB">
            <w:t>24. 06. 2026</w:t>
          </w:r>
        </w:sdtContent>
      </w:sdt>
      <w:r w:rsidR="00C744B6" w:rsidRPr="00C744B6">
        <w:t xml:space="preserve"> </w:t>
      </w:r>
    </w:p>
    <w:p w14:paraId="69E082DD" w14:textId="2E6595C2" w:rsidR="002974CB" w:rsidRPr="002974CB" w:rsidRDefault="00251FAA" w:rsidP="002974CB">
      <w:pPr>
        <w:pStyle w:val="Perex"/>
        <w:rPr>
          <w:rFonts w:asciiTheme="majorHAnsi" w:eastAsiaTheme="majorEastAsia" w:hAnsiTheme="majorHAnsi" w:cstheme="majorBidi"/>
          <w:bCs/>
          <w:color w:val="545860" w:themeColor="text2"/>
          <w:sz w:val="32"/>
          <w:szCs w:val="32"/>
        </w:rPr>
      </w:pPr>
      <w:r>
        <w:rPr>
          <w:rFonts w:asciiTheme="majorHAnsi" w:eastAsiaTheme="majorEastAsia" w:hAnsiTheme="majorHAnsi" w:cstheme="majorBidi"/>
          <w:bCs/>
          <w:color w:val="545860" w:themeColor="text2"/>
          <w:sz w:val="32"/>
          <w:szCs w:val="32"/>
        </w:rPr>
        <w:t>Doplňující informace</w:t>
      </w:r>
      <w:r w:rsidRPr="00251FAA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k RI </w:t>
      </w:r>
      <w:r w:rsidRPr="0096305F">
        <w:rPr>
          <w:rFonts w:eastAsia="Times New Roman"/>
          <w:bCs/>
          <w:sz w:val="28"/>
          <w:szCs w:val="28"/>
        </w:rPr>
        <w:t>Konjunkturální průzkum –</w:t>
      </w:r>
      <w:r>
        <w:rPr>
          <w:rFonts w:eastAsia="Times New Roman"/>
          <w:bCs/>
          <w:sz w:val="28"/>
          <w:szCs w:val="28"/>
        </w:rPr>
        <w:t xml:space="preserve"> červen 2026</w:t>
      </w:r>
    </w:p>
    <w:p w14:paraId="111DAFA3" w14:textId="5D7CEE7B" w:rsidR="006A57CC" w:rsidRDefault="00511528" w:rsidP="006A57CC">
      <w:pPr>
        <w:pStyle w:val="Perex"/>
      </w:pPr>
      <w:bookmarkStart w:id="0" w:name="_Hlk219792778"/>
      <w:r w:rsidRPr="002974CB">
        <w:t>Souhrnný indikátor důvěry (indikátor ekonomického sentimentu), vyjádřený bazickým indexem, se v </w:t>
      </w:r>
      <w:r>
        <w:t>červnu</w:t>
      </w:r>
      <w:r w:rsidRPr="002974CB">
        <w:t xml:space="preserve"> meziměsíčně </w:t>
      </w:r>
      <w:r>
        <w:t>zvýšil</w:t>
      </w:r>
      <w:r w:rsidRPr="002974CB">
        <w:t xml:space="preserve"> o 1,</w:t>
      </w:r>
      <w:r>
        <w:t>3</w:t>
      </w:r>
      <w:r w:rsidRPr="002974CB">
        <w:t xml:space="preserve"> bodu na hodnotu </w:t>
      </w:r>
      <w:r>
        <w:t>101,0</w:t>
      </w:r>
      <w:r w:rsidRPr="002974CB">
        <w:t xml:space="preserve">, při stejném vývoji obou jeho složek. Indikátor důvěry podnikatelů </w:t>
      </w:r>
      <w:r>
        <w:t xml:space="preserve">mírně vzrostl </w:t>
      </w:r>
      <w:r w:rsidRPr="002974CB">
        <w:t xml:space="preserve">o </w:t>
      </w:r>
      <w:r>
        <w:t>0,8</w:t>
      </w:r>
      <w:r w:rsidRPr="002974CB">
        <w:t xml:space="preserve"> bodu na hodnotu 99,</w:t>
      </w:r>
      <w:r>
        <w:t>8</w:t>
      </w:r>
      <w:r w:rsidRPr="002974CB">
        <w:t xml:space="preserve"> a indikátor důvěry spotřebitelů se </w:t>
      </w:r>
      <w:r>
        <w:t>zvýšil o 3,1</w:t>
      </w:r>
      <w:r w:rsidRPr="002974CB">
        <w:t xml:space="preserve"> bodu na hodnotu </w:t>
      </w:r>
      <w:bookmarkEnd w:id="0"/>
      <w:r>
        <w:t>106,5</w:t>
      </w:r>
      <w:r w:rsidR="002974CB">
        <w:t>.</w:t>
      </w:r>
      <w:r w:rsidR="00251FAA">
        <w:t xml:space="preserve"> </w:t>
      </w:r>
      <w:r w:rsidR="00251FAA">
        <w:rPr>
          <w:rFonts w:cs="Arial"/>
          <w:szCs w:val="18"/>
        </w:rPr>
        <w:t>V</w:t>
      </w:r>
      <w:r w:rsidR="00251FAA" w:rsidRPr="00152900">
        <w:rPr>
          <w:rFonts w:cs="Arial"/>
          <w:szCs w:val="18"/>
        </w:rPr>
        <w:t>e srovnání s</w:t>
      </w:r>
      <w:r w:rsidR="00251FAA">
        <w:rPr>
          <w:rFonts w:cs="Arial"/>
          <w:szCs w:val="18"/>
        </w:rPr>
        <w:t> </w:t>
      </w:r>
      <w:r>
        <w:rPr>
          <w:rFonts w:cs="Arial"/>
          <w:szCs w:val="18"/>
        </w:rPr>
        <w:t>červnem</w:t>
      </w:r>
      <w:r w:rsidR="00251FAA">
        <w:rPr>
          <w:rFonts w:cs="Arial"/>
          <w:szCs w:val="18"/>
        </w:rPr>
        <w:t xml:space="preserve"> </w:t>
      </w:r>
      <w:r w:rsidR="00251FAA" w:rsidRPr="00152900">
        <w:rPr>
          <w:rFonts w:cs="Arial"/>
          <w:szCs w:val="18"/>
        </w:rPr>
        <w:t>loňského roku jsou souhrnný indikátor</w:t>
      </w:r>
      <w:r w:rsidR="00251FAA">
        <w:rPr>
          <w:rFonts w:cs="Arial"/>
          <w:szCs w:val="18"/>
        </w:rPr>
        <w:t xml:space="preserve"> a</w:t>
      </w:r>
      <w:r w:rsidR="00251FAA" w:rsidRPr="00152900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spotřebitelský indikátor</w:t>
      </w:r>
      <w:r w:rsidR="00251FAA">
        <w:rPr>
          <w:rFonts w:cs="Arial"/>
          <w:szCs w:val="18"/>
        </w:rPr>
        <w:t xml:space="preserve"> na </w:t>
      </w:r>
      <w:r>
        <w:rPr>
          <w:rFonts w:cs="Arial"/>
          <w:szCs w:val="18"/>
        </w:rPr>
        <w:t>vyšší</w:t>
      </w:r>
      <w:r w:rsidR="00251FAA">
        <w:rPr>
          <w:rFonts w:cs="Arial"/>
          <w:szCs w:val="18"/>
        </w:rPr>
        <w:t xml:space="preserve"> úrovni, </w:t>
      </w:r>
      <w:r>
        <w:rPr>
          <w:rFonts w:cs="Arial"/>
          <w:szCs w:val="18"/>
        </w:rPr>
        <w:t xml:space="preserve">podnikatelský </w:t>
      </w:r>
      <w:r w:rsidR="00251FAA" w:rsidRPr="00152900">
        <w:rPr>
          <w:rFonts w:cs="Arial"/>
          <w:szCs w:val="18"/>
        </w:rPr>
        <w:t xml:space="preserve">indikátor </w:t>
      </w:r>
      <w:r w:rsidR="00251FAA">
        <w:rPr>
          <w:rFonts w:cs="Arial"/>
          <w:szCs w:val="18"/>
        </w:rPr>
        <w:t xml:space="preserve">je </w:t>
      </w:r>
      <w:r>
        <w:rPr>
          <w:rFonts w:cs="Arial"/>
          <w:szCs w:val="18"/>
        </w:rPr>
        <w:t>nižší</w:t>
      </w:r>
      <w:r w:rsidR="00251FAA" w:rsidRPr="00152900">
        <w:rPr>
          <w:rFonts w:cs="Arial"/>
          <w:szCs w:val="18"/>
        </w:rPr>
        <w:t>.</w:t>
      </w:r>
    </w:p>
    <w:p w14:paraId="4878AD09" w14:textId="4A0DDA24" w:rsidR="00724FF7" w:rsidRDefault="00511528" w:rsidP="00C87BED">
      <w:pPr>
        <w:jc w:val="left"/>
      </w:pPr>
      <w:r>
        <w:t>Důvěra podnikatelů</w:t>
      </w:r>
      <w:r w:rsidR="00724FF7">
        <w:t xml:space="preserve"> v odvětví </w:t>
      </w:r>
      <w:r w:rsidR="00724FF7" w:rsidRPr="00002391">
        <w:rPr>
          <w:b/>
        </w:rPr>
        <w:t>průmyslu</w:t>
      </w:r>
      <w:r w:rsidR="00724FF7">
        <w:t xml:space="preserve"> se meziměsíčně </w:t>
      </w:r>
      <w:r>
        <w:t>zvýšila</w:t>
      </w:r>
      <w:r w:rsidR="00724FF7">
        <w:t>. In</w:t>
      </w:r>
      <w:r w:rsidR="00724FF7" w:rsidRPr="0096305F">
        <w:t>dikátor důvěry</w:t>
      </w:r>
      <w:r w:rsidR="00724FF7">
        <w:t xml:space="preserve"> </w:t>
      </w:r>
      <w:r>
        <w:t>vzrostl o 3,0</w:t>
      </w:r>
      <w:r w:rsidR="00724FF7">
        <w:t xml:space="preserve"> bodu na hodnotu 9</w:t>
      </w:r>
      <w:r>
        <w:t>7</w:t>
      </w:r>
      <w:r w:rsidR="00724FF7">
        <w:t>,5</w:t>
      </w:r>
      <w:r w:rsidR="00724FF7" w:rsidRPr="00002391">
        <w:t xml:space="preserve">. </w:t>
      </w:r>
      <w:r w:rsidR="00724FF7">
        <w:t>Podíl podnikatelů, kteří hodnotí negativně svou současnou celkovou poptávku, se</w:t>
      </w:r>
      <w:r>
        <w:t xml:space="preserve"> opět</w:t>
      </w:r>
      <w:r w:rsidR="00724FF7">
        <w:t xml:space="preserve"> meziměsíčně mírně zvýšil. </w:t>
      </w:r>
      <w:r w:rsidR="00DA6CAC">
        <w:t>Po poklesu v předešlém měsíci</w:t>
      </w:r>
      <w:r w:rsidR="00070E78">
        <w:t>,</w:t>
      </w:r>
      <w:r w:rsidR="00DA6CAC">
        <w:t xml:space="preserve"> v červnu opět</w:t>
      </w:r>
      <w:r>
        <w:t xml:space="preserve"> převážil p</w:t>
      </w:r>
      <w:r w:rsidR="00724FF7">
        <w:t xml:space="preserve">odíl respondentů očekávajících </w:t>
      </w:r>
      <w:r>
        <w:rPr>
          <w:i/>
        </w:rPr>
        <w:t>zvýšení</w:t>
      </w:r>
      <w:r w:rsidR="00724FF7">
        <w:rPr>
          <w:i/>
        </w:rPr>
        <w:t xml:space="preserve"> </w:t>
      </w:r>
      <w:r w:rsidR="00724FF7" w:rsidRPr="00781BB6">
        <w:rPr>
          <w:i/>
        </w:rPr>
        <w:t>tempa růstu výrobní činnosti</w:t>
      </w:r>
      <w:r w:rsidR="00724FF7">
        <w:t xml:space="preserve"> v nadcházejících třech měsících. Stav zásob hotových výrobků </w:t>
      </w:r>
      <w:r>
        <w:t>se téměř nezměnil</w:t>
      </w:r>
      <w:r w:rsidR="00724FF7">
        <w:t>.</w:t>
      </w:r>
      <w:r w:rsidR="00724FF7" w:rsidRPr="004D2E69">
        <w:t xml:space="preserve"> </w:t>
      </w:r>
      <w:r w:rsidR="00070E78">
        <w:t>Ve srovnání s květnem se nezměnil ani p</w:t>
      </w:r>
      <w:r w:rsidR="00724FF7">
        <w:t>odíl podnikatelů očekávajících zvýšení cen svých výrobků</w:t>
      </w:r>
      <w:r w:rsidR="00724FF7" w:rsidRPr="00917261">
        <w:t xml:space="preserve">. </w:t>
      </w:r>
      <w:r>
        <w:t>Ve srovnání s červnem loňského roku</w:t>
      </w:r>
      <w:r w:rsidR="00724FF7">
        <w:t xml:space="preserve"> </w:t>
      </w:r>
      <w:r>
        <w:t>je důvěra v průmyslu vyšší</w:t>
      </w:r>
      <w:r w:rsidR="00724FF7">
        <w:t xml:space="preserve">. </w:t>
      </w:r>
    </w:p>
    <w:p w14:paraId="1B7B28E6" w14:textId="3AA437AE" w:rsidR="00724FF7" w:rsidRDefault="00724FF7" w:rsidP="00C87BED">
      <w:pPr>
        <w:jc w:val="left"/>
      </w:pPr>
      <w:r>
        <w:rPr>
          <w:color w:val="000000"/>
        </w:rPr>
        <w:t>V</w:t>
      </w:r>
      <w:r w:rsidR="00511528">
        <w:rPr>
          <w:color w:val="000000"/>
        </w:rPr>
        <w:t xml:space="preserve">e </w:t>
      </w:r>
      <w:r w:rsidRPr="0096305F">
        <w:rPr>
          <w:b/>
          <w:color w:val="000000"/>
        </w:rPr>
        <w:t xml:space="preserve">stavebnictví </w:t>
      </w:r>
      <w:r w:rsidRPr="00472224">
        <w:rPr>
          <w:bCs/>
          <w:color w:val="000000"/>
        </w:rPr>
        <w:t xml:space="preserve">se </w:t>
      </w:r>
      <w:r>
        <w:rPr>
          <w:bCs/>
          <w:color w:val="000000"/>
        </w:rPr>
        <w:t xml:space="preserve">důvěra podnikatelů v ekonomiku </w:t>
      </w:r>
      <w:r w:rsidR="00511528">
        <w:rPr>
          <w:bCs/>
          <w:color w:val="000000"/>
        </w:rPr>
        <w:t>meziměsíčně výrazně snížila</w:t>
      </w:r>
      <w:r>
        <w:rPr>
          <w:color w:val="000000"/>
        </w:rPr>
        <w:t xml:space="preserve">. Indikátor důvěry </w:t>
      </w:r>
      <w:r w:rsidR="00511528">
        <w:rPr>
          <w:color w:val="000000"/>
        </w:rPr>
        <w:t>poklesl o 6,5</w:t>
      </w:r>
      <w:r>
        <w:rPr>
          <w:color w:val="000000"/>
        </w:rPr>
        <w:t xml:space="preserve"> bodu na hodnotu </w:t>
      </w:r>
      <w:r w:rsidR="00511528">
        <w:rPr>
          <w:color w:val="000000"/>
        </w:rPr>
        <w:t>111,4</w:t>
      </w:r>
      <w:r w:rsidR="00070E78">
        <w:rPr>
          <w:color w:val="000000"/>
        </w:rPr>
        <w:t>, což je nejnižší hodnota od ledna 2025</w:t>
      </w:r>
      <w:r>
        <w:rPr>
          <w:color w:val="000000"/>
        </w:rPr>
        <w:t xml:space="preserve">. Podíl respondentů negativně hodnotících </w:t>
      </w:r>
      <w:r w:rsidRPr="00996087">
        <w:rPr>
          <w:i/>
          <w:color w:val="000000"/>
        </w:rPr>
        <w:t>svou současnou poptávku po</w:t>
      </w:r>
      <w:r>
        <w:rPr>
          <w:i/>
          <w:color w:val="000000"/>
        </w:rPr>
        <w:t> </w:t>
      </w:r>
      <w:r w:rsidRPr="00996087">
        <w:rPr>
          <w:i/>
          <w:color w:val="000000"/>
        </w:rPr>
        <w:t>stavebních pracích</w:t>
      </w:r>
      <w:r>
        <w:rPr>
          <w:color w:val="000000"/>
        </w:rPr>
        <w:t xml:space="preserve"> se </w:t>
      </w:r>
      <w:r w:rsidR="00511528">
        <w:rPr>
          <w:color w:val="000000"/>
        </w:rPr>
        <w:t>oproti květnu zvýšil</w:t>
      </w:r>
      <w:r>
        <w:rPr>
          <w:color w:val="000000"/>
        </w:rPr>
        <w:t xml:space="preserve">. Podíl stavebních firem, které očekávají v období příštích tří měsíců růst stávajícího </w:t>
      </w:r>
      <w:r w:rsidRPr="00685844">
        <w:rPr>
          <w:i/>
          <w:color w:val="000000"/>
        </w:rPr>
        <w:t xml:space="preserve">počtu </w:t>
      </w:r>
      <w:r w:rsidRPr="00650B51">
        <w:rPr>
          <w:i/>
          <w:color w:val="000000"/>
        </w:rPr>
        <w:t>zaměstnanců</w:t>
      </w:r>
      <w:r>
        <w:rPr>
          <w:i/>
          <w:color w:val="000000"/>
        </w:rPr>
        <w:t xml:space="preserve">, </w:t>
      </w:r>
      <w:r w:rsidRPr="00867A8B">
        <w:rPr>
          <w:iCs/>
          <w:color w:val="000000"/>
        </w:rPr>
        <w:t xml:space="preserve">se </w:t>
      </w:r>
      <w:r w:rsidR="00511528">
        <w:rPr>
          <w:iCs/>
          <w:color w:val="000000"/>
        </w:rPr>
        <w:t>snížil.</w:t>
      </w:r>
      <w:r>
        <w:t xml:space="preserve"> </w:t>
      </w:r>
      <w:r w:rsidRPr="00AA2153">
        <w:t xml:space="preserve">Podíl podnikatelů, kteří očekávají růst cen stavebních prací v období příštích tří měsíců se </w:t>
      </w:r>
      <w:r w:rsidR="00511528">
        <w:t>téměř nezměnil a stále</w:t>
      </w:r>
      <w:r w:rsidRPr="00AA2153">
        <w:t xml:space="preserve"> zůstává vysoko nadprůměrný. </w:t>
      </w:r>
      <w:r>
        <w:t>V meziročním srovnání je</w:t>
      </w:r>
      <w:r>
        <w:rPr>
          <w:color w:val="000000" w:themeColor="text1"/>
        </w:rPr>
        <w:t xml:space="preserve"> důvěra ve stavebnictví </w:t>
      </w:r>
      <w:r w:rsidR="00511528">
        <w:rPr>
          <w:color w:val="000000" w:themeColor="text1"/>
        </w:rPr>
        <w:t>nižší.</w:t>
      </w:r>
    </w:p>
    <w:p w14:paraId="56B869F4" w14:textId="29B14F5C" w:rsidR="00724FF7" w:rsidRPr="0096305F" w:rsidRDefault="00511528" w:rsidP="00C87BED">
      <w:pPr>
        <w:jc w:val="left"/>
        <w:rPr>
          <w:color w:val="000000"/>
        </w:rPr>
      </w:pPr>
      <w:r>
        <w:t>V</w:t>
      </w:r>
      <w:r w:rsidR="00724FF7">
        <w:t xml:space="preserve"> odvětví </w:t>
      </w:r>
      <w:r w:rsidR="00724FF7" w:rsidRPr="0096305F">
        <w:rPr>
          <w:b/>
          <w:color w:val="000000"/>
        </w:rPr>
        <w:t>obchodu</w:t>
      </w:r>
      <w:r w:rsidR="00724FF7">
        <w:rPr>
          <w:b/>
          <w:color w:val="000000"/>
        </w:rPr>
        <w:t xml:space="preserve"> </w:t>
      </w:r>
      <w:r w:rsidR="00724FF7" w:rsidRPr="00903DCD">
        <w:rPr>
          <w:color w:val="000000"/>
        </w:rPr>
        <w:t>se</w:t>
      </w:r>
      <w:r>
        <w:rPr>
          <w:color w:val="000000"/>
        </w:rPr>
        <w:t xml:space="preserve"> důvěra podnikatelů v ekonomiku mírně snížila</w:t>
      </w:r>
      <w:r w:rsidR="00724FF7">
        <w:rPr>
          <w:color w:val="000000"/>
        </w:rPr>
        <w:t xml:space="preserve">. Indikátor důvěry </w:t>
      </w:r>
      <w:r>
        <w:rPr>
          <w:color w:val="000000"/>
        </w:rPr>
        <w:t xml:space="preserve">meziměsíčně </w:t>
      </w:r>
      <w:r w:rsidR="00724FF7">
        <w:rPr>
          <w:color w:val="000000"/>
        </w:rPr>
        <w:t xml:space="preserve">poklesl o </w:t>
      </w:r>
      <w:r>
        <w:rPr>
          <w:color w:val="000000"/>
        </w:rPr>
        <w:t>0,9</w:t>
      </w:r>
      <w:r w:rsidR="00724FF7">
        <w:rPr>
          <w:color w:val="000000"/>
        </w:rPr>
        <w:t xml:space="preserve"> bodu na hodnotu </w:t>
      </w:r>
      <w:r>
        <w:rPr>
          <w:color w:val="000000"/>
        </w:rPr>
        <w:t>91,9</w:t>
      </w:r>
      <w:r w:rsidR="00724FF7" w:rsidRPr="0096305F">
        <w:rPr>
          <w:color w:val="000000"/>
        </w:rPr>
        <w:t>.</w:t>
      </w:r>
      <w:r w:rsidR="00724FF7">
        <w:rPr>
          <w:color w:val="000000"/>
        </w:rPr>
        <w:t xml:space="preserve"> </w:t>
      </w:r>
      <w:r>
        <w:rPr>
          <w:color w:val="000000"/>
        </w:rPr>
        <w:t>Poprvé od července 2020 převážil</w:t>
      </w:r>
      <w:r w:rsidR="00724FF7">
        <w:rPr>
          <w:color w:val="000000"/>
        </w:rPr>
        <w:t xml:space="preserve"> podíl podnikatelů, kteří zaznamenali v </w:t>
      </w:r>
      <w:r w:rsidR="00724FF7" w:rsidRPr="0041419C">
        <w:rPr>
          <w:i/>
          <w:color w:val="000000"/>
        </w:rPr>
        <w:t>posledních třech měsících</w:t>
      </w:r>
      <w:r w:rsidR="00724FF7">
        <w:rPr>
          <w:color w:val="000000"/>
        </w:rPr>
        <w:t xml:space="preserve"> </w:t>
      </w:r>
      <w:r>
        <w:rPr>
          <w:color w:val="000000"/>
        </w:rPr>
        <w:t>zhoršení</w:t>
      </w:r>
      <w:r w:rsidR="00724FF7">
        <w:rPr>
          <w:color w:val="000000"/>
        </w:rPr>
        <w:t xml:space="preserve"> své</w:t>
      </w:r>
      <w:r w:rsidR="00724FF7">
        <w:rPr>
          <w:i/>
          <w:color w:val="000000"/>
        </w:rPr>
        <w:t xml:space="preserve"> celkové ekonomické situace</w:t>
      </w:r>
      <w:r w:rsidR="00724FF7">
        <w:rPr>
          <w:color w:val="000000"/>
        </w:rPr>
        <w:t xml:space="preserve">. </w:t>
      </w:r>
      <w:r w:rsidR="00FD6A84">
        <w:rPr>
          <w:color w:val="000000"/>
        </w:rPr>
        <w:t>Nicméně, p</w:t>
      </w:r>
      <w:r w:rsidR="00724FF7">
        <w:rPr>
          <w:color w:val="000000"/>
        </w:rPr>
        <w:t xml:space="preserve">odíl respondentů očekávajících zlepšení své </w:t>
      </w:r>
      <w:r w:rsidR="00724FF7" w:rsidRPr="000D32A3">
        <w:rPr>
          <w:i/>
          <w:color w:val="000000"/>
        </w:rPr>
        <w:t>ekonomické situac</w:t>
      </w:r>
      <w:r w:rsidR="00724FF7">
        <w:rPr>
          <w:i/>
          <w:color w:val="000000"/>
        </w:rPr>
        <w:t>e</w:t>
      </w:r>
      <w:r w:rsidR="00724FF7">
        <w:rPr>
          <w:color w:val="000000"/>
        </w:rPr>
        <w:t xml:space="preserve"> v období </w:t>
      </w:r>
      <w:r w:rsidR="00724FF7">
        <w:rPr>
          <w:i/>
          <w:color w:val="000000"/>
        </w:rPr>
        <w:t xml:space="preserve">příštích tří </w:t>
      </w:r>
      <w:r w:rsidR="00724FF7" w:rsidRPr="000D32A3">
        <w:rPr>
          <w:i/>
          <w:color w:val="000000"/>
        </w:rPr>
        <w:t>měsíců</w:t>
      </w:r>
      <w:r w:rsidR="00724FF7">
        <w:rPr>
          <w:color w:val="000000"/>
        </w:rPr>
        <w:t xml:space="preserve"> se meziměsíčně mírně zvýšil. </w:t>
      </w:r>
      <w:r w:rsidR="00724FF7">
        <w:rPr>
          <w:i/>
          <w:color w:val="000000"/>
        </w:rPr>
        <w:t>S</w:t>
      </w:r>
      <w:r w:rsidR="00724FF7" w:rsidRPr="0096305F">
        <w:rPr>
          <w:i/>
          <w:color w:val="000000"/>
        </w:rPr>
        <w:t>tav zásob zboží na</w:t>
      </w:r>
      <w:r w:rsidR="00724FF7">
        <w:rPr>
          <w:i/>
          <w:color w:val="000000"/>
        </w:rPr>
        <w:t> </w:t>
      </w:r>
      <w:r w:rsidR="00724FF7" w:rsidRPr="0096305F">
        <w:rPr>
          <w:i/>
          <w:color w:val="000000"/>
        </w:rPr>
        <w:t>skladech</w:t>
      </w:r>
      <w:r w:rsidR="00724FF7">
        <w:rPr>
          <w:color w:val="000000"/>
        </w:rPr>
        <w:t xml:space="preserve"> se </w:t>
      </w:r>
      <w:r>
        <w:rPr>
          <w:color w:val="000000"/>
        </w:rPr>
        <w:t>téměř nezměnil</w:t>
      </w:r>
      <w:r w:rsidR="00724FF7">
        <w:rPr>
          <w:color w:val="000000"/>
        </w:rPr>
        <w:t xml:space="preserve">. Podíl podnikatelů očekávajících v příštích třech měsících růst prodejních cen se </w:t>
      </w:r>
      <w:r w:rsidR="00095A7A">
        <w:rPr>
          <w:color w:val="000000"/>
        </w:rPr>
        <w:t>mírně snížil</w:t>
      </w:r>
      <w:r w:rsidR="00724FF7">
        <w:rPr>
          <w:color w:val="000000"/>
        </w:rPr>
        <w:t xml:space="preserve">. </w:t>
      </w:r>
      <w:r w:rsidR="00095A7A">
        <w:rPr>
          <w:color w:val="000000" w:themeColor="text1"/>
        </w:rPr>
        <w:t>Meziročně</w:t>
      </w:r>
      <w:r w:rsidR="00724FF7">
        <w:rPr>
          <w:color w:val="000000" w:themeColor="text1"/>
        </w:rPr>
        <w:t xml:space="preserve"> je důvěra v obchodě nižší</w:t>
      </w:r>
      <w:r w:rsidR="00724FF7" w:rsidRPr="00B61288">
        <w:t>.</w:t>
      </w:r>
    </w:p>
    <w:p w14:paraId="65746F79" w14:textId="23329048" w:rsidR="00724FF7" w:rsidRDefault="00095A7A" w:rsidP="00C87BED">
      <w:pPr>
        <w:jc w:val="left"/>
        <w:rPr>
          <w:color w:val="000000" w:themeColor="text1"/>
        </w:rPr>
      </w:pPr>
      <w:r>
        <w:rPr>
          <w:color w:val="000000"/>
        </w:rPr>
        <w:t>Důvěra podnikatelů v</w:t>
      </w:r>
      <w:r w:rsidR="00724FF7">
        <w:rPr>
          <w:color w:val="000000"/>
        </w:rPr>
        <w:t>e</w:t>
      </w:r>
      <w:r w:rsidR="00724FF7" w:rsidRPr="00E81129">
        <w:rPr>
          <w:b/>
        </w:rPr>
        <w:t xml:space="preserve"> vybraných odvětvích</w:t>
      </w:r>
      <w:r w:rsidR="00724FF7" w:rsidRPr="00E81129">
        <w:t xml:space="preserve"> </w:t>
      </w:r>
      <w:r w:rsidR="00724FF7" w:rsidRPr="0096305F">
        <w:rPr>
          <w:b/>
          <w:color w:val="000000"/>
        </w:rPr>
        <w:t>služeb</w:t>
      </w:r>
      <w:r w:rsidR="00724FF7" w:rsidRPr="0096305F">
        <w:rPr>
          <w:color w:val="000000"/>
        </w:rPr>
        <w:t xml:space="preserve"> (vč. </w:t>
      </w:r>
      <w:r w:rsidR="00724FF7">
        <w:rPr>
          <w:color w:val="000000"/>
        </w:rPr>
        <w:t>finančního</w:t>
      </w:r>
      <w:r w:rsidR="00724FF7" w:rsidRPr="0096305F">
        <w:rPr>
          <w:color w:val="000000"/>
        </w:rPr>
        <w:t xml:space="preserve"> sektoru)</w:t>
      </w:r>
      <w:r w:rsidR="00724FF7">
        <w:rPr>
          <w:color w:val="000000"/>
        </w:rPr>
        <w:t xml:space="preserve"> se </w:t>
      </w:r>
      <w:r>
        <w:rPr>
          <w:color w:val="000000"/>
        </w:rPr>
        <w:t>meziměsíčně</w:t>
      </w:r>
      <w:r w:rsidR="00724FF7">
        <w:rPr>
          <w:color w:val="000000"/>
        </w:rPr>
        <w:t xml:space="preserve"> mírně snížila. Indikátor důvěry poklesl o 0,</w:t>
      </w:r>
      <w:r>
        <w:rPr>
          <w:color w:val="000000"/>
        </w:rPr>
        <w:t>2</w:t>
      </w:r>
      <w:r w:rsidR="00724FF7">
        <w:rPr>
          <w:color w:val="000000"/>
        </w:rPr>
        <w:t xml:space="preserve"> bodu na hodnotu 102,</w:t>
      </w:r>
      <w:r>
        <w:rPr>
          <w:color w:val="000000"/>
        </w:rPr>
        <w:t>2</w:t>
      </w:r>
      <w:r w:rsidR="00724FF7">
        <w:rPr>
          <w:color w:val="000000"/>
        </w:rPr>
        <w:t xml:space="preserve">. Podíl podnikatelů ve vybraných službách kladně </w:t>
      </w:r>
      <w:r w:rsidR="00724FF7" w:rsidRPr="00B410C7">
        <w:rPr>
          <w:i/>
          <w:iCs/>
          <w:color w:val="000000"/>
        </w:rPr>
        <w:t>hodnotících svou současnou ekonomickou situaci</w:t>
      </w:r>
      <w:r w:rsidR="00724FF7">
        <w:rPr>
          <w:color w:val="000000"/>
        </w:rPr>
        <w:t xml:space="preserve"> se mírně </w:t>
      </w:r>
      <w:r>
        <w:rPr>
          <w:color w:val="000000"/>
        </w:rPr>
        <w:t>snížil</w:t>
      </w:r>
      <w:r w:rsidR="00724FF7">
        <w:rPr>
          <w:color w:val="000000"/>
        </w:rPr>
        <w:t>. Ve srovnání s</w:t>
      </w:r>
      <w:r>
        <w:rPr>
          <w:color w:val="000000"/>
        </w:rPr>
        <w:t> květnem se zvýšil</w:t>
      </w:r>
      <w:r w:rsidR="00724FF7">
        <w:rPr>
          <w:color w:val="000000"/>
        </w:rPr>
        <w:t xml:space="preserve"> podíl respondentů, kteří pozitivně hodnotili svou </w:t>
      </w:r>
      <w:r w:rsidR="00724FF7" w:rsidRPr="00B91D62">
        <w:rPr>
          <w:i/>
          <w:color w:val="000000"/>
        </w:rPr>
        <w:t>stávající</w:t>
      </w:r>
      <w:r w:rsidR="00724FF7" w:rsidRPr="00F956B2">
        <w:rPr>
          <w:i/>
          <w:color w:val="000000"/>
        </w:rPr>
        <w:t xml:space="preserve"> </w:t>
      </w:r>
      <w:r w:rsidR="00724FF7">
        <w:rPr>
          <w:i/>
          <w:color w:val="000000"/>
        </w:rPr>
        <w:t xml:space="preserve">poptávku </w:t>
      </w:r>
      <w:r w:rsidR="00724FF7" w:rsidRPr="00F956B2">
        <w:rPr>
          <w:i/>
          <w:color w:val="000000"/>
        </w:rPr>
        <w:t>po službách</w:t>
      </w:r>
      <w:r w:rsidR="00724FF7">
        <w:rPr>
          <w:i/>
          <w:color w:val="000000"/>
        </w:rPr>
        <w:t xml:space="preserve">. </w:t>
      </w:r>
      <w:r>
        <w:rPr>
          <w:iCs/>
          <w:color w:val="000000"/>
        </w:rPr>
        <w:t>Naproti tomu p</w:t>
      </w:r>
      <w:r w:rsidR="00724FF7">
        <w:rPr>
          <w:iCs/>
          <w:color w:val="000000"/>
        </w:rPr>
        <w:t>odíl firem, které očekávají</w:t>
      </w:r>
      <w:r w:rsidR="00724FF7">
        <w:rPr>
          <w:color w:val="000000"/>
        </w:rPr>
        <w:t xml:space="preserve"> </w:t>
      </w:r>
      <w:r w:rsidR="00724FF7" w:rsidRPr="009F750C">
        <w:rPr>
          <w:color w:val="000000"/>
        </w:rPr>
        <w:t>zvýšení</w:t>
      </w:r>
      <w:r w:rsidR="00724FF7" w:rsidRPr="009F750C">
        <w:rPr>
          <w:i/>
          <w:color w:val="000000"/>
        </w:rPr>
        <w:t xml:space="preserve"> poptávky</w:t>
      </w:r>
      <w:r w:rsidR="00724FF7">
        <w:rPr>
          <w:color w:val="000000"/>
        </w:rPr>
        <w:t xml:space="preserve"> v </w:t>
      </w:r>
      <w:r w:rsidR="00724FF7">
        <w:rPr>
          <w:i/>
          <w:color w:val="000000"/>
        </w:rPr>
        <w:t>příštích tře</w:t>
      </w:r>
      <w:r w:rsidR="00724FF7" w:rsidRPr="00443804">
        <w:rPr>
          <w:i/>
          <w:color w:val="000000" w:themeColor="text1"/>
        </w:rPr>
        <w:t>ch měsících</w:t>
      </w:r>
      <w:r w:rsidR="00724FF7">
        <w:rPr>
          <w:iCs/>
          <w:color w:val="000000" w:themeColor="text1"/>
        </w:rPr>
        <w:t>, se snížil.</w:t>
      </w:r>
      <w:r w:rsidR="00724FF7" w:rsidRPr="00443804">
        <w:rPr>
          <w:color w:val="000000" w:themeColor="text1"/>
        </w:rPr>
        <w:t xml:space="preserve"> </w:t>
      </w:r>
      <w:r w:rsidR="00724FF7" w:rsidRPr="00AA2153">
        <w:t xml:space="preserve">Meziměsíčně se </w:t>
      </w:r>
      <w:r>
        <w:t xml:space="preserve">poměrně výrazně zvýšil </w:t>
      </w:r>
      <w:r w:rsidR="00724FF7" w:rsidRPr="00AA2153">
        <w:t xml:space="preserve">podíl podnikatelů očekávajících v následujících třech měsících růst cen nabízených služeb. </w:t>
      </w:r>
      <w:r>
        <w:rPr>
          <w:color w:val="000000"/>
        </w:rPr>
        <w:t>Ve srovnání s červnem 2025</w:t>
      </w:r>
      <w:r w:rsidR="00724FF7">
        <w:rPr>
          <w:color w:val="000000"/>
        </w:rPr>
        <w:t xml:space="preserve"> je </w:t>
      </w:r>
      <w:r w:rsidR="00724FF7" w:rsidRPr="00927657">
        <w:rPr>
          <w:color w:val="000000"/>
        </w:rPr>
        <w:t xml:space="preserve">důvěra ve vybraných odvětvích služeb </w:t>
      </w:r>
      <w:r w:rsidR="00724FF7">
        <w:rPr>
          <w:color w:val="000000"/>
        </w:rPr>
        <w:t>nižší</w:t>
      </w:r>
      <w:r w:rsidR="00724FF7" w:rsidRPr="00927657">
        <w:rPr>
          <w:color w:val="000000"/>
        </w:rPr>
        <w:t>.</w:t>
      </w:r>
    </w:p>
    <w:p w14:paraId="79DFF452" w14:textId="473FBCE3" w:rsidR="00200551" w:rsidRDefault="00724FF7" w:rsidP="00C87BED">
      <w:pPr>
        <w:jc w:val="left"/>
      </w:pPr>
      <w:r w:rsidRPr="00152900">
        <w:t>Důvěra</w:t>
      </w:r>
      <w:r w:rsidRPr="00152900">
        <w:rPr>
          <w:b/>
        </w:rPr>
        <w:t xml:space="preserve"> spotřebitelů </w:t>
      </w:r>
      <w:r w:rsidRPr="00152900">
        <w:t xml:space="preserve">v ekonomiku se </w:t>
      </w:r>
      <w:r w:rsidR="004A466E">
        <w:t>po dvouměsíčním poklesu zvýšila</w:t>
      </w:r>
      <w:r w:rsidRPr="00152900">
        <w:t xml:space="preserve">. Indikátor důvěry </w:t>
      </w:r>
      <w:r w:rsidR="004A466E">
        <w:t>meziměsíčně vzrostl</w:t>
      </w:r>
      <w:r>
        <w:t xml:space="preserve"> o </w:t>
      </w:r>
      <w:r w:rsidR="004A466E">
        <w:t>3,1</w:t>
      </w:r>
      <w:r w:rsidRPr="00152900">
        <w:t xml:space="preserve"> bodu na hodnotu </w:t>
      </w:r>
      <w:r w:rsidR="004A466E">
        <w:t>106,5</w:t>
      </w:r>
      <w:r w:rsidRPr="00152900">
        <w:t xml:space="preserve">. </w:t>
      </w:r>
      <w:r w:rsidR="004A466E" w:rsidRPr="0052303D">
        <w:t>P</w:t>
      </w:r>
      <w:r w:rsidR="004A466E" w:rsidRPr="0052303D">
        <w:rPr>
          <w:rFonts w:eastAsia="Times New Roman"/>
          <w:bCs/>
        </w:rPr>
        <w:t xml:space="preserve">odíl spotřebitelů očekávajících pro </w:t>
      </w:r>
      <w:r w:rsidR="004A466E" w:rsidRPr="0052303D">
        <w:rPr>
          <w:rFonts w:eastAsia="Times New Roman"/>
          <w:bCs/>
        </w:rPr>
        <w:lastRenderedPageBreak/>
        <w:t xml:space="preserve">období příštích dvanácti měsíců zhoršení </w:t>
      </w:r>
      <w:r w:rsidR="004A466E" w:rsidRPr="0052303D">
        <w:rPr>
          <w:rFonts w:eastAsia="Times New Roman"/>
          <w:bCs/>
          <w:i/>
        </w:rPr>
        <w:t>celkové ekonomické situace</w:t>
      </w:r>
      <w:r w:rsidR="004A466E" w:rsidRPr="0052303D">
        <w:rPr>
          <w:rFonts w:eastAsia="Times New Roman"/>
          <w:bCs/>
        </w:rPr>
        <w:t xml:space="preserve"> v Česku </w:t>
      </w:r>
      <w:r w:rsidR="004A466E">
        <w:rPr>
          <w:rFonts w:eastAsia="Times New Roman"/>
          <w:bCs/>
        </w:rPr>
        <w:t>se oproti květnu snížil</w:t>
      </w:r>
      <w:r w:rsidR="004A466E" w:rsidRPr="0052303D">
        <w:rPr>
          <w:rFonts w:eastAsia="Times New Roman"/>
          <w:bCs/>
        </w:rPr>
        <w:t xml:space="preserve">. </w:t>
      </w:r>
      <w:r w:rsidR="004A466E" w:rsidRPr="0052303D">
        <w:t>P</w:t>
      </w:r>
      <w:r w:rsidR="004A466E" w:rsidRPr="0052303D">
        <w:rPr>
          <w:rFonts w:eastAsia="Times New Roman"/>
          <w:bCs/>
        </w:rPr>
        <w:t xml:space="preserve">odíl respondentů, kteří </w:t>
      </w:r>
      <w:r w:rsidR="004A466E" w:rsidRPr="0052303D">
        <w:rPr>
          <w:i/>
        </w:rPr>
        <w:t>hodnotí svou</w:t>
      </w:r>
      <w:r w:rsidR="004A466E" w:rsidRPr="0052303D">
        <w:t xml:space="preserve"> </w:t>
      </w:r>
      <w:r w:rsidR="004A466E" w:rsidRPr="0052303D">
        <w:rPr>
          <w:i/>
        </w:rPr>
        <w:t xml:space="preserve">současnou finanční situaci </w:t>
      </w:r>
      <w:r w:rsidR="004A466E" w:rsidRPr="0052303D">
        <w:t xml:space="preserve">hůře, než tomu bylo v předchozích dvanácti měsících, </w:t>
      </w:r>
      <w:r w:rsidR="004A466E">
        <w:t>se nezměnil, ale m</w:t>
      </w:r>
      <w:r w:rsidR="004A466E">
        <w:rPr>
          <w:rFonts w:eastAsia="Times New Roman"/>
          <w:bCs/>
        </w:rPr>
        <w:t>eziměsíčně se zvýšil</w:t>
      </w:r>
      <w:r w:rsidR="004A466E" w:rsidRPr="0052303D">
        <w:rPr>
          <w:rFonts w:eastAsia="Times New Roman"/>
          <w:bCs/>
        </w:rPr>
        <w:t xml:space="preserve"> podíl domácností očekávajících </w:t>
      </w:r>
      <w:r w:rsidR="004A466E">
        <w:rPr>
          <w:i/>
        </w:rPr>
        <w:t>zlepšení</w:t>
      </w:r>
      <w:r w:rsidR="004A466E" w:rsidRPr="0052303D">
        <w:rPr>
          <w:i/>
        </w:rPr>
        <w:t xml:space="preserve"> své finanční situace </w:t>
      </w:r>
      <w:r w:rsidR="004A466E" w:rsidRPr="0052303D">
        <w:t>v příštích dvanácti měsících.</w:t>
      </w:r>
      <w:r w:rsidR="004A466E">
        <w:t xml:space="preserve"> </w:t>
      </w:r>
      <w:r w:rsidR="004A466E" w:rsidRPr="0052303D">
        <w:t>Počet respondentů</w:t>
      </w:r>
      <w:r w:rsidR="004A466E" w:rsidRPr="0052303D">
        <w:rPr>
          <w:rFonts w:eastAsia="Times New Roman"/>
          <w:bCs/>
        </w:rPr>
        <w:t xml:space="preserve">, kteří neplánují v příštích dvanácti měsících pořizovat </w:t>
      </w:r>
      <w:r w:rsidR="004A466E" w:rsidRPr="0052303D">
        <w:rPr>
          <w:rFonts w:eastAsia="Times New Roman"/>
          <w:bCs/>
          <w:i/>
        </w:rPr>
        <w:t>velké nákupy</w:t>
      </w:r>
      <w:r w:rsidR="004A466E" w:rsidRPr="0052303D">
        <w:rPr>
          <w:rFonts w:eastAsia="Times New Roman"/>
          <w:bCs/>
        </w:rPr>
        <w:t xml:space="preserve">, </w:t>
      </w:r>
      <w:r w:rsidR="004A466E">
        <w:rPr>
          <w:rFonts w:eastAsia="Times New Roman"/>
          <w:bCs/>
        </w:rPr>
        <w:t>se mírně snížil</w:t>
      </w:r>
      <w:r w:rsidRPr="0052303D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O</w:t>
      </w:r>
      <w:r w:rsidRPr="00152900">
        <w:rPr>
          <w:rFonts w:eastAsia="Times New Roman"/>
          <w:bCs/>
        </w:rPr>
        <w:t>bavy spotřebitelů z růstu cen</w:t>
      </w:r>
      <w:r>
        <w:rPr>
          <w:rFonts w:eastAsia="Times New Roman"/>
          <w:bCs/>
        </w:rPr>
        <w:t xml:space="preserve"> </w:t>
      </w:r>
      <w:r w:rsidR="00B62A54">
        <w:rPr>
          <w:rFonts w:eastAsia="Times New Roman"/>
          <w:bCs/>
        </w:rPr>
        <w:t xml:space="preserve">a rovněž obavy z dalšího růstu nezaměstnanosti </w:t>
      </w:r>
      <w:r>
        <w:rPr>
          <w:rFonts w:eastAsia="Times New Roman"/>
          <w:bCs/>
        </w:rPr>
        <w:t>se meziměsíčně téměř nezměnily</w:t>
      </w:r>
      <w:r w:rsidRPr="00152900">
        <w:rPr>
          <w:rFonts w:eastAsia="Times New Roman"/>
          <w:bCs/>
        </w:rPr>
        <w:t xml:space="preserve">. </w:t>
      </w:r>
      <w:r w:rsidR="004A466E">
        <w:rPr>
          <w:rFonts w:eastAsia="Times New Roman"/>
          <w:bCs/>
        </w:rPr>
        <w:t>V meziročním srovnání je důvěra spotřebitelů vyšší</w:t>
      </w:r>
      <w:r w:rsidRPr="00152900">
        <w:rPr>
          <w:rFonts w:eastAsia="Times New Roman"/>
          <w:bCs/>
        </w:rPr>
        <w:t>.</w:t>
      </w:r>
    </w:p>
    <w:p w14:paraId="24924449" w14:textId="77777777" w:rsidR="002974CB" w:rsidRPr="0096305F" w:rsidRDefault="002974CB" w:rsidP="002974CB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6391CEC7" w14:textId="77777777" w:rsidR="00724FF7" w:rsidRPr="0096305F" w:rsidRDefault="00724FF7" w:rsidP="00724FF7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11" w:history="1">
        <w:r w:rsidRPr="0090681A">
          <w:rPr>
            <w:i/>
            <w:color w:val="000000"/>
          </w:rPr>
          <w:t>jiri.obst@csu.gov.cz</w:t>
        </w:r>
      </w:hyperlink>
    </w:p>
    <w:p w14:paraId="566E4435" w14:textId="77777777" w:rsidR="00724FF7" w:rsidRPr="00724FF7" w:rsidRDefault="00724FF7" w:rsidP="00724FF7">
      <w:pPr>
        <w:spacing w:after="0" w:line="240" w:lineRule="auto"/>
        <w:ind w:left="3600" w:hanging="3600"/>
        <w:jc w:val="left"/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</w:pPr>
      <w:r w:rsidRPr="00724FF7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 xml:space="preserve">Podrobné časové řady sald jednotlivých </w:t>
      </w:r>
    </w:p>
    <w:p w14:paraId="5F3B94AC" w14:textId="77777777" w:rsidR="00724FF7" w:rsidRPr="00724FF7" w:rsidRDefault="00724FF7" w:rsidP="00724FF7">
      <w:pPr>
        <w:spacing w:after="0" w:line="240" w:lineRule="auto"/>
        <w:ind w:left="3600" w:hanging="3600"/>
        <w:jc w:val="left"/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</w:pPr>
      <w:r w:rsidRPr="00724FF7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 xml:space="preserve">ukazatelů, sald a bazických indexů </w:t>
      </w:r>
    </w:p>
    <w:p w14:paraId="0BC36826" w14:textId="77777777" w:rsidR="00724FF7" w:rsidRDefault="00724FF7" w:rsidP="00724FF7">
      <w:pPr>
        <w:spacing w:after="0" w:line="240" w:lineRule="auto"/>
        <w:ind w:left="3600" w:hanging="3600"/>
        <w:jc w:val="left"/>
      </w:pPr>
      <w:r w:rsidRPr="00724FF7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>indikátorů důvěry dle odvětví: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2" w:history="1">
        <w:r w:rsidRPr="002B1E89">
          <w:rPr>
            <w:rStyle w:val="Hypertextovodkaz"/>
            <w:i/>
          </w:rPr>
          <w:t>https://csu.gov.cz/produkty/kpr_cr</w:t>
        </w:r>
      </w:hyperlink>
    </w:p>
    <w:p w14:paraId="4C4C33D2" w14:textId="77777777" w:rsidR="00724FF7" w:rsidRDefault="00724FF7" w:rsidP="00724FF7">
      <w:pPr>
        <w:spacing w:after="0"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27F2F3A" w14:textId="77777777" w:rsidR="00724FF7" w:rsidRDefault="00724FF7" w:rsidP="00724FF7">
      <w:pPr>
        <w:spacing w:after="0" w:line="240" w:lineRule="auto"/>
        <w:ind w:left="3600" w:hanging="3600"/>
        <w:jc w:val="left"/>
        <w:rPr>
          <w:i/>
          <w:sz w:val="18"/>
          <w:szCs w:val="18"/>
        </w:rPr>
      </w:pPr>
      <w:r w:rsidRPr="00724FF7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>K</w:t>
      </w:r>
      <w:r w:rsidRPr="0096305F">
        <w:rPr>
          <w:i/>
          <w:sz w:val="18"/>
          <w:szCs w:val="18"/>
        </w:rPr>
        <w:t xml:space="preserve">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4443B177" w14:textId="77777777" w:rsidR="00724FF7" w:rsidRPr="008F273F" w:rsidRDefault="00724FF7" w:rsidP="00724FF7">
      <w:pPr>
        <w:jc w:val="left"/>
      </w:pPr>
      <w:hyperlink r:id="rId13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5A258FCC" w14:textId="08CAB516" w:rsidR="00070445" w:rsidRDefault="00070445" w:rsidP="00724FF7">
      <w:pPr>
        <w:spacing w:after="0" w:line="240" w:lineRule="auto"/>
        <w:ind w:left="3600" w:hanging="3600"/>
        <w:jc w:val="left"/>
        <w:rPr>
          <w:noProof/>
        </w:rPr>
      </w:pPr>
    </w:p>
    <w:sectPr w:rsidR="00070445" w:rsidSect="00BE2E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77FF" w14:textId="77777777" w:rsidR="000055B6" w:rsidRDefault="000055B6" w:rsidP="004A01A7">
      <w:pPr>
        <w:spacing w:after="0" w:line="240" w:lineRule="auto"/>
      </w:pPr>
      <w:r>
        <w:separator/>
      </w:r>
    </w:p>
  </w:endnote>
  <w:endnote w:type="continuationSeparator" w:id="0">
    <w:p w14:paraId="0AE938EC" w14:textId="77777777" w:rsidR="000055B6" w:rsidRDefault="000055B6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5F29" w14:textId="77777777" w:rsidR="003C07AC" w:rsidRDefault="003C07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AE6C" w14:textId="77777777" w:rsidR="006A57CC" w:rsidRDefault="006A57CC" w:rsidP="00F21B6A">
    <w:pPr>
      <w:pStyle w:val="Zpat"/>
    </w:pPr>
    <w:r w:rsidRPr="006A57CC">
      <w:t>Český statistický úřad</w:t>
    </w:r>
  </w:p>
  <w:p w14:paraId="341354F4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4AEE7CF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24FFE1DE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CE34" w14:textId="77777777" w:rsidR="003C07AC" w:rsidRDefault="003C0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C350" w14:textId="77777777" w:rsidR="000055B6" w:rsidRDefault="000055B6" w:rsidP="004A01A7">
      <w:pPr>
        <w:spacing w:after="0" w:line="240" w:lineRule="auto"/>
      </w:pPr>
    </w:p>
  </w:footnote>
  <w:footnote w:type="continuationSeparator" w:id="0">
    <w:p w14:paraId="557C66C8" w14:textId="77777777" w:rsidR="000055B6" w:rsidRDefault="000055B6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6B08" w14:textId="77777777" w:rsidR="003C07AC" w:rsidRDefault="003C07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032BECC5" w14:textId="77777777" w:rsidTr="00F21B6A">
      <w:trPr>
        <w:jc w:val="right"/>
      </w:trPr>
      <w:tc>
        <w:tcPr>
          <w:tcW w:w="4253" w:type="dxa"/>
        </w:tcPr>
        <w:p w14:paraId="3B3BE0CD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4727024E" w14:textId="77777777" w:rsidR="004A01A7" w:rsidRDefault="003C07AC" w:rsidP="00550B3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812BE2F" wp14:editId="024BF80E">
          <wp:simplePos x="0" y="0"/>
          <wp:positionH relativeFrom="margin">
            <wp:posOffset>1019649</wp:posOffset>
          </wp:positionH>
          <wp:positionV relativeFrom="paragraph">
            <wp:posOffset>-435610</wp:posOffset>
          </wp:positionV>
          <wp:extent cx="2894330" cy="964565"/>
          <wp:effectExtent l="0" t="0" r="1270" b="698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964"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0AACA2ED">
          <wp:simplePos x="0" y="0"/>
          <wp:positionH relativeFrom="page">
            <wp:posOffset>485775</wp:posOffset>
          </wp:positionH>
          <wp:positionV relativeFrom="page">
            <wp:posOffset>360045</wp:posOffset>
          </wp:positionV>
          <wp:extent cx="1602000" cy="792000"/>
          <wp:effectExtent l="0" t="0" r="0" b="8255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19F5" w14:textId="77777777" w:rsidR="003C07AC" w:rsidRDefault="003C07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CB"/>
    <w:rsid w:val="000055B6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0E78"/>
    <w:rsid w:val="00071F0F"/>
    <w:rsid w:val="00083A55"/>
    <w:rsid w:val="00085436"/>
    <w:rsid w:val="00095A7A"/>
    <w:rsid w:val="000968A9"/>
    <w:rsid w:val="000A1765"/>
    <w:rsid w:val="000B4F0B"/>
    <w:rsid w:val="000C11F2"/>
    <w:rsid w:val="000C2452"/>
    <w:rsid w:val="000C67FA"/>
    <w:rsid w:val="000C68F4"/>
    <w:rsid w:val="000D2954"/>
    <w:rsid w:val="000D5C58"/>
    <w:rsid w:val="000D7BC9"/>
    <w:rsid w:val="000E00C3"/>
    <w:rsid w:val="000E3099"/>
    <w:rsid w:val="000F141D"/>
    <w:rsid w:val="000F5A54"/>
    <w:rsid w:val="00102994"/>
    <w:rsid w:val="0010606B"/>
    <w:rsid w:val="0012177C"/>
    <w:rsid w:val="00134D21"/>
    <w:rsid w:val="00134F2B"/>
    <w:rsid w:val="00135EBB"/>
    <w:rsid w:val="001363A5"/>
    <w:rsid w:val="00137B85"/>
    <w:rsid w:val="00140402"/>
    <w:rsid w:val="001407E3"/>
    <w:rsid w:val="00141449"/>
    <w:rsid w:val="00143D1A"/>
    <w:rsid w:val="001440E8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2E9"/>
    <w:rsid w:val="002234D1"/>
    <w:rsid w:val="0023306D"/>
    <w:rsid w:val="002363CA"/>
    <w:rsid w:val="0024676C"/>
    <w:rsid w:val="00251FAA"/>
    <w:rsid w:val="00260DCA"/>
    <w:rsid w:val="00275B42"/>
    <w:rsid w:val="00280346"/>
    <w:rsid w:val="00280D21"/>
    <w:rsid w:val="0028101B"/>
    <w:rsid w:val="002826B4"/>
    <w:rsid w:val="00293F29"/>
    <w:rsid w:val="002974CB"/>
    <w:rsid w:val="00297C33"/>
    <w:rsid w:val="002C4C20"/>
    <w:rsid w:val="002D11B9"/>
    <w:rsid w:val="002D796B"/>
    <w:rsid w:val="002F7004"/>
    <w:rsid w:val="0030061B"/>
    <w:rsid w:val="00303A0E"/>
    <w:rsid w:val="00307360"/>
    <w:rsid w:val="003206E7"/>
    <w:rsid w:val="003208E6"/>
    <w:rsid w:val="0032285E"/>
    <w:rsid w:val="003351B8"/>
    <w:rsid w:val="00342E5E"/>
    <w:rsid w:val="003540FA"/>
    <w:rsid w:val="00354FDA"/>
    <w:rsid w:val="00356332"/>
    <w:rsid w:val="00363815"/>
    <w:rsid w:val="003654CD"/>
    <w:rsid w:val="00370110"/>
    <w:rsid w:val="00372598"/>
    <w:rsid w:val="00392F53"/>
    <w:rsid w:val="00393EC0"/>
    <w:rsid w:val="003A2A49"/>
    <w:rsid w:val="003A3966"/>
    <w:rsid w:val="003A7E6A"/>
    <w:rsid w:val="003B582A"/>
    <w:rsid w:val="003C027F"/>
    <w:rsid w:val="003C07AC"/>
    <w:rsid w:val="003C3F6A"/>
    <w:rsid w:val="003C6E3E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72D12"/>
    <w:rsid w:val="00493ED9"/>
    <w:rsid w:val="004977D7"/>
    <w:rsid w:val="004A01A7"/>
    <w:rsid w:val="004A09C5"/>
    <w:rsid w:val="004A38DD"/>
    <w:rsid w:val="004A466E"/>
    <w:rsid w:val="004B4A94"/>
    <w:rsid w:val="004C7DCA"/>
    <w:rsid w:val="004E7E0E"/>
    <w:rsid w:val="00500A63"/>
    <w:rsid w:val="005035FE"/>
    <w:rsid w:val="00511528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C086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24FF7"/>
    <w:rsid w:val="0073040F"/>
    <w:rsid w:val="007371E0"/>
    <w:rsid w:val="00737FB8"/>
    <w:rsid w:val="00765263"/>
    <w:rsid w:val="00773B0B"/>
    <w:rsid w:val="00787190"/>
    <w:rsid w:val="007D6A0E"/>
    <w:rsid w:val="007D6F07"/>
    <w:rsid w:val="00801CDD"/>
    <w:rsid w:val="00811964"/>
    <w:rsid w:val="0082790E"/>
    <w:rsid w:val="008340C9"/>
    <w:rsid w:val="00834A49"/>
    <w:rsid w:val="008362D1"/>
    <w:rsid w:val="00837E45"/>
    <w:rsid w:val="0084277E"/>
    <w:rsid w:val="00851074"/>
    <w:rsid w:val="008541DA"/>
    <w:rsid w:val="00870D3E"/>
    <w:rsid w:val="00877CF1"/>
    <w:rsid w:val="00881BA3"/>
    <w:rsid w:val="00884306"/>
    <w:rsid w:val="008A4895"/>
    <w:rsid w:val="008B0E87"/>
    <w:rsid w:val="008C4A49"/>
    <w:rsid w:val="008D19F0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85E6B"/>
    <w:rsid w:val="009A389D"/>
    <w:rsid w:val="009A5665"/>
    <w:rsid w:val="009B032C"/>
    <w:rsid w:val="009B0804"/>
    <w:rsid w:val="009C081A"/>
    <w:rsid w:val="009C0BC3"/>
    <w:rsid w:val="009C31A6"/>
    <w:rsid w:val="009D72AA"/>
    <w:rsid w:val="009E4B81"/>
    <w:rsid w:val="009F3E9D"/>
    <w:rsid w:val="009F7967"/>
    <w:rsid w:val="00A15A28"/>
    <w:rsid w:val="00A274A1"/>
    <w:rsid w:val="00A3283F"/>
    <w:rsid w:val="00A47859"/>
    <w:rsid w:val="00A55A71"/>
    <w:rsid w:val="00A6268F"/>
    <w:rsid w:val="00A7786D"/>
    <w:rsid w:val="00A851CE"/>
    <w:rsid w:val="00A90CC7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40D87"/>
    <w:rsid w:val="00B43D9B"/>
    <w:rsid w:val="00B47092"/>
    <w:rsid w:val="00B51C8F"/>
    <w:rsid w:val="00B602D0"/>
    <w:rsid w:val="00B62344"/>
    <w:rsid w:val="00B62A5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85CDE"/>
    <w:rsid w:val="00C87BED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12AC4"/>
    <w:rsid w:val="00D15B3B"/>
    <w:rsid w:val="00D20AC3"/>
    <w:rsid w:val="00D50FAD"/>
    <w:rsid w:val="00D63056"/>
    <w:rsid w:val="00D70040"/>
    <w:rsid w:val="00D7143F"/>
    <w:rsid w:val="00DA10DB"/>
    <w:rsid w:val="00DA6CAC"/>
    <w:rsid w:val="00DD3B2E"/>
    <w:rsid w:val="00DD3D93"/>
    <w:rsid w:val="00DD4E3E"/>
    <w:rsid w:val="00DD6689"/>
    <w:rsid w:val="00DF3F66"/>
    <w:rsid w:val="00E12747"/>
    <w:rsid w:val="00E14659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C2292"/>
    <w:rsid w:val="00ED6FEF"/>
    <w:rsid w:val="00EE05E1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68A6"/>
    <w:rsid w:val="00F70719"/>
    <w:rsid w:val="00F70F49"/>
    <w:rsid w:val="00F837DE"/>
    <w:rsid w:val="00F9617B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6A84"/>
    <w:rsid w:val="00FD7332"/>
    <w:rsid w:val="00FE7E23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D08B3"/>
  <w15:chartTrackingRefBased/>
  <w15:docId w15:val="{8CDF609F-0BD7-4AC4-A2C2-19B3E258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Revize">
    <w:name w:val="Revision"/>
    <w:hidden/>
    <w:uiPriority w:val="99"/>
    <w:semiHidden/>
    <w:rsid w:val="00DA6CA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info/business-economy-euro/indicators-statistics/economic-databases/business-and-consumer-surveys_e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csu.gov.cz/produkty/kpr_c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ri.obst@csu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00_RYCHLE_I\2026\&#269;erven\Form_c464_Rychl&#225;%20informace_CZ_konjunktur&#225;ln&#237;%20pr&#367;zku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DC22C412C242BC85F5E324AAE3C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572BA-E5D5-451F-838B-C8A085DAC340}"/>
      </w:docPartPr>
      <w:docPartBody>
        <w:p w:rsidR="00DD44DB" w:rsidRDefault="00000000">
          <w:pPr>
            <w:pStyle w:val="D2DC22C412C242BC85F5E324AAE3CB79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8D"/>
    <w:rsid w:val="000D7BC9"/>
    <w:rsid w:val="0012177C"/>
    <w:rsid w:val="002F2BB6"/>
    <w:rsid w:val="003C6E3E"/>
    <w:rsid w:val="00443DF4"/>
    <w:rsid w:val="0051408D"/>
    <w:rsid w:val="00944C65"/>
    <w:rsid w:val="00AD04AD"/>
    <w:rsid w:val="00B03D98"/>
    <w:rsid w:val="00C85CDE"/>
    <w:rsid w:val="00DD3B2E"/>
    <w:rsid w:val="00DD44DB"/>
    <w:rsid w:val="00E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D2DC22C412C242BC85F5E324AAE3CB79">
    <w:name w:val="D2DC22C412C242BC85F5E324AAE3C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01622-61DA-4733-A8CF-00E98497FFB6}"/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3a86dcd-d51b-4a7e-8c2c-6193f52bc8ad"/>
    <ds:schemaRef ds:uri="963368fe-b5d2-43b2-81f8-e209854cdf9d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Form_c464_Rychlá informace_CZ_konjunkturální průzkum.dotx</Template>
  <TotalTime>153</TotalTime>
  <Pages>2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Obst Jiří</dc:creator>
  <cp:keywords/>
  <dc:description/>
  <cp:lastModifiedBy>Obst Jiří</cp:lastModifiedBy>
  <cp:revision>7</cp:revision>
  <dcterms:created xsi:type="dcterms:W3CDTF">2026-06-18T09:26:00Z</dcterms:created>
  <dcterms:modified xsi:type="dcterms:W3CDTF">2026-06-23T06:15:00Z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