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2D2" w:rsidRDefault="00C812D2" w:rsidP="00C812D2">
      <w:pPr>
        <w:pStyle w:val="Datum"/>
      </w:pPr>
      <w:r>
        <w:t>0</w:t>
      </w:r>
      <w:r w:rsidR="00EE1260">
        <w:t>9</w:t>
      </w:r>
      <w:r>
        <w:t xml:space="preserve">. </w:t>
      </w:r>
      <w:r w:rsidR="00EE1260">
        <w:t>01</w:t>
      </w:r>
      <w:r>
        <w:t>. 2016</w:t>
      </w:r>
    </w:p>
    <w:p w:rsidR="008B3970" w:rsidRDefault="00573EEE" w:rsidP="008B3970">
      <w:pPr>
        <w:pStyle w:val="Nzev"/>
      </w:pPr>
      <w:r>
        <w:t xml:space="preserve">Government deficit and debt – </w:t>
      </w:r>
      <w:r w:rsidR="00EE1260">
        <w:t>3</w:t>
      </w:r>
      <w:r>
        <w:t>. quarter of 201</w:t>
      </w:r>
      <w:r w:rsidR="0037747B">
        <w:t>6</w:t>
      </w:r>
    </w:p>
    <w:p w:rsidR="00573EEE" w:rsidRPr="008B3970" w:rsidRDefault="006B6EE5" w:rsidP="00573EEE">
      <w:pPr>
        <w:pStyle w:val="Podtitulek"/>
        <w:rPr>
          <w:color w:val="BD1B21"/>
        </w:rPr>
      </w:pPr>
      <w:r>
        <w:t xml:space="preserve">Balance in </w:t>
      </w:r>
      <w:r w:rsidR="004168EB">
        <w:t xml:space="preserve">a </w:t>
      </w:r>
      <w:r>
        <w:t xml:space="preserve">surplus, </w:t>
      </w:r>
      <w:r w:rsidR="004168EB">
        <w:t xml:space="preserve">the level of </w:t>
      </w:r>
      <w:r>
        <w:t>indebtedness</w:t>
      </w:r>
      <w:r w:rsidR="004168EB">
        <w:t xml:space="preserve"> declined</w:t>
      </w:r>
    </w:p>
    <w:p w:rsidR="00573EEE" w:rsidRDefault="004168EB" w:rsidP="004168EB">
      <w:r>
        <w:rPr>
          <w:b/>
        </w:rPr>
        <w:t>The general g</w:t>
      </w:r>
      <w:r w:rsidR="00573EEE">
        <w:rPr>
          <w:b/>
        </w:rPr>
        <w:t xml:space="preserve">overnment </w:t>
      </w:r>
      <w:r w:rsidR="0037747B">
        <w:rPr>
          <w:b/>
        </w:rPr>
        <w:t xml:space="preserve">balance </w:t>
      </w:r>
      <w:r w:rsidR="00573EEE">
        <w:t xml:space="preserve">expressed as a percentage of GDP reached </w:t>
      </w:r>
      <w:r w:rsidR="0037747B">
        <w:t xml:space="preserve">a high </w:t>
      </w:r>
      <w:r w:rsidR="006B6EE5" w:rsidRPr="006B6EE5">
        <w:rPr>
          <w:b/>
        </w:rPr>
        <w:t>surplus</w:t>
      </w:r>
      <w:r w:rsidR="006B6EE5">
        <w:t xml:space="preserve"> </w:t>
      </w:r>
      <w:r w:rsidRPr="004168EB">
        <w:rPr>
          <w:b/>
        </w:rPr>
        <w:t xml:space="preserve">of </w:t>
      </w:r>
      <w:r w:rsidR="00452511">
        <w:rPr>
          <w:b/>
        </w:rPr>
        <w:t>2</w:t>
      </w:r>
      <w:r w:rsidR="00573EEE" w:rsidRPr="00070C41">
        <w:rPr>
          <w:b/>
        </w:rPr>
        <w:t>.</w:t>
      </w:r>
      <w:r w:rsidR="00452511">
        <w:rPr>
          <w:b/>
        </w:rPr>
        <w:t>16</w:t>
      </w:r>
      <w:r w:rsidR="00573EEE" w:rsidRPr="00070C41">
        <w:rPr>
          <w:b/>
        </w:rPr>
        <w:t xml:space="preserve"> </w:t>
      </w:r>
      <w:r w:rsidR="00070C41">
        <w:rPr>
          <w:b/>
        </w:rPr>
        <w:t>percent</w:t>
      </w:r>
      <w:r>
        <w:rPr>
          <w:b/>
        </w:rPr>
        <w:t xml:space="preserve"> </w:t>
      </w:r>
      <w:r>
        <w:t xml:space="preserve">in the </w:t>
      </w:r>
      <w:r w:rsidR="00452511">
        <w:t xml:space="preserve">third </w:t>
      </w:r>
      <w:r>
        <w:t>quarte</w:t>
      </w:r>
      <w:r w:rsidR="00452511">
        <w:t>r of 2016. The surplus grew by 1</w:t>
      </w:r>
      <w:r>
        <w:t>.</w:t>
      </w:r>
      <w:r w:rsidR="00452511">
        <w:t>4</w:t>
      </w:r>
      <w:r>
        <w:t xml:space="preserve"> percentage point (p.p.) compared to the </w:t>
      </w:r>
      <w:r w:rsidR="00452511">
        <w:t>third</w:t>
      </w:r>
      <w:r w:rsidR="00A01423">
        <w:t xml:space="preserve"> quarter </w:t>
      </w:r>
      <w:r>
        <w:t>of the previous year.</w:t>
      </w:r>
    </w:p>
    <w:p w:rsidR="00070C41" w:rsidRDefault="00070C41" w:rsidP="00573EEE"/>
    <w:p w:rsidR="00070C41" w:rsidRPr="00043BF4" w:rsidRDefault="00070C41" w:rsidP="00070C41">
      <w:pPr>
        <w:pStyle w:val="TabulkaGraf"/>
      </w:pPr>
      <w:r>
        <w:t xml:space="preserve">Surplus/Deficit of government institutions, the Czech Republic, </w:t>
      </w:r>
      <w:r w:rsidR="00EE1260">
        <w:t>3</w:t>
      </w:r>
      <w:r>
        <w:t>.Q201</w:t>
      </w:r>
      <w:r w:rsidR="004168EB">
        <w:t>5</w:t>
      </w:r>
      <w:r w:rsidR="00C812D2">
        <w:t>–</w:t>
      </w:r>
      <w:r w:rsidR="00EE1260">
        <w:t>3</w:t>
      </w:r>
      <w:r>
        <w:t>.Q201</w:t>
      </w:r>
      <w:r w:rsidR="004168EB">
        <w:t>6</w:t>
      </w:r>
    </w:p>
    <w:tbl>
      <w:tblPr>
        <w:tblStyle w:val="Mkatabulky"/>
        <w:tblW w:w="8828" w:type="dxa"/>
        <w:tblLook w:val="04A0" w:firstRow="1" w:lastRow="0" w:firstColumn="1" w:lastColumn="0" w:noHBand="0" w:noVBand="1"/>
      </w:tblPr>
      <w:tblGrid>
        <w:gridCol w:w="2235"/>
        <w:gridCol w:w="774"/>
        <w:gridCol w:w="1191"/>
        <w:gridCol w:w="1134"/>
        <w:gridCol w:w="1134"/>
        <w:gridCol w:w="1134"/>
        <w:gridCol w:w="1226"/>
      </w:tblGrid>
      <w:tr w:rsidR="00EE1260" w:rsidTr="00EE1260">
        <w:tc>
          <w:tcPr>
            <w:tcW w:w="2235" w:type="dxa"/>
            <w:vMerge w:val="restart"/>
            <w:vAlign w:val="center"/>
          </w:tcPr>
          <w:p w:rsidR="00EE1260" w:rsidRDefault="00EE1260" w:rsidP="0000635E">
            <w:pPr>
              <w:jc w:val="center"/>
            </w:pPr>
          </w:p>
        </w:tc>
        <w:tc>
          <w:tcPr>
            <w:tcW w:w="774" w:type="dxa"/>
            <w:vMerge w:val="restart"/>
            <w:vAlign w:val="center"/>
          </w:tcPr>
          <w:p w:rsidR="00EE1260" w:rsidRDefault="00EE1260" w:rsidP="0000635E">
            <w:pPr>
              <w:jc w:val="center"/>
            </w:pPr>
            <w:r>
              <w:t>Unit</w:t>
            </w:r>
          </w:p>
        </w:tc>
        <w:tc>
          <w:tcPr>
            <w:tcW w:w="2325" w:type="dxa"/>
            <w:gridSpan w:val="2"/>
          </w:tcPr>
          <w:p w:rsidR="00EE1260" w:rsidRDefault="00EE1260" w:rsidP="004168EB">
            <w:pPr>
              <w:spacing w:line="240" w:lineRule="auto"/>
              <w:jc w:val="center"/>
              <w:rPr>
                <w:szCs w:val="20"/>
                <w:lang w:eastAsia="cs-CZ"/>
              </w:rPr>
            </w:pPr>
            <w:r>
              <w:t>2015</w:t>
            </w:r>
          </w:p>
        </w:tc>
        <w:tc>
          <w:tcPr>
            <w:tcW w:w="3494" w:type="dxa"/>
            <w:gridSpan w:val="3"/>
          </w:tcPr>
          <w:p w:rsidR="00EE1260" w:rsidRDefault="00EE1260" w:rsidP="004168EB">
            <w:pPr>
              <w:jc w:val="center"/>
            </w:pPr>
            <w:r>
              <w:t>2016</w:t>
            </w:r>
          </w:p>
        </w:tc>
      </w:tr>
      <w:tr w:rsidR="00EE1260" w:rsidTr="00EE1260">
        <w:tc>
          <w:tcPr>
            <w:tcW w:w="2235" w:type="dxa"/>
            <w:vMerge/>
          </w:tcPr>
          <w:p w:rsidR="00EE1260" w:rsidRDefault="00EE1260" w:rsidP="0000635E"/>
        </w:tc>
        <w:tc>
          <w:tcPr>
            <w:tcW w:w="774" w:type="dxa"/>
            <w:vMerge/>
          </w:tcPr>
          <w:p w:rsidR="00EE1260" w:rsidRDefault="00EE1260" w:rsidP="0000635E"/>
        </w:tc>
        <w:tc>
          <w:tcPr>
            <w:tcW w:w="1191" w:type="dxa"/>
          </w:tcPr>
          <w:p w:rsidR="00EE1260" w:rsidRDefault="00EE1260" w:rsidP="00EE1260">
            <w:pPr>
              <w:jc w:val="center"/>
            </w:pPr>
            <w:r>
              <w:t>3. quarter</w:t>
            </w:r>
          </w:p>
        </w:tc>
        <w:tc>
          <w:tcPr>
            <w:tcW w:w="1134" w:type="dxa"/>
          </w:tcPr>
          <w:p w:rsidR="00EE1260" w:rsidRDefault="00EE1260" w:rsidP="006B6EE5">
            <w:pPr>
              <w:jc w:val="center"/>
            </w:pPr>
            <w:r>
              <w:t>4. quarter</w:t>
            </w:r>
          </w:p>
        </w:tc>
        <w:tc>
          <w:tcPr>
            <w:tcW w:w="1134" w:type="dxa"/>
          </w:tcPr>
          <w:p w:rsidR="00EE1260" w:rsidRDefault="00EE1260" w:rsidP="006B6EE5">
            <w:pPr>
              <w:jc w:val="center"/>
            </w:pPr>
            <w:r>
              <w:t>1. quarter</w:t>
            </w:r>
          </w:p>
        </w:tc>
        <w:tc>
          <w:tcPr>
            <w:tcW w:w="1134" w:type="dxa"/>
          </w:tcPr>
          <w:p w:rsidR="00EE1260" w:rsidRDefault="00EE1260" w:rsidP="006B6EE5">
            <w:pPr>
              <w:jc w:val="center"/>
            </w:pPr>
            <w:r>
              <w:t>2. quarter</w:t>
            </w:r>
          </w:p>
        </w:tc>
        <w:tc>
          <w:tcPr>
            <w:tcW w:w="1226" w:type="dxa"/>
          </w:tcPr>
          <w:p w:rsidR="00EE1260" w:rsidRDefault="00EE1260" w:rsidP="006B6EE5">
            <w:pPr>
              <w:jc w:val="center"/>
            </w:pPr>
            <w:r>
              <w:t>3. quarter</w:t>
            </w:r>
          </w:p>
        </w:tc>
      </w:tr>
      <w:tr w:rsidR="00EE1260" w:rsidTr="00F14933">
        <w:tc>
          <w:tcPr>
            <w:tcW w:w="2235" w:type="dxa"/>
            <w:vMerge w:val="restart"/>
          </w:tcPr>
          <w:p w:rsidR="00EE1260" w:rsidRDefault="00EE1260" w:rsidP="0000635E">
            <w:pPr>
              <w:jc w:val="left"/>
            </w:pPr>
            <w:r w:rsidRPr="00B07B5B">
              <w:rPr>
                <w:rFonts w:cs="Arial"/>
                <w:szCs w:val="20"/>
              </w:rPr>
              <w:t xml:space="preserve">Net </w:t>
            </w:r>
            <w:r>
              <w:rPr>
                <w:rFonts w:cs="Arial"/>
                <w:szCs w:val="20"/>
              </w:rPr>
              <w:t>lending/</w:t>
            </w:r>
            <w:r w:rsidRPr="00B07B5B">
              <w:rPr>
                <w:rFonts w:cs="Arial"/>
                <w:szCs w:val="20"/>
              </w:rPr>
              <w:t>borrowing</w:t>
            </w:r>
            <w:r>
              <w:rPr>
                <w:rFonts w:cs="Arial"/>
                <w:szCs w:val="20"/>
              </w:rPr>
              <w:t xml:space="preserve"> </w:t>
            </w:r>
            <w:r w:rsidRPr="00B07B5B">
              <w:rPr>
                <w:rFonts w:cs="Arial"/>
                <w:szCs w:val="20"/>
              </w:rPr>
              <w:t>(</w:t>
            </w:r>
            <w:r>
              <w:rPr>
                <w:rFonts w:cs="Arial"/>
                <w:szCs w:val="20"/>
              </w:rPr>
              <w:t>surplus/deficit</w:t>
            </w:r>
            <w:r w:rsidRPr="00B07B5B">
              <w:rPr>
                <w:rFonts w:cs="Arial"/>
                <w:szCs w:val="20"/>
              </w:rPr>
              <w:t xml:space="preserve">) </w:t>
            </w:r>
            <w:r>
              <w:rPr>
                <w:rFonts w:cs="Arial"/>
                <w:szCs w:val="20"/>
              </w:rPr>
              <w:t>of general government</w:t>
            </w:r>
          </w:p>
        </w:tc>
        <w:tc>
          <w:tcPr>
            <w:tcW w:w="774" w:type="dxa"/>
          </w:tcPr>
          <w:p w:rsidR="00EE1260" w:rsidRDefault="00EE1260" w:rsidP="0000635E">
            <w:pPr>
              <w:jc w:val="center"/>
            </w:pPr>
            <w:r>
              <w:t>CZK mill.</w:t>
            </w:r>
          </w:p>
        </w:tc>
        <w:tc>
          <w:tcPr>
            <w:tcW w:w="1191" w:type="dxa"/>
            <w:vAlign w:val="center"/>
          </w:tcPr>
          <w:p w:rsidR="00EE1260" w:rsidRDefault="00EE1260" w:rsidP="00F14933">
            <w:pPr>
              <w:jc w:val="center"/>
            </w:pPr>
            <w:r>
              <w:t>8 796</w:t>
            </w:r>
          </w:p>
        </w:tc>
        <w:tc>
          <w:tcPr>
            <w:tcW w:w="1134" w:type="dxa"/>
            <w:vAlign w:val="center"/>
          </w:tcPr>
          <w:p w:rsidR="00EE1260" w:rsidRDefault="00EE1260" w:rsidP="00F14933">
            <w:pPr>
              <w:jc w:val="center"/>
            </w:pPr>
            <w:r>
              <w:t>-31 495</w:t>
            </w:r>
          </w:p>
        </w:tc>
        <w:tc>
          <w:tcPr>
            <w:tcW w:w="1134" w:type="dxa"/>
            <w:vAlign w:val="center"/>
          </w:tcPr>
          <w:p w:rsidR="00EE1260" w:rsidRDefault="00EE1260" w:rsidP="00F14933">
            <w:pPr>
              <w:jc w:val="center"/>
            </w:pPr>
            <w:r>
              <w:t>-8 793</w:t>
            </w:r>
          </w:p>
        </w:tc>
        <w:tc>
          <w:tcPr>
            <w:tcW w:w="1134" w:type="dxa"/>
            <w:vAlign w:val="center"/>
          </w:tcPr>
          <w:p w:rsidR="00EE1260" w:rsidRDefault="00452511" w:rsidP="00F14933">
            <w:pPr>
              <w:jc w:val="center"/>
            </w:pPr>
            <w:r>
              <w:t>24 285</w:t>
            </w:r>
          </w:p>
        </w:tc>
        <w:tc>
          <w:tcPr>
            <w:tcW w:w="1226" w:type="dxa"/>
            <w:vAlign w:val="center"/>
          </w:tcPr>
          <w:p w:rsidR="00EE1260" w:rsidRDefault="00452511" w:rsidP="00F14933">
            <w:pPr>
              <w:jc w:val="center"/>
            </w:pPr>
            <w:r>
              <w:t>25 798</w:t>
            </w:r>
          </w:p>
        </w:tc>
      </w:tr>
      <w:tr w:rsidR="00EE1260" w:rsidTr="00F14933">
        <w:tc>
          <w:tcPr>
            <w:tcW w:w="2235" w:type="dxa"/>
            <w:vMerge/>
          </w:tcPr>
          <w:p w:rsidR="00EE1260" w:rsidRDefault="00EE1260" w:rsidP="0000635E"/>
        </w:tc>
        <w:tc>
          <w:tcPr>
            <w:tcW w:w="774" w:type="dxa"/>
          </w:tcPr>
          <w:p w:rsidR="00EE1260" w:rsidRDefault="00EE1260" w:rsidP="006B6EE5">
            <w:pPr>
              <w:jc w:val="center"/>
            </w:pPr>
            <w:r>
              <w:t>% of GDP</w:t>
            </w:r>
          </w:p>
        </w:tc>
        <w:tc>
          <w:tcPr>
            <w:tcW w:w="1191" w:type="dxa"/>
            <w:vAlign w:val="center"/>
          </w:tcPr>
          <w:p w:rsidR="00EE1260" w:rsidRDefault="00EE1260" w:rsidP="00F14933">
            <w:pPr>
              <w:jc w:val="center"/>
            </w:pPr>
            <w:r>
              <w:t>0.76</w:t>
            </w:r>
          </w:p>
        </w:tc>
        <w:tc>
          <w:tcPr>
            <w:tcW w:w="1134" w:type="dxa"/>
            <w:vAlign w:val="center"/>
          </w:tcPr>
          <w:p w:rsidR="00EE1260" w:rsidRDefault="00EE1260" w:rsidP="00F14933">
            <w:pPr>
              <w:jc w:val="center"/>
            </w:pPr>
            <w:r>
              <w:t>-2.63</w:t>
            </w:r>
          </w:p>
        </w:tc>
        <w:tc>
          <w:tcPr>
            <w:tcW w:w="1134" w:type="dxa"/>
            <w:vAlign w:val="center"/>
          </w:tcPr>
          <w:p w:rsidR="00EE1260" w:rsidRDefault="00EE1260" w:rsidP="00F14933">
            <w:pPr>
              <w:jc w:val="center"/>
            </w:pPr>
            <w:r>
              <w:t>-0.80</w:t>
            </w:r>
          </w:p>
        </w:tc>
        <w:tc>
          <w:tcPr>
            <w:tcW w:w="1134" w:type="dxa"/>
            <w:vAlign w:val="center"/>
          </w:tcPr>
          <w:p w:rsidR="00EE1260" w:rsidRDefault="00452511" w:rsidP="00F14933">
            <w:pPr>
              <w:jc w:val="center"/>
            </w:pPr>
            <w:r>
              <w:t>2.03</w:t>
            </w:r>
          </w:p>
        </w:tc>
        <w:tc>
          <w:tcPr>
            <w:tcW w:w="1226" w:type="dxa"/>
            <w:vAlign w:val="center"/>
          </w:tcPr>
          <w:p w:rsidR="00EE1260" w:rsidRDefault="00452511" w:rsidP="00F14933">
            <w:pPr>
              <w:jc w:val="center"/>
            </w:pPr>
            <w:r>
              <w:t>2.16</w:t>
            </w:r>
          </w:p>
        </w:tc>
      </w:tr>
    </w:tbl>
    <w:p w:rsidR="00070C41" w:rsidRPr="00EE0960" w:rsidRDefault="00EE0960" w:rsidP="00070C41">
      <w:pPr>
        <w:rPr>
          <w:i/>
        </w:rPr>
      </w:pPr>
      <w:r w:rsidRPr="00EE0960">
        <w:rPr>
          <w:i/>
        </w:rPr>
        <w:t xml:space="preserve">Notice: data </w:t>
      </w:r>
      <w:r>
        <w:rPr>
          <w:i/>
        </w:rPr>
        <w:t>are not seasonally-adjusted; data cannot be compared quarter-to-quarter</w:t>
      </w:r>
    </w:p>
    <w:p w:rsidR="00EE0960" w:rsidRDefault="00EE0960" w:rsidP="00070C41"/>
    <w:p w:rsidR="00452511" w:rsidRDefault="00452511" w:rsidP="00070C41">
      <w:r>
        <w:t xml:space="preserve">In the third quarter 2016, </w:t>
      </w:r>
      <w:r w:rsidR="00644C1F">
        <w:t xml:space="preserve">an </w:t>
      </w:r>
      <w:r>
        <w:t>a</w:t>
      </w:r>
      <w:r w:rsidR="00644C1F">
        <w:t>nnual</w:t>
      </w:r>
      <w:r>
        <w:t xml:space="preserve"> growth in government revenues reached 1.9 percent</w:t>
      </w:r>
      <w:r w:rsidR="00644C1F">
        <w:rPr>
          <w:lang w:val="en-US"/>
        </w:rPr>
        <w:t xml:space="preserve"> due to </w:t>
      </w:r>
      <w:bookmarkStart w:id="0" w:name="_GoBack"/>
      <w:bookmarkEnd w:id="0"/>
      <w:r w:rsidR="001D3459">
        <w:t xml:space="preserve">growing revenues in form of income taxes (11.2 percent), social contributions (7.0 percent) and taxes on products (4.7 percent). At the same time, a sharp decrease was registered in </w:t>
      </w:r>
      <w:r w:rsidR="00C861F5">
        <w:t xml:space="preserve">case of </w:t>
      </w:r>
      <w:r w:rsidR="001D3459">
        <w:t>investments grants received by government (-77.1 percent).</w:t>
      </w:r>
    </w:p>
    <w:p w:rsidR="00452511" w:rsidRDefault="00452511" w:rsidP="00070C41"/>
    <w:p w:rsidR="001D3459" w:rsidRDefault="001D3459" w:rsidP="00070C41">
      <w:r>
        <w:t xml:space="preserve">Government expenditures fell </w:t>
      </w:r>
      <w:r w:rsidR="006F5C70">
        <w:t>by 1.7 percent annually. This</w:t>
      </w:r>
      <w:r w:rsidR="00C861F5">
        <w:t xml:space="preserve"> annual</w:t>
      </w:r>
      <w:r w:rsidR="006F5C70">
        <w:t xml:space="preserve"> change can be explained by</w:t>
      </w:r>
      <w:r w:rsidR="006F5C70" w:rsidRPr="006F5C70">
        <w:t xml:space="preserve"> a decline in government investment expenditures (-27.7 percent)</w:t>
      </w:r>
      <w:r w:rsidR="00A73CF9">
        <w:t xml:space="preserve"> in particular</w:t>
      </w:r>
      <w:r w:rsidR="006F5C70" w:rsidRPr="006F5C70">
        <w:t xml:space="preserve">; at the local government level, </w:t>
      </w:r>
      <w:r w:rsidR="006F5C70">
        <w:t>an amount of investment</w:t>
      </w:r>
      <w:r w:rsidR="00F14933">
        <w:t xml:space="preserve"> expenditures</w:t>
      </w:r>
      <w:r w:rsidR="006F5C70">
        <w:t xml:space="preserve"> declined dramatically (-56.5 percent). </w:t>
      </w:r>
      <w:r w:rsidR="00F14933">
        <w:t xml:space="preserve">A downward trend in government investment expenditures was accompanied by a decrease in investment </w:t>
      </w:r>
      <w:r w:rsidR="006F5C70">
        <w:t>grants paid by government institution</w:t>
      </w:r>
      <w:r w:rsidR="00F14933">
        <w:t>s</w:t>
      </w:r>
      <w:r w:rsidR="006F5C70">
        <w:t xml:space="preserve"> to other sectors </w:t>
      </w:r>
      <w:r w:rsidR="00F14933">
        <w:t xml:space="preserve">(- </w:t>
      </w:r>
      <w:r w:rsidR="006F5C70">
        <w:t>15.4 percent</w:t>
      </w:r>
      <w:r w:rsidR="00F14933">
        <w:t>)</w:t>
      </w:r>
      <w:r w:rsidR="006F5C70">
        <w:t xml:space="preserve">. </w:t>
      </w:r>
      <w:r w:rsidR="00C861F5">
        <w:t>By contrast, a</w:t>
      </w:r>
      <w:r w:rsidR="006F5C70">
        <w:t xml:space="preserve"> growth </w:t>
      </w:r>
      <w:r w:rsidR="00F14933">
        <w:t xml:space="preserve">on the expenditure side </w:t>
      </w:r>
      <w:r w:rsidR="006F5C70">
        <w:t>was registered in the items compensation to employees (4.7 percent), intermediate consumption (1.6 percent) and social benefits (1.9 percent).</w:t>
      </w:r>
    </w:p>
    <w:p w:rsidR="006F5C70" w:rsidRDefault="006F5C70" w:rsidP="00070C41"/>
    <w:p w:rsidR="006F5C70" w:rsidRDefault="00C861F5" w:rsidP="00070C41">
      <w:pPr>
        <w:rPr>
          <w:lang w:val="cs-CZ"/>
        </w:rPr>
      </w:pPr>
      <w:r>
        <w:t>Annual growth in surplus by 17 mill. CZK was driven by the development at the level of local government institutions (</w:t>
      </w:r>
      <w:r w:rsidR="00F14933">
        <w:t>+</w:t>
      </w:r>
      <w:r>
        <w:t>14 mill. CZK) and public healthcare companies (</w:t>
      </w:r>
      <w:r w:rsidR="00F14933">
        <w:t>+</w:t>
      </w:r>
      <w:r>
        <w:t>3 mill. CZK). In case of central government, a surplus grew by 0.1 mill. CZK annually.</w:t>
      </w:r>
    </w:p>
    <w:p w:rsidR="00C861F5" w:rsidRPr="00C861F5" w:rsidRDefault="00C861F5" w:rsidP="00070C41">
      <w:pPr>
        <w:rPr>
          <w:lang w:val="cs-CZ"/>
        </w:rPr>
      </w:pPr>
    </w:p>
    <w:p w:rsidR="00070C41" w:rsidRPr="007400A8" w:rsidRDefault="00A851B2" w:rsidP="00C61ABA">
      <w:r w:rsidRPr="00A851B2">
        <w:rPr>
          <w:b/>
        </w:rPr>
        <w:t xml:space="preserve">General </w:t>
      </w:r>
      <w:r w:rsidR="00ED31AC" w:rsidRPr="00A851B2">
        <w:rPr>
          <w:b/>
        </w:rPr>
        <w:t>government consolidated</w:t>
      </w:r>
      <w:r w:rsidR="00ED31AC" w:rsidRPr="00A851B2">
        <w:t xml:space="preserve"> </w:t>
      </w:r>
      <w:r w:rsidR="00ED31AC" w:rsidRPr="00A851B2">
        <w:rPr>
          <w:b/>
        </w:rPr>
        <w:t xml:space="preserve">gross debt </w:t>
      </w:r>
      <w:r w:rsidR="000676A2" w:rsidRPr="00A851B2">
        <w:t xml:space="preserve">decreased </w:t>
      </w:r>
      <w:r w:rsidR="00A01423">
        <w:t>annually</w:t>
      </w:r>
      <w:r w:rsidR="000676A2" w:rsidRPr="00A851B2">
        <w:t xml:space="preserve"> by </w:t>
      </w:r>
      <w:r w:rsidRPr="00A851B2">
        <w:t>1</w:t>
      </w:r>
      <w:r w:rsidR="000676A2" w:rsidRPr="00A851B2">
        <w:t>.</w:t>
      </w:r>
      <w:r w:rsidR="00C61ABA">
        <w:t>92</w:t>
      </w:r>
      <w:r w:rsidR="000676A2" w:rsidRPr="00A851B2">
        <w:t xml:space="preserve"> </w:t>
      </w:r>
      <w:r w:rsidR="00A01423">
        <w:t xml:space="preserve">p.p. </w:t>
      </w:r>
      <w:r w:rsidR="000676A2" w:rsidRPr="00A851B2">
        <w:t xml:space="preserve">to </w:t>
      </w:r>
      <w:r w:rsidRPr="00A851B2">
        <w:rPr>
          <w:b/>
        </w:rPr>
        <w:t>3</w:t>
      </w:r>
      <w:r w:rsidR="00C61ABA">
        <w:rPr>
          <w:b/>
        </w:rPr>
        <w:t>8</w:t>
      </w:r>
      <w:r w:rsidR="00B82653" w:rsidRPr="00A851B2">
        <w:rPr>
          <w:b/>
        </w:rPr>
        <w:t>.</w:t>
      </w:r>
      <w:r w:rsidRPr="00A851B2">
        <w:rPr>
          <w:b/>
        </w:rPr>
        <w:t>7</w:t>
      </w:r>
      <w:r w:rsidR="00C61ABA">
        <w:rPr>
          <w:b/>
        </w:rPr>
        <w:t>3</w:t>
      </w:r>
      <w:r w:rsidR="00B82653" w:rsidRPr="00A851B2">
        <w:rPr>
          <w:b/>
        </w:rPr>
        <w:t xml:space="preserve"> percent of GDP</w:t>
      </w:r>
      <w:r w:rsidR="00ED31AC" w:rsidRPr="00A851B2">
        <w:t>.</w:t>
      </w:r>
      <w:r w:rsidR="000676A2" w:rsidRPr="00A851B2">
        <w:t xml:space="preserve"> </w:t>
      </w:r>
      <w:r w:rsidR="00C61ABA">
        <w:t>Th</w:t>
      </w:r>
      <w:r w:rsidR="00F14933">
        <w:t>is</w:t>
      </w:r>
      <w:r w:rsidR="00C61ABA">
        <w:t xml:space="preserve"> annual </w:t>
      </w:r>
      <w:r w:rsidR="00A73CF9">
        <w:t>decrease</w:t>
      </w:r>
      <w:r w:rsidR="000676A2" w:rsidRPr="00A851B2">
        <w:t xml:space="preserve"> </w:t>
      </w:r>
      <w:r w:rsidR="00A01423">
        <w:t xml:space="preserve">in indebtedness was </w:t>
      </w:r>
      <w:r w:rsidR="00746E23">
        <w:t>caused</w:t>
      </w:r>
      <w:r w:rsidR="00C61ABA">
        <w:t xml:space="preserve"> by both a growing nominal GDP contributing by 1.58 p.p. and </w:t>
      </w:r>
      <w:r w:rsidR="00F14933">
        <w:t xml:space="preserve">a </w:t>
      </w:r>
      <w:r w:rsidR="00C61ABA">
        <w:t xml:space="preserve">declining nominal debt (-15.6 mill. CZK). The indebtedness </w:t>
      </w:r>
      <w:r w:rsidR="00F14933">
        <w:t>fell</w:t>
      </w:r>
      <w:r w:rsidR="00C61ABA">
        <w:t xml:space="preserve"> by 1.05 p.p. compared to the second quarter of 2016.</w:t>
      </w:r>
    </w:p>
    <w:p w:rsidR="00ED31AC" w:rsidRDefault="00ED31AC" w:rsidP="00070C41"/>
    <w:p w:rsidR="00C61ABA" w:rsidRDefault="00C61ABA" w:rsidP="00070C41"/>
    <w:p w:rsidR="00C61ABA" w:rsidRDefault="00C61ABA" w:rsidP="00070C41"/>
    <w:p w:rsidR="00C61ABA" w:rsidRDefault="00C61ABA" w:rsidP="00070C41"/>
    <w:p w:rsidR="00C61ABA" w:rsidRPr="007400A8" w:rsidRDefault="00C61ABA" w:rsidP="00070C41"/>
    <w:p w:rsidR="00070C41" w:rsidRPr="007400A8" w:rsidRDefault="00ED31AC" w:rsidP="00070C41">
      <w:pPr>
        <w:pStyle w:val="TabulkaGraf"/>
      </w:pPr>
      <w:r w:rsidRPr="007400A8">
        <w:lastRenderedPageBreak/>
        <w:t xml:space="preserve">Debt of government institutions, the Czech Republic </w:t>
      </w:r>
      <w:r w:rsidR="00EE1260">
        <w:t>3</w:t>
      </w:r>
      <w:r w:rsidR="00070C41" w:rsidRPr="007400A8">
        <w:t>.Q201</w:t>
      </w:r>
      <w:r w:rsidR="007400A8" w:rsidRPr="007400A8">
        <w:t>5</w:t>
      </w:r>
      <w:r w:rsidR="00070C41" w:rsidRPr="007400A8">
        <w:t>-</w:t>
      </w:r>
      <w:r w:rsidR="00EE1260">
        <w:t>3</w:t>
      </w:r>
      <w:r w:rsidR="00070C41" w:rsidRPr="007400A8">
        <w:t>.Q201</w:t>
      </w:r>
      <w:r w:rsidR="007400A8" w:rsidRPr="007400A8">
        <w:t>6</w:t>
      </w:r>
    </w:p>
    <w:tbl>
      <w:tblPr>
        <w:tblStyle w:val="Mkatabulky"/>
        <w:tblW w:w="9214" w:type="dxa"/>
        <w:tblInd w:w="-459" w:type="dxa"/>
        <w:tblLook w:val="04A0" w:firstRow="1" w:lastRow="0" w:firstColumn="1" w:lastColumn="0" w:noHBand="0" w:noVBand="1"/>
      </w:tblPr>
      <w:tblGrid>
        <w:gridCol w:w="1775"/>
        <w:gridCol w:w="1082"/>
        <w:gridCol w:w="1254"/>
        <w:gridCol w:w="1276"/>
        <w:gridCol w:w="1276"/>
        <w:gridCol w:w="1275"/>
        <w:gridCol w:w="1276"/>
      </w:tblGrid>
      <w:tr w:rsidR="00EE1260" w:rsidRPr="007400A8" w:rsidTr="00EE1260">
        <w:tc>
          <w:tcPr>
            <w:tcW w:w="1775" w:type="dxa"/>
            <w:vMerge w:val="restart"/>
            <w:vAlign w:val="center"/>
          </w:tcPr>
          <w:p w:rsidR="00EE1260" w:rsidRPr="007400A8" w:rsidRDefault="00EE1260" w:rsidP="0000635E">
            <w:pPr>
              <w:jc w:val="center"/>
            </w:pPr>
          </w:p>
        </w:tc>
        <w:tc>
          <w:tcPr>
            <w:tcW w:w="1082" w:type="dxa"/>
            <w:vMerge w:val="restart"/>
            <w:vAlign w:val="center"/>
          </w:tcPr>
          <w:p w:rsidR="00EE1260" w:rsidRPr="007400A8" w:rsidRDefault="00EE1260" w:rsidP="0000635E">
            <w:pPr>
              <w:jc w:val="center"/>
            </w:pPr>
            <w:r w:rsidRPr="007400A8">
              <w:t>Unit</w:t>
            </w:r>
          </w:p>
        </w:tc>
        <w:tc>
          <w:tcPr>
            <w:tcW w:w="2530" w:type="dxa"/>
            <w:gridSpan w:val="2"/>
          </w:tcPr>
          <w:p w:rsidR="00EE1260" w:rsidRPr="007400A8" w:rsidRDefault="00EE1260" w:rsidP="00EE1260">
            <w:pPr>
              <w:spacing w:line="240" w:lineRule="auto"/>
              <w:jc w:val="center"/>
              <w:rPr>
                <w:szCs w:val="20"/>
                <w:lang w:eastAsia="cs-CZ"/>
              </w:rPr>
            </w:pPr>
            <w:r w:rsidRPr="007400A8">
              <w:t>201</w:t>
            </w:r>
            <w:r>
              <w:t>5</w:t>
            </w:r>
          </w:p>
        </w:tc>
        <w:tc>
          <w:tcPr>
            <w:tcW w:w="3827" w:type="dxa"/>
            <w:gridSpan w:val="3"/>
          </w:tcPr>
          <w:p w:rsidR="00EE1260" w:rsidRPr="007400A8" w:rsidRDefault="00EE1260" w:rsidP="00EE1260">
            <w:pPr>
              <w:jc w:val="center"/>
            </w:pPr>
            <w:r w:rsidRPr="007400A8">
              <w:t>201</w:t>
            </w:r>
            <w:r>
              <w:t>6</w:t>
            </w:r>
          </w:p>
        </w:tc>
      </w:tr>
      <w:tr w:rsidR="00EE1260" w:rsidRPr="007400A8" w:rsidTr="00EE1260">
        <w:tc>
          <w:tcPr>
            <w:tcW w:w="1775" w:type="dxa"/>
            <w:vMerge/>
          </w:tcPr>
          <w:p w:rsidR="00EE1260" w:rsidRPr="007400A8" w:rsidRDefault="00EE1260" w:rsidP="0000635E"/>
        </w:tc>
        <w:tc>
          <w:tcPr>
            <w:tcW w:w="1082" w:type="dxa"/>
            <w:vMerge/>
          </w:tcPr>
          <w:p w:rsidR="00EE1260" w:rsidRPr="007400A8" w:rsidRDefault="00EE1260" w:rsidP="0000635E"/>
        </w:tc>
        <w:tc>
          <w:tcPr>
            <w:tcW w:w="1254" w:type="dxa"/>
          </w:tcPr>
          <w:p w:rsidR="00EE1260" w:rsidRPr="007400A8" w:rsidRDefault="00EE1260" w:rsidP="0000635E">
            <w:pPr>
              <w:jc w:val="center"/>
            </w:pPr>
            <w:r w:rsidRPr="007400A8">
              <w:t>3. quarter</w:t>
            </w:r>
          </w:p>
        </w:tc>
        <w:tc>
          <w:tcPr>
            <w:tcW w:w="1276" w:type="dxa"/>
          </w:tcPr>
          <w:p w:rsidR="00EE1260" w:rsidRPr="007400A8" w:rsidRDefault="00EE1260" w:rsidP="0000635E">
            <w:pPr>
              <w:jc w:val="center"/>
            </w:pPr>
            <w:r w:rsidRPr="007400A8">
              <w:t>4. quarter</w:t>
            </w:r>
          </w:p>
        </w:tc>
        <w:tc>
          <w:tcPr>
            <w:tcW w:w="1276" w:type="dxa"/>
          </w:tcPr>
          <w:p w:rsidR="00EE1260" w:rsidRPr="007400A8" w:rsidRDefault="00EE1260" w:rsidP="0000635E">
            <w:pPr>
              <w:jc w:val="center"/>
            </w:pPr>
            <w:r w:rsidRPr="007400A8">
              <w:t>1. quarter</w:t>
            </w:r>
          </w:p>
        </w:tc>
        <w:tc>
          <w:tcPr>
            <w:tcW w:w="1275" w:type="dxa"/>
          </w:tcPr>
          <w:p w:rsidR="00EE1260" w:rsidRPr="007400A8" w:rsidRDefault="00EE1260" w:rsidP="0000635E">
            <w:pPr>
              <w:jc w:val="center"/>
            </w:pPr>
            <w:r w:rsidRPr="007400A8">
              <w:t>2. quarter</w:t>
            </w:r>
          </w:p>
        </w:tc>
        <w:tc>
          <w:tcPr>
            <w:tcW w:w="1276" w:type="dxa"/>
          </w:tcPr>
          <w:p w:rsidR="00EE1260" w:rsidRPr="007400A8" w:rsidRDefault="00EE1260" w:rsidP="0000635E">
            <w:pPr>
              <w:jc w:val="center"/>
            </w:pPr>
            <w:r>
              <w:t>3. quarter</w:t>
            </w:r>
          </w:p>
        </w:tc>
      </w:tr>
      <w:tr w:rsidR="00C61ABA" w:rsidRPr="007400A8" w:rsidTr="00EE1260">
        <w:trPr>
          <w:trHeight w:val="56"/>
        </w:trPr>
        <w:tc>
          <w:tcPr>
            <w:tcW w:w="1775" w:type="dxa"/>
            <w:vMerge w:val="restart"/>
          </w:tcPr>
          <w:p w:rsidR="00C61ABA" w:rsidRPr="007400A8" w:rsidRDefault="00C61ABA" w:rsidP="0000635E">
            <w:pPr>
              <w:jc w:val="left"/>
            </w:pPr>
            <w:r w:rsidRPr="007400A8">
              <w:rPr>
                <w:rFonts w:cs="Arial"/>
                <w:szCs w:val="20"/>
              </w:rPr>
              <w:t>Consolidated gross government debt</w:t>
            </w:r>
          </w:p>
        </w:tc>
        <w:tc>
          <w:tcPr>
            <w:tcW w:w="1082" w:type="dxa"/>
          </w:tcPr>
          <w:p w:rsidR="00C61ABA" w:rsidRPr="007400A8" w:rsidRDefault="00C61ABA" w:rsidP="0000635E">
            <w:pPr>
              <w:jc w:val="center"/>
            </w:pPr>
            <w:r w:rsidRPr="007400A8">
              <w:t>CZK mill.</w:t>
            </w:r>
          </w:p>
        </w:tc>
        <w:tc>
          <w:tcPr>
            <w:tcW w:w="1254" w:type="dxa"/>
          </w:tcPr>
          <w:p w:rsidR="00C61ABA" w:rsidRPr="00B02827" w:rsidRDefault="00C61ABA" w:rsidP="00E813A5">
            <w:pPr>
              <w:jc w:val="center"/>
            </w:pPr>
            <w:r>
              <w:t>1 828 434</w:t>
            </w:r>
          </w:p>
        </w:tc>
        <w:tc>
          <w:tcPr>
            <w:tcW w:w="1276" w:type="dxa"/>
            <w:vAlign w:val="center"/>
          </w:tcPr>
          <w:p w:rsidR="00C61ABA" w:rsidRPr="00A4439D" w:rsidRDefault="00C61ABA" w:rsidP="00E813A5">
            <w:pPr>
              <w:jc w:val="center"/>
            </w:pPr>
            <w:r>
              <w:t>1 836 255</w:t>
            </w:r>
          </w:p>
        </w:tc>
        <w:tc>
          <w:tcPr>
            <w:tcW w:w="1276" w:type="dxa"/>
            <w:vAlign w:val="center"/>
          </w:tcPr>
          <w:p w:rsidR="00C61ABA" w:rsidRPr="00A4439D" w:rsidRDefault="00C61ABA" w:rsidP="00E813A5">
            <w:pPr>
              <w:jc w:val="center"/>
            </w:pPr>
            <w:r>
              <w:t>1 857 234</w:t>
            </w:r>
          </w:p>
        </w:tc>
        <w:tc>
          <w:tcPr>
            <w:tcW w:w="1275" w:type="dxa"/>
          </w:tcPr>
          <w:p w:rsidR="00C61ABA" w:rsidRDefault="00C61ABA" w:rsidP="00E813A5">
            <w:pPr>
              <w:jc w:val="center"/>
            </w:pPr>
            <w:r>
              <w:t>1 849 132</w:t>
            </w:r>
          </w:p>
        </w:tc>
        <w:tc>
          <w:tcPr>
            <w:tcW w:w="1276" w:type="dxa"/>
          </w:tcPr>
          <w:p w:rsidR="00C61ABA" w:rsidRDefault="00C61ABA" w:rsidP="00E813A5">
            <w:pPr>
              <w:ind w:firstLine="71"/>
              <w:jc w:val="center"/>
            </w:pPr>
            <w:r>
              <w:t>1 812 797</w:t>
            </w:r>
          </w:p>
        </w:tc>
      </w:tr>
      <w:tr w:rsidR="00C61ABA" w:rsidRPr="007400A8" w:rsidTr="00224D85">
        <w:tc>
          <w:tcPr>
            <w:tcW w:w="1775" w:type="dxa"/>
            <w:vMerge/>
          </w:tcPr>
          <w:p w:rsidR="00C61ABA" w:rsidRPr="007400A8" w:rsidRDefault="00C61ABA" w:rsidP="0000635E"/>
        </w:tc>
        <w:tc>
          <w:tcPr>
            <w:tcW w:w="1082" w:type="dxa"/>
          </w:tcPr>
          <w:p w:rsidR="00C61ABA" w:rsidRPr="007400A8" w:rsidRDefault="00C61ABA" w:rsidP="00FA5E5D">
            <w:pPr>
              <w:jc w:val="center"/>
            </w:pPr>
            <w:r w:rsidRPr="007400A8">
              <w:t>% of GDP</w:t>
            </w:r>
          </w:p>
        </w:tc>
        <w:tc>
          <w:tcPr>
            <w:tcW w:w="1254" w:type="dxa"/>
            <w:vAlign w:val="center"/>
          </w:tcPr>
          <w:p w:rsidR="00C61ABA" w:rsidRPr="00B02827" w:rsidRDefault="00C61ABA" w:rsidP="00E813A5">
            <w:pPr>
              <w:jc w:val="center"/>
            </w:pPr>
            <w:r>
              <w:t>40.65</w:t>
            </w:r>
          </w:p>
        </w:tc>
        <w:tc>
          <w:tcPr>
            <w:tcW w:w="1276" w:type="dxa"/>
            <w:vAlign w:val="center"/>
          </w:tcPr>
          <w:p w:rsidR="00C61ABA" w:rsidRPr="00A4439D" w:rsidRDefault="00C61ABA" w:rsidP="00E813A5">
            <w:pPr>
              <w:jc w:val="center"/>
            </w:pPr>
            <w:r>
              <w:t>40.32</w:t>
            </w:r>
          </w:p>
        </w:tc>
        <w:tc>
          <w:tcPr>
            <w:tcW w:w="1276" w:type="dxa"/>
            <w:vAlign w:val="center"/>
          </w:tcPr>
          <w:p w:rsidR="00C61ABA" w:rsidRPr="00A4439D" w:rsidRDefault="00C61ABA" w:rsidP="00E813A5">
            <w:pPr>
              <w:jc w:val="center"/>
            </w:pPr>
            <w:r>
              <w:t>40.40</w:t>
            </w:r>
          </w:p>
        </w:tc>
        <w:tc>
          <w:tcPr>
            <w:tcW w:w="1275" w:type="dxa"/>
            <w:vAlign w:val="center"/>
          </w:tcPr>
          <w:p w:rsidR="00C61ABA" w:rsidRDefault="00C61ABA" w:rsidP="00E813A5">
            <w:pPr>
              <w:jc w:val="center"/>
            </w:pPr>
            <w:r>
              <w:t>39.78</w:t>
            </w:r>
          </w:p>
        </w:tc>
        <w:tc>
          <w:tcPr>
            <w:tcW w:w="1276" w:type="dxa"/>
            <w:vAlign w:val="center"/>
          </w:tcPr>
          <w:p w:rsidR="00C61ABA" w:rsidRDefault="00C61ABA" w:rsidP="00E813A5">
            <w:pPr>
              <w:jc w:val="center"/>
            </w:pPr>
            <w:r>
              <w:t>38.73</w:t>
            </w:r>
          </w:p>
        </w:tc>
      </w:tr>
    </w:tbl>
    <w:p w:rsidR="00FA5E5D" w:rsidRPr="007400A8" w:rsidRDefault="00FA5E5D" w:rsidP="00070C41"/>
    <w:p w:rsidR="00ED31AC" w:rsidRDefault="00ED31AC" w:rsidP="00070C41">
      <w:r w:rsidRPr="007400A8">
        <w:t xml:space="preserve">Shares of </w:t>
      </w:r>
      <w:r w:rsidR="00746E23">
        <w:t xml:space="preserve">individual </w:t>
      </w:r>
      <w:r w:rsidR="00BF1CAD">
        <w:t>financial</w:t>
      </w:r>
      <w:r w:rsidRPr="007400A8">
        <w:t xml:space="preserve"> instruments on the total debt remain stable over time with </w:t>
      </w:r>
      <w:r w:rsidR="00452511">
        <w:t xml:space="preserve">a </w:t>
      </w:r>
      <w:r w:rsidRPr="007400A8">
        <w:t xml:space="preserve">dominant position of </w:t>
      </w:r>
      <w:r w:rsidR="00452511">
        <w:t xml:space="preserve">the </w:t>
      </w:r>
      <w:r w:rsidRPr="007400A8">
        <w:t xml:space="preserve">debt securities (90 percent). </w:t>
      </w:r>
    </w:p>
    <w:p w:rsidR="00A01423" w:rsidRPr="007400A8" w:rsidRDefault="00A01423" w:rsidP="00070C41"/>
    <w:p w:rsidR="00070C41" w:rsidRDefault="00644C1F" w:rsidP="00070C41">
      <w:r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65.3pt;margin-top:3.1pt;width:302.5pt;height:0;z-index:251659264" o:connectortype="straight"/>
        </w:pict>
      </w:r>
    </w:p>
    <w:p w:rsidR="00C812D2" w:rsidRDefault="00C812D2" w:rsidP="00B82653">
      <w:pPr>
        <w:pStyle w:val="Zkladntext"/>
        <w:spacing w:line="276" w:lineRule="auto"/>
        <w:rPr>
          <w:rFonts w:ascii="Arial" w:hAnsi="Arial" w:cs="Arial"/>
          <w:i/>
          <w:sz w:val="18"/>
          <w:szCs w:val="20"/>
        </w:rPr>
      </w:pPr>
    </w:p>
    <w:p w:rsidR="00C812D2" w:rsidRDefault="00C812D2" w:rsidP="00B82653">
      <w:pPr>
        <w:pStyle w:val="Zkladntext"/>
        <w:spacing w:line="276" w:lineRule="auto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</w:rPr>
        <w:t>Notices:</w:t>
      </w:r>
    </w:p>
    <w:p w:rsidR="0041416F" w:rsidRPr="00C812D2" w:rsidRDefault="009A2048" w:rsidP="00B82653">
      <w:pPr>
        <w:pStyle w:val="Zkladntext"/>
        <w:spacing w:line="276" w:lineRule="auto"/>
        <w:rPr>
          <w:rFonts w:ascii="Arial" w:hAnsi="Arial" w:cs="Arial"/>
          <w:i/>
          <w:sz w:val="18"/>
          <w:szCs w:val="20"/>
        </w:rPr>
      </w:pPr>
      <w:r w:rsidRPr="00C812D2">
        <w:rPr>
          <w:rFonts w:ascii="Arial" w:hAnsi="Arial" w:cs="Arial"/>
          <w:i/>
          <w:sz w:val="18"/>
          <w:szCs w:val="20"/>
        </w:rPr>
        <w:t xml:space="preserve">Indicators of government deficit and debt mentioned above are based on the methodology ESA2010 and the Manual on government deficit and debt. </w:t>
      </w:r>
      <w:r w:rsidR="0041416F" w:rsidRPr="00C812D2">
        <w:rPr>
          <w:rFonts w:ascii="Arial" w:hAnsi="Arial" w:cs="Arial"/>
          <w:i/>
          <w:sz w:val="18"/>
          <w:szCs w:val="20"/>
        </w:rPr>
        <w:t xml:space="preserve">Quarterly indicators published in this release are methodologically consistent with the annual indicators used for the EDP purposes.  </w:t>
      </w:r>
    </w:p>
    <w:p w:rsidR="0041416F" w:rsidRPr="00C812D2" w:rsidRDefault="0041416F" w:rsidP="00B82653">
      <w:pPr>
        <w:pStyle w:val="Zkladntext"/>
        <w:spacing w:line="276" w:lineRule="auto"/>
        <w:rPr>
          <w:rFonts w:ascii="Arial" w:hAnsi="Arial" w:cs="Arial"/>
          <w:i/>
          <w:sz w:val="18"/>
          <w:szCs w:val="20"/>
        </w:rPr>
      </w:pPr>
    </w:p>
    <w:p w:rsidR="0041416F" w:rsidRPr="00C812D2" w:rsidRDefault="00B82653" w:rsidP="00B82653">
      <w:pPr>
        <w:pStyle w:val="Zkladntext"/>
        <w:spacing w:line="276" w:lineRule="auto"/>
        <w:rPr>
          <w:rFonts w:ascii="Arial" w:hAnsi="Arial" w:cs="Arial"/>
          <w:i/>
          <w:sz w:val="18"/>
          <w:szCs w:val="20"/>
        </w:rPr>
      </w:pPr>
      <w:r w:rsidRPr="00C812D2">
        <w:rPr>
          <w:rFonts w:ascii="Arial" w:hAnsi="Arial" w:cs="Arial"/>
          <w:i/>
          <w:sz w:val="18"/>
          <w:szCs w:val="20"/>
          <w:u w:val="single"/>
        </w:rPr>
        <w:t>Government surplus/deficit</w:t>
      </w:r>
      <w:r w:rsidRPr="00C812D2">
        <w:rPr>
          <w:rFonts w:ascii="Arial" w:hAnsi="Arial" w:cs="Arial"/>
          <w:i/>
          <w:sz w:val="18"/>
          <w:szCs w:val="20"/>
        </w:rPr>
        <w:t xml:space="preserve"> is represented by the item B.9 “net borrowing (-) or net lending (+)” in national accounts. It refers to the ability of general government sector to finance other sectors (+) or the need of general government sector to be financed (-) by other economic sectors. </w:t>
      </w:r>
      <w:r w:rsidR="009A2048" w:rsidRPr="00C812D2">
        <w:rPr>
          <w:rFonts w:ascii="Arial" w:hAnsi="Arial" w:cs="Arial"/>
          <w:i/>
          <w:sz w:val="18"/>
          <w:szCs w:val="20"/>
        </w:rPr>
        <w:t xml:space="preserve">Deficit is compared with nominal GDP in given quarter. </w:t>
      </w:r>
    </w:p>
    <w:p w:rsidR="0041416F" w:rsidRPr="00C812D2" w:rsidRDefault="0041416F" w:rsidP="00B82653">
      <w:pPr>
        <w:pStyle w:val="Zkladntext"/>
        <w:spacing w:line="276" w:lineRule="auto"/>
        <w:rPr>
          <w:rFonts w:ascii="Arial" w:hAnsi="Arial" w:cs="Arial"/>
          <w:i/>
          <w:sz w:val="18"/>
          <w:szCs w:val="20"/>
        </w:rPr>
      </w:pPr>
    </w:p>
    <w:p w:rsidR="0041416F" w:rsidRPr="00C812D2" w:rsidRDefault="0041416F" w:rsidP="00B82653">
      <w:pPr>
        <w:pStyle w:val="Zkladntext"/>
        <w:spacing w:line="276" w:lineRule="auto"/>
        <w:rPr>
          <w:rFonts w:ascii="Arial" w:hAnsi="Arial" w:cs="Arial"/>
          <w:i/>
          <w:sz w:val="18"/>
          <w:szCs w:val="20"/>
        </w:rPr>
      </w:pPr>
      <w:r w:rsidRPr="00C812D2">
        <w:rPr>
          <w:rFonts w:ascii="Arial" w:hAnsi="Arial" w:cs="Arial"/>
          <w:i/>
          <w:sz w:val="18"/>
          <w:szCs w:val="20"/>
          <w:u w:val="single"/>
        </w:rPr>
        <w:t xml:space="preserve">General government </w:t>
      </w:r>
      <w:r w:rsidR="009A2048" w:rsidRPr="00C812D2">
        <w:rPr>
          <w:rFonts w:ascii="Arial" w:hAnsi="Arial" w:cs="Arial"/>
          <w:i/>
          <w:sz w:val="18"/>
          <w:szCs w:val="20"/>
          <w:u w:val="single"/>
        </w:rPr>
        <w:t>debt</w:t>
      </w:r>
      <w:r w:rsidR="009A2048" w:rsidRPr="00C812D2">
        <w:rPr>
          <w:rFonts w:ascii="Arial" w:hAnsi="Arial" w:cs="Arial"/>
          <w:i/>
          <w:sz w:val="18"/>
          <w:szCs w:val="20"/>
        </w:rPr>
        <w:t xml:space="preserve"> </w:t>
      </w:r>
      <w:r w:rsidRPr="00C812D2">
        <w:rPr>
          <w:rFonts w:ascii="Arial" w:hAnsi="Arial" w:cs="Arial"/>
          <w:i/>
          <w:sz w:val="18"/>
          <w:szCs w:val="20"/>
        </w:rPr>
        <w:t xml:space="preserve">is </w:t>
      </w:r>
      <w:r w:rsidR="009A2048" w:rsidRPr="00C812D2">
        <w:rPr>
          <w:rFonts w:ascii="Arial" w:hAnsi="Arial" w:cs="Arial"/>
          <w:i/>
          <w:sz w:val="18"/>
          <w:szCs w:val="20"/>
        </w:rPr>
        <w:t>defined as sum of the items Currency and deposits, Debt securities and Loans</w:t>
      </w:r>
      <w:r w:rsidRPr="00C812D2">
        <w:rPr>
          <w:rFonts w:ascii="Arial" w:hAnsi="Arial" w:cs="Arial"/>
          <w:i/>
          <w:sz w:val="18"/>
          <w:szCs w:val="20"/>
        </w:rPr>
        <w:t>. General government debt at the end of a given quarter</w:t>
      </w:r>
      <w:r w:rsidR="009A2048" w:rsidRPr="00C812D2">
        <w:rPr>
          <w:rFonts w:ascii="Arial" w:hAnsi="Arial" w:cs="Arial"/>
          <w:i/>
          <w:sz w:val="18"/>
          <w:szCs w:val="20"/>
        </w:rPr>
        <w:t xml:space="preserve"> is compared with the sum of nominal GDP </w:t>
      </w:r>
      <w:r w:rsidRPr="00C812D2">
        <w:rPr>
          <w:rFonts w:ascii="Arial" w:hAnsi="Arial" w:cs="Arial"/>
          <w:i/>
          <w:sz w:val="18"/>
          <w:szCs w:val="20"/>
        </w:rPr>
        <w:t>in</w:t>
      </w:r>
      <w:r w:rsidR="009A2048" w:rsidRPr="00C812D2">
        <w:rPr>
          <w:rFonts w:ascii="Arial" w:hAnsi="Arial" w:cs="Arial"/>
          <w:i/>
          <w:sz w:val="18"/>
          <w:szCs w:val="20"/>
        </w:rPr>
        <w:t xml:space="preserve"> four </w:t>
      </w:r>
      <w:r w:rsidRPr="00C812D2">
        <w:rPr>
          <w:rFonts w:ascii="Arial" w:hAnsi="Arial" w:cs="Arial"/>
          <w:i/>
          <w:sz w:val="18"/>
          <w:szCs w:val="20"/>
        </w:rPr>
        <w:t xml:space="preserve">previous </w:t>
      </w:r>
      <w:r w:rsidR="009A2048" w:rsidRPr="00C812D2">
        <w:rPr>
          <w:rFonts w:ascii="Arial" w:hAnsi="Arial" w:cs="Arial"/>
          <w:i/>
          <w:sz w:val="18"/>
          <w:szCs w:val="20"/>
        </w:rPr>
        <w:t>quarter</w:t>
      </w:r>
      <w:r w:rsidRPr="00C812D2">
        <w:rPr>
          <w:rFonts w:ascii="Arial" w:hAnsi="Arial" w:cs="Arial"/>
          <w:i/>
          <w:sz w:val="18"/>
          <w:szCs w:val="20"/>
        </w:rPr>
        <w:t>s</w:t>
      </w:r>
      <w:r w:rsidR="009A2048" w:rsidRPr="00C812D2">
        <w:rPr>
          <w:rFonts w:ascii="Arial" w:hAnsi="Arial" w:cs="Arial"/>
          <w:i/>
          <w:sz w:val="18"/>
          <w:szCs w:val="20"/>
        </w:rPr>
        <w:t xml:space="preserve">. </w:t>
      </w:r>
    </w:p>
    <w:p w:rsidR="0041416F" w:rsidRPr="00C812D2" w:rsidRDefault="0041416F" w:rsidP="00B82653">
      <w:pPr>
        <w:pStyle w:val="Zkladntext"/>
        <w:spacing w:line="276" w:lineRule="auto"/>
        <w:rPr>
          <w:rFonts w:ascii="Arial" w:hAnsi="Arial" w:cs="Arial"/>
          <w:i/>
          <w:sz w:val="18"/>
          <w:szCs w:val="20"/>
        </w:rPr>
      </w:pPr>
    </w:p>
    <w:p w:rsidR="009A2048" w:rsidRPr="00C812D2" w:rsidRDefault="009A2048" w:rsidP="00B82653">
      <w:pPr>
        <w:pStyle w:val="Zkladntext"/>
        <w:spacing w:line="276" w:lineRule="auto"/>
        <w:rPr>
          <w:rFonts w:ascii="Arial" w:hAnsi="Arial" w:cs="Arial"/>
          <w:i/>
          <w:sz w:val="18"/>
          <w:szCs w:val="20"/>
        </w:rPr>
      </w:pPr>
      <w:r w:rsidRPr="00C812D2">
        <w:rPr>
          <w:rFonts w:ascii="Arial" w:hAnsi="Arial" w:cs="Arial"/>
          <w:i/>
          <w:sz w:val="18"/>
          <w:szCs w:val="20"/>
        </w:rPr>
        <w:t xml:space="preserve">Fiscal indicators of quarterly government deficit and debt are regularly published within the Transmission programme (table 25, table 28) on the web </w:t>
      </w:r>
      <w:hyperlink r:id="rId8" w:history="1">
        <w:r w:rsidRPr="00C812D2">
          <w:rPr>
            <w:rStyle w:val="Hypertextovodkaz"/>
            <w:rFonts w:ascii="Arial" w:hAnsi="Arial" w:cs="Arial"/>
            <w:i/>
            <w:sz w:val="18"/>
            <w:szCs w:val="20"/>
          </w:rPr>
          <w:t>www.czso.cz</w:t>
        </w:r>
      </w:hyperlink>
      <w:r w:rsidRPr="00C812D2">
        <w:rPr>
          <w:rFonts w:ascii="Arial" w:hAnsi="Arial" w:cs="Arial"/>
          <w:i/>
          <w:sz w:val="18"/>
          <w:szCs w:val="20"/>
        </w:rPr>
        <w:t xml:space="preserve"> in the section “GDP, Nati</w:t>
      </w:r>
      <w:r w:rsidR="00B82653" w:rsidRPr="00C812D2">
        <w:rPr>
          <w:rFonts w:ascii="Arial" w:hAnsi="Arial" w:cs="Arial"/>
          <w:i/>
          <w:sz w:val="18"/>
          <w:szCs w:val="20"/>
        </w:rPr>
        <w:t>onal Accounts” (</w:t>
      </w:r>
      <w:hyperlink r:id="rId9" w:history="1">
        <w:r w:rsidR="00B82653" w:rsidRPr="00C812D2">
          <w:rPr>
            <w:rStyle w:val="Hypertextovodkaz"/>
            <w:rFonts w:ascii="Arial" w:hAnsi="Arial" w:cs="Arial"/>
            <w:i/>
            <w:sz w:val="18"/>
            <w:szCs w:val="20"/>
          </w:rPr>
          <w:t>http://apl.czso.cz/pll/rocenka/rocenka.indexnu_gov?mylang=EN</w:t>
        </w:r>
      </w:hyperlink>
      <w:r w:rsidR="00B82653" w:rsidRPr="00C812D2">
        <w:rPr>
          <w:rFonts w:ascii="Arial" w:hAnsi="Arial" w:cs="Arial"/>
          <w:i/>
          <w:sz w:val="18"/>
          <w:szCs w:val="20"/>
        </w:rPr>
        <w:t>)</w:t>
      </w:r>
    </w:p>
    <w:p w:rsidR="00070C41" w:rsidRDefault="00070C41" w:rsidP="009A2048"/>
    <w:p w:rsidR="00C812D2" w:rsidRDefault="00C812D2" w:rsidP="00C812D2">
      <w:pPr>
        <w:pStyle w:val="Poznmky0"/>
      </w:pPr>
    </w:p>
    <w:p w:rsidR="00C812D2" w:rsidRDefault="00C812D2" w:rsidP="00C812D2">
      <w:pPr>
        <w:rPr>
          <w:i/>
          <w:i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275"/>
      </w:tblGrid>
      <w:tr w:rsidR="00C812D2" w:rsidTr="00402E0D">
        <w:tc>
          <w:tcPr>
            <w:tcW w:w="3369" w:type="dxa"/>
          </w:tcPr>
          <w:p w:rsidR="00C812D2" w:rsidRDefault="00C812D2" w:rsidP="00402E0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Responsible manager</w:t>
            </w:r>
            <w:r w:rsidRPr="002C1411">
              <w:rPr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5275" w:type="dxa"/>
          </w:tcPr>
          <w:p w:rsidR="00C812D2" w:rsidRDefault="00C812D2" w:rsidP="00402E0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Vaclav Rybacek</w:t>
            </w:r>
            <w:r w:rsidRPr="002C1411">
              <w:rPr>
                <w:i/>
                <w:iCs/>
                <w:sz w:val="18"/>
                <w:szCs w:val="18"/>
              </w:rPr>
              <w:t>, Ph.D., tel.: 274</w:t>
            </w:r>
            <w:r>
              <w:rPr>
                <w:i/>
                <w:iCs/>
                <w:sz w:val="18"/>
                <w:szCs w:val="18"/>
              </w:rPr>
              <w:t> </w:t>
            </w:r>
            <w:r w:rsidRPr="002C1411">
              <w:rPr>
                <w:i/>
                <w:iCs/>
                <w:sz w:val="18"/>
                <w:szCs w:val="18"/>
              </w:rPr>
              <w:t>052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2C1411">
              <w:rPr>
                <w:i/>
                <w:iCs/>
                <w:sz w:val="18"/>
                <w:szCs w:val="18"/>
              </w:rPr>
              <w:t xml:space="preserve">596, e-mail: </w:t>
            </w:r>
            <w:hyperlink r:id="rId10" w:history="1">
              <w:r w:rsidRPr="00702415">
                <w:rPr>
                  <w:rStyle w:val="Hypertextovodkaz"/>
                  <w:sz w:val="18"/>
                </w:rPr>
                <w:t>vaclav.rybacek@czso.cz</w:t>
              </w:r>
            </w:hyperlink>
            <w:r w:rsidRPr="00702415">
              <w:rPr>
                <w:sz w:val="18"/>
              </w:rPr>
              <w:t xml:space="preserve"> </w:t>
            </w:r>
          </w:p>
        </w:tc>
      </w:tr>
      <w:tr w:rsidR="00C812D2" w:rsidTr="00402E0D">
        <w:tc>
          <w:tcPr>
            <w:tcW w:w="3369" w:type="dxa"/>
          </w:tcPr>
          <w:p w:rsidR="00C812D2" w:rsidRDefault="00C812D2" w:rsidP="00402E0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Contact person</w:t>
            </w:r>
            <w:r w:rsidRPr="002C1411">
              <w:rPr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5275" w:type="dxa"/>
          </w:tcPr>
          <w:p w:rsidR="00C812D2" w:rsidRDefault="00C812D2" w:rsidP="00402E0D">
            <w:pPr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Jaroslav Kahoun, tel.: 274</w:t>
            </w:r>
            <w:r>
              <w:rPr>
                <w:i/>
                <w:iCs/>
                <w:sz w:val="18"/>
                <w:szCs w:val="18"/>
              </w:rPr>
              <w:t> </w:t>
            </w:r>
            <w:r w:rsidRPr="002C1411">
              <w:rPr>
                <w:i/>
                <w:iCs/>
                <w:sz w:val="18"/>
                <w:szCs w:val="18"/>
              </w:rPr>
              <w:t>054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2C1411">
              <w:rPr>
                <w:i/>
                <w:iCs/>
                <w:sz w:val="18"/>
                <w:szCs w:val="18"/>
              </w:rPr>
              <w:t xml:space="preserve">232, e-mail: </w:t>
            </w:r>
            <w:hyperlink r:id="rId11" w:history="1">
              <w:r w:rsidRPr="00702415">
                <w:rPr>
                  <w:rStyle w:val="Hypertextovodkaz"/>
                  <w:sz w:val="18"/>
                </w:rPr>
                <w:t>jaroslav.kahoun@czso.cz</w:t>
              </w:r>
            </w:hyperlink>
            <w:r w:rsidRPr="00702415">
              <w:rPr>
                <w:sz w:val="18"/>
              </w:rPr>
              <w:t xml:space="preserve"> </w:t>
            </w:r>
          </w:p>
        </w:tc>
      </w:tr>
      <w:tr w:rsidR="00C812D2" w:rsidTr="00402E0D">
        <w:tc>
          <w:tcPr>
            <w:tcW w:w="3369" w:type="dxa"/>
          </w:tcPr>
          <w:p w:rsidR="00C812D2" w:rsidRDefault="00C812D2" w:rsidP="00402E0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Coming News Release</w:t>
            </w:r>
            <w:r w:rsidRPr="002C1411">
              <w:rPr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5275" w:type="dxa"/>
          </w:tcPr>
          <w:p w:rsidR="00C812D2" w:rsidRDefault="00C812D2" w:rsidP="00402E0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03. 04</w:t>
            </w:r>
            <w:r w:rsidRPr="002C1411">
              <w:rPr>
                <w:i/>
                <w:iCs/>
                <w:sz w:val="18"/>
                <w:szCs w:val="18"/>
              </w:rPr>
              <w:t>.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2C1411">
              <w:rPr>
                <w:i/>
                <w:iCs/>
                <w:sz w:val="18"/>
                <w:szCs w:val="18"/>
              </w:rPr>
              <w:t>2017</w:t>
            </w:r>
          </w:p>
        </w:tc>
      </w:tr>
    </w:tbl>
    <w:p w:rsidR="00C812D2" w:rsidRDefault="00C812D2" w:rsidP="00C812D2">
      <w:pPr>
        <w:rPr>
          <w:i/>
          <w:iCs/>
        </w:rPr>
      </w:pPr>
    </w:p>
    <w:p w:rsidR="00D209A7" w:rsidRPr="004920AD" w:rsidRDefault="00C812D2" w:rsidP="00C812D2">
      <w:r w:rsidRPr="0036494C">
        <w:rPr>
          <w:i/>
          <w:sz w:val="18"/>
        </w:rPr>
        <w:t>This press release was not edited for language.</w:t>
      </w:r>
      <w:r w:rsidRPr="004920AD">
        <w:t xml:space="preserve"> </w:t>
      </w:r>
    </w:p>
    <w:sectPr w:rsidR="00D209A7" w:rsidRPr="004920AD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25F" w:rsidRDefault="00CD725F" w:rsidP="00BA6370">
      <w:r>
        <w:separator/>
      </w:r>
    </w:p>
  </w:endnote>
  <w:endnote w:type="continuationSeparator" w:id="0">
    <w:p w:rsidR="00CD725F" w:rsidRDefault="00CD725F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644C1F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123849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123849" w:rsidRPr="007E75DE">
                  <w:rPr>
                    <w:rFonts w:cs="Arial"/>
                    <w:szCs w:val="15"/>
                  </w:rPr>
                  <w:fldChar w:fldCharType="separate"/>
                </w:r>
                <w:r w:rsidR="00644C1F">
                  <w:rPr>
                    <w:rFonts w:cs="Arial"/>
                    <w:noProof/>
                    <w:szCs w:val="15"/>
                  </w:rPr>
                  <w:t>1</w:t>
                </w:r>
                <w:r w:rsidR="00123849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25F" w:rsidRDefault="00CD725F" w:rsidP="00BA6370">
      <w:r>
        <w:separator/>
      </w:r>
    </w:p>
  </w:footnote>
  <w:footnote w:type="continuationSeparator" w:id="0">
    <w:p w:rsidR="00CD725F" w:rsidRDefault="00CD725F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644C1F">
    <w:pPr>
      <w:pStyle w:val="Zhlav"/>
    </w:pPr>
    <w:r>
      <w:rPr>
        <w:noProof/>
        <w:lang w:val="cs-CZ" w:eastAsia="cs-CZ"/>
      </w:rPr>
      <w:pict>
        <v:group id="_x0000_s2094" style="position:absolute;left:0;text-align:left;margin-left:-69.5pt;margin-top:7.95pt;width:496.95pt;height:80.05pt;z-index:251658752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TrackMoves/>
  <w:defaultTabStop w:val="720"/>
  <w:hyphenationZone w:val="425"/>
  <w:characterSpacingControl w:val="doNotCompress"/>
  <w:hdrShapeDefaults>
    <o:shapedefaults v:ext="edit" spidmax="2096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725F"/>
    <w:rsid w:val="00021A4A"/>
    <w:rsid w:val="00043BF4"/>
    <w:rsid w:val="000676A2"/>
    <w:rsid w:val="00070C41"/>
    <w:rsid w:val="000843A5"/>
    <w:rsid w:val="00091722"/>
    <w:rsid w:val="000B6F63"/>
    <w:rsid w:val="000C7DD1"/>
    <w:rsid w:val="00116ED1"/>
    <w:rsid w:val="00121188"/>
    <w:rsid w:val="00123849"/>
    <w:rsid w:val="0013242C"/>
    <w:rsid w:val="001404AB"/>
    <w:rsid w:val="0017231D"/>
    <w:rsid w:val="00176E26"/>
    <w:rsid w:val="0018061F"/>
    <w:rsid w:val="001810DC"/>
    <w:rsid w:val="001B607F"/>
    <w:rsid w:val="001C71FD"/>
    <w:rsid w:val="001D3459"/>
    <w:rsid w:val="001D369A"/>
    <w:rsid w:val="001F08B3"/>
    <w:rsid w:val="002070FB"/>
    <w:rsid w:val="00213729"/>
    <w:rsid w:val="002406FA"/>
    <w:rsid w:val="00297900"/>
    <w:rsid w:val="002B2E47"/>
    <w:rsid w:val="002D37F5"/>
    <w:rsid w:val="0032398D"/>
    <w:rsid w:val="003301A3"/>
    <w:rsid w:val="0036777B"/>
    <w:rsid w:val="0037747B"/>
    <w:rsid w:val="00380178"/>
    <w:rsid w:val="0038282A"/>
    <w:rsid w:val="00397580"/>
    <w:rsid w:val="003A45C8"/>
    <w:rsid w:val="003B7F42"/>
    <w:rsid w:val="003C2DCF"/>
    <w:rsid w:val="003C3372"/>
    <w:rsid w:val="003C7FE7"/>
    <w:rsid w:val="003D0499"/>
    <w:rsid w:val="003D3576"/>
    <w:rsid w:val="003F526A"/>
    <w:rsid w:val="00400EDE"/>
    <w:rsid w:val="00405244"/>
    <w:rsid w:val="0041416F"/>
    <w:rsid w:val="004168EB"/>
    <w:rsid w:val="00436D82"/>
    <w:rsid w:val="004436EE"/>
    <w:rsid w:val="00452511"/>
    <w:rsid w:val="0045547F"/>
    <w:rsid w:val="004920AD"/>
    <w:rsid w:val="004D05B3"/>
    <w:rsid w:val="004E479E"/>
    <w:rsid w:val="004F78E6"/>
    <w:rsid w:val="00512D99"/>
    <w:rsid w:val="00531DBB"/>
    <w:rsid w:val="00564213"/>
    <w:rsid w:val="00573EEE"/>
    <w:rsid w:val="005B2F08"/>
    <w:rsid w:val="005F79FB"/>
    <w:rsid w:val="00604406"/>
    <w:rsid w:val="00605F4A"/>
    <w:rsid w:val="00607822"/>
    <w:rsid w:val="006103AA"/>
    <w:rsid w:val="00613BBF"/>
    <w:rsid w:val="00622B80"/>
    <w:rsid w:val="0064139A"/>
    <w:rsid w:val="00644C1F"/>
    <w:rsid w:val="006B6EE5"/>
    <w:rsid w:val="006D5C60"/>
    <w:rsid w:val="006E024F"/>
    <w:rsid w:val="006E4E81"/>
    <w:rsid w:val="006F5C70"/>
    <w:rsid w:val="00707F7D"/>
    <w:rsid w:val="00717EC5"/>
    <w:rsid w:val="007400A8"/>
    <w:rsid w:val="00746E23"/>
    <w:rsid w:val="00755D8B"/>
    <w:rsid w:val="00760610"/>
    <w:rsid w:val="00763787"/>
    <w:rsid w:val="007A0CA5"/>
    <w:rsid w:val="007A57F2"/>
    <w:rsid w:val="007B1333"/>
    <w:rsid w:val="007F4AEB"/>
    <w:rsid w:val="007F75B2"/>
    <w:rsid w:val="008043C4"/>
    <w:rsid w:val="00831B1B"/>
    <w:rsid w:val="00855FB3"/>
    <w:rsid w:val="00861D0E"/>
    <w:rsid w:val="00867569"/>
    <w:rsid w:val="00885C0D"/>
    <w:rsid w:val="00886C45"/>
    <w:rsid w:val="008A750A"/>
    <w:rsid w:val="008B3970"/>
    <w:rsid w:val="008C384C"/>
    <w:rsid w:val="008D0F11"/>
    <w:rsid w:val="008F73B4"/>
    <w:rsid w:val="009035E8"/>
    <w:rsid w:val="00910828"/>
    <w:rsid w:val="00971374"/>
    <w:rsid w:val="009A2048"/>
    <w:rsid w:val="009B55B1"/>
    <w:rsid w:val="009D404B"/>
    <w:rsid w:val="009E39C5"/>
    <w:rsid w:val="00A01423"/>
    <w:rsid w:val="00A07BA7"/>
    <w:rsid w:val="00A4343D"/>
    <w:rsid w:val="00A502F1"/>
    <w:rsid w:val="00A51E12"/>
    <w:rsid w:val="00A70A83"/>
    <w:rsid w:val="00A73CF9"/>
    <w:rsid w:val="00A81EB3"/>
    <w:rsid w:val="00A851B2"/>
    <w:rsid w:val="00AB6196"/>
    <w:rsid w:val="00AC3140"/>
    <w:rsid w:val="00B00C1D"/>
    <w:rsid w:val="00B5538B"/>
    <w:rsid w:val="00B632CC"/>
    <w:rsid w:val="00B82653"/>
    <w:rsid w:val="00BA12F1"/>
    <w:rsid w:val="00BA439F"/>
    <w:rsid w:val="00BA6370"/>
    <w:rsid w:val="00BF1CAD"/>
    <w:rsid w:val="00C269D4"/>
    <w:rsid w:val="00C4160D"/>
    <w:rsid w:val="00C61ABA"/>
    <w:rsid w:val="00C61E61"/>
    <w:rsid w:val="00C657E4"/>
    <w:rsid w:val="00C812D2"/>
    <w:rsid w:val="00C8406E"/>
    <w:rsid w:val="00C861F5"/>
    <w:rsid w:val="00CB2709"/>
    <w:rsid w:val="00CB6F89"/>
    <w:rsid w:val="00CD725F"/>
    <w:rsid w:val="00CE228C"/>
    <w:rsid w:val="00CE71D9"/>
    <w:rsid w:val="00CF545B"/>
    <w:rsid w:val="00D209A7"/>
    <w:rsid w:val="00D27D69"/>
    <w:rsid w:val="00D448C2"/>
    <w:rsid w:val="00D666C3"/>
    <w:rsid w:val="00D71581"/>
    <w:rsid w:val="00D811AB"/>
    <w:rsid w:val="00DF47FE"/>
    <w:rsid w:val="00E0156A"/>
    <w:rsid w:val="00E26704"/>
    <w:rsid w:val="00E31980"/>
    <w:rsid w:val="00E6423C"/>
    <w:rsid w:val="00E71483"/>
    <w:rsid w:val="00E93830"/>
    <w:rsid w:val="00E93E0E"/>
    <w:rsid w:val="00EB1A25"/>
    <w:rsid w:val="00EB1ED3"/>
    <w:rsid w:val="00ED31AC"/>
    <w:rsid w:val="00EE0960"/>
    <w:rsid w:val="00EE1260"/>
    <w:rsid w:val="00EE70B7"/>
    <w:rsid w:val="00F14933"/>
    <w:rsid w:val="00F314B7"/>
    <w:rsid w:val="00F83C49"/>
    <w:rsid w:val="00F91C5B"/>
    <w:rsid w:val="00FA5E5D"/>
    <w:rsid w:val="00FB687C"/>
    <w:rsid w:val="00FE114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6">
      <o:colormru v:ext="edit" colors="#0071bc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table" w:styleId="Mkatabulky">
    <w:name w:val="Table Grid"/>
    <w:basedOn w:val="Normlntabulka"/>
    <w:uiPriority w:val="59"/>
    <w:rsid w:val="00070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B82653"/>
    <w:pPr>
      <w:spacing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82653"/>
    <w:rPr>
      <w:rFonts w:ascii="Times New Roman" w:eastAsia="Times New Roman" w:hAnsi="Times New Roman"/>
      <w:sz w:val="24"/>
      <w:szCs w:val="24"/>
      <w:lang w:val="en-GB"/>
    </w:rPr>
  </w:style>
  <w:style w:type="character" w:styleId="Sledovanodkaz">
    <w:name w:val="FollowedHyperlink"/>
    <w:basedOn w:val="Standardnpsmoodstavce"/>
    <w:uiPriority w:val="99"/>
    <w:semiHidden/>
    <w:unhideWhenUsed/>
    <w:rsid w:val="00886C4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roslav.kahoun@czso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vaclav.rybacek@czso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pl.czso.cz/pll/rocenka/rocenka.indexnu_gov?mylang=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8722C-0208-48BE-AFCD-5EA0DF899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629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4338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Rybáček</dc:creator>
  <cp:lastModifiedBy>Václav Rybáček</cp:lastModifiedBy>
  <cp:revision>26</cp:revision>
  <cp:lastPrinted>2016-09-30T07:45:00Z</cp:lastPrinted>
  <dcterms:created xsi:type="dcterms:W3CDTF">2015-06-29T08:20:00Z</dcterms:created>
  <dcterms:modified xsi:type="dcterms:W3CDTF">2017-01-06T09:45:00Z</dcterms:modified>
</cp:coreProperties>
</file>