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3C" w:rsidRPr="00D17F72" w:rsidRDefault="00197E3C" w:rsidP="00197E3C">
      <w:pPr>
        <w:pStyle w:val="Datum"/>
      </w:pPr>
      <w:r w:rsidRPr="00D17F72">
        <w:t>9 August 2022</w:t>
      </w:r>
    </w:p>
    <w:p w:rsidR="00197E3C" w:rsidRDefault="00197E3C" w:rsidP="00197E3C">
      <w:pPr>
        <w:pStyle w:val="Nzev"/>
      </w:pPr>
      <w:r>
        <w:t>Decrease in the gross indigenous production of meat was not as large as in the meat production at slaughterhouses.</w:t>
      </w:r>
    </w:p>
    <w:p w:rsidR="00197E3C" w:rsidRPr="00D17F72" w:rsidRDefault="00197E3C" w:rsidP="00197E3C">
      <w:pPr>
        <w:pStyle w:val="Podtitulek"/>
      </w:pPr>
      <w:r w:rsidRPr="00D17F72">
        <w:rPr>
          <w:rStyle w:val="markedcontent"/>
          <w:rFonts w:cs="Arial"/>
          <w:szCs w:val="31"/>
        </w:rPr>
        <w:t xml:space="preserve">Supplementary information </w:t>
      </w:r>
      <w:r w:rsidRPr="00D17F72">
        <w:t>to the News Release on Animal production – 2</w:t>
      </w:r>
      <w:r w:rsidRPr="00D17F72">
        <w:rPr>
          <w:vertAlign w:val="superscript"/>
        </w:rPr>
        <w:t>nd</w:t>
      </w:r>
      <w:r w:rsidRPr="00D17F72">
        <w:t xml:space="preserve"> quarter 2022</w:t>
      </w:r>
    </w:p>
    <w:p w:rsidR="00197E3C" w:rsidRPr="00F80F6B" w:rsidRDefault="00197E3C" w:rsidP="00197E3C">
      <w:pPr>
        <w:rPr>
          <w:rFonts w:cs="Arial"/>
          <w:b/>
          <w:szCs w:val="18"/>
        </w:rPr>
      </w:pPr>
      <w:r w:rsidRPr="00F80F6B">
        <w:rPr>
          <w:b/>
          <w:bCs/>
        </w:rPr>
        <w:t>In Q</w:t>
      </w:r>
      <w:r>
        <w:rPr>
          <w:b/>
          <w:bCs/>
        </w:rPr>
        <w:t>2</w:t>
      </w:r>
      <w:r w:rsidRPr="00F80F6B">
        <w:rPr>
          <w:b/>
          <w:bCs/>
        </w:rPr>
        <w:t> 2022, the total meat production at slaughterhouses declined by 2.7%, y</w:t>
      </w:r>
      <w:r>
        <w:rPr>
          <w:b/>
          <w:bCs/>
        </w:rPr>
        <w:t>ear</w:t>
      </w:r>
      <w:r w:rsidRPr="00F80F6B">
        <w:rPr>
          <w:b/>
          <w:bCs/>
        </w:rPr>
        <w:t>-o</w:t>
      </w:r>
      <w:r>
        <w:rPr>
          <w:b/>
          <w:bCs/>
        </w:rPr>
        <w:t>n</w:t>
      </w:r>
      <w:r w:rsidRPr="00F80F6B">
        <w:rPr>
          <w:b/>
          <w:bCs/>
        </w:rPr>
        <w:t>-y</w:t>
      </w:r>
      <w:r>
        <w:rPr>
          <w:b/>
          <w:bCs/>
        </w:rPr>
        <w:t>ear</w:t>
      </w:r>
      <w:r w:rsidRPr="00F80F6B">
        <w:rPr>
          <w:b/>
          <w:bCs/>
        </w:rPr>
        <w:t>, of which the production of beef by 6.6%, of p</w:t>
      </w:r>
      <w:r>
        <w:rPr>
          <w:b/>
          <w:bCs/>
        </w:rPr>
        <w:t>ig</w:t>
      </w:r>
      <w:r w:rsidRPr="00F80F6B">
        <w:rPr>
          <w:b/>
          <w:bCs/>
        </w:rPr>
        <w:t>meat by 2.2%, and of p</w:t>
      </w:r>
      <w:r>
        <w:rPr>
          <w:b/>
          <w:bCs/>
        </w:rPr>
        <w:t>oultry</w:t>
      </w:r>
      <w:r w:rsidRPr="00F80F6B">
        <w:rPr>
          <w:b/>
          <w:bCs/>
        </w:rPr>
        <w:t>meat by 1.9%. Considering</w:t>
      </w:r>
      <w:r w:rsidRPr="00F80F6B">
        <w:rPr>
          <w:rStyle w:val="q4iawc"/>
          <w:b/>
        </w:rPr>
        <w:t xml:space="preserve"> imports and exports of animals</w:t>
      </w:r>
      <w:r>
        <w:rPr>
          <w:rStyle w:val="q4iawc"/>
          <w:b/>
        </w:rPr>
        <w:t xml:space="preserve"> intended</w:t>
      </w:r>
      <w:r w:rsidRPr="00F80F6B">
        <w:rPr>
          <w:rStyle w:val="q4iawc"/>
          <w:b/>
        </w:rPr>
        <w:t xml:space="preserve"> for slaughter, the calculated gross indigenous production for pigs decreased (</w:t>
      </w:r>
      <w:r w:rsidRPr="00F80F6B">
        <w:rPr>
          <w:rStyle w:val="q4iawc"/>
          <w:b/>
          <w:sz w:val="18"/>
        </w:rPr>
        <w:t>−</w:t>
      </w:r>
      <w:r w:rsidRPr="00F80F6B">
        <w:rPr>
          <w:rStyle w:val="q4iawc"/>
          <w:b/>
        </w:rPr>
        <w:t>2.0%), y-o-y. It remained at approximately the same level for beef (</w:t>
      </w:r>
      <w:r w:rsidRPr="00F80F6B">
        <w:rPr>
          <w:rStyle w:val="q4iawc"/>
          <w:b/>
          <w:sz w:val="18"/>
        </w:rPr>
        <w:t>−</w:t>
      </w:r>
      <w:r w:rsidRPr="00F80F6B">
        <w:rPr>
          <w:rStyle w:val="q4iawc"/>
          <w:b/>
        </w:rPr>
        <w:t>0.7%) and increased for poultry (+1.4%).</w:t>
      </w:r>
    </w:p>
    <w:p w:rsidR="00197E3C" w:rsidRPr="00D17F72" w:rsidRDefault="00197E3C" w:rsidP="00197E3C">
      <w:pPr>
        <w:pStyle w:val="Nadpis1"/>
      </w:pPr>
    </w:p>
    <w:p w:rsidR="00197E3C" w:rsidRPr="00D17F72" w:rsidRDefault="00197E3C" w:rsidP="00197E3C">
      <w:pPr>
        <w:pStyle w:val="Nadpis1"/>
      </w:pPr>
      <w:r w:rsidRPr="00D17F72">
        <w:t>Beef</w:t>
      </w:r>
    </w:p>
    <w:p w:rsidR="00197E3C" w:rsidRPr="00D17F72" w:rsidRDefault="00197E3C" w:rsidP="00197E3C">
      <w:pPr>
        <w:rPr>
          <w:color w:val="808080" w:themeColor="background1" w:themeShade="80"/>
        </w:rPr>
      </w:pPr>
      <w:r w:rsidRPr="00D17F72">
        <w:t>The beef production in Q2 2022 went down to 16 810 tonnes (</w:t>
      </w:r>
      <w:r w:rsidRPr="00D17F72">
        <w:rPr>
          <w:sz w:val="18"/>
          <w:szCs w:val="18"/>
        </w:rPr>
        <w:t>−</w:t>
      </w:r>
      <w:r w:rsidRPr="00D17F72">
        <w:t>6.6%, y-o-y). This amount of meat represented 54.3 thous. head of cattle</w:t>
      </w:r>
      <w:r w:rsidRPr="00D17F72">
        <w:rPr>
          <w:color w:val="808080" w:themeColor="background1" w:themeShade="80"/>
        </w:rPr>
        <w:t xml:space="preserve"> </w:t>
      </w:r>
      <w:r w:rsidRPr="00D17F72">
        <w:t>(</w:t>
      </w:r>
      <w:r w:rsidRPr="00D17F72">
        <w:rPr>
          <w:sz w:val="18"/>
          <w:szCs w:val="18"/>
        </w:rPr>
        <w:t>−</w:t>
      </w:r>
      <w:r w:rsidRPr="00D144C2">
        <w:t>6</w:t>
      </w:r>
      <w:r w:rsidRPr="00D17F72">
        <w:t>.5%), of which</w:t>
      </w:r>
      <w:r w:rsidRPr="00D17F72">
        <w:rPr>
          <w:color w:val="808080" w:themeColor="background1" w:themeShade="80"/>
        </w:rPr>
        <w:t xml:space="preserve"> </w:t>
      </w:r>
      <w:r w:rsidRPr="00D17F72">
        <w:t>22.4 thous. (</w:t>
      </w:r>
      <w:r w:rsidRPr="00D17F72">
        <w:rPr>
          <w:sz w:val="18"/>
        </w:rPr>
        <w:t>−</w:t>
      </w:r>
      <w:r w:rsidRPr="00D144C2">
        <w:t>11</w:t>
      </w:r>
      <w:r w:rsidRPr="00D17F72">
        <w:t>.7%) were bulls,</w:t>
      </w:r>
      <w:r w:rsidRPr="00D17F72">
        <w:rPr>
          <w:color w:val="808080" w:themeColor="background1" w:themeShade="80"/>
        </w:rPr>
        <w:t xml:space="preserve"> </w:t>
      </w:r>
      <w:r w:rsidRPr="00D17F72">
        <w:t>23.7 thous. head (</w:t>
      </w:r>
      <w:r w:rsidRPr="00D17F72">
        <w:rPr>
          <w:sz w:val="18"/>
        </w:rPr>
        <w:t>−</w:t>
      </w:r>
      <w:r w:rsidRPr="00D17F72">
        <w:t xml:space="preserve">0.2%) were cows, and </w:t>
      </w:r>
      <w:r w:rsidRPr="00D17F72">
        <w:rPr>
          <w:color w:val="000000"/>
        </w:rPr>
        <w:t>6.2</w:t>
      </w:r>
      <w:r w:rsidRPr="00D17F72">
        <w:t xml:space="preserve"> thous. head (</w:t>
      </w:r>
      <w:r w:rsidRPr="00D17F72">
        <w:rPr>
          <w:sz w:val="18"/>
        </w:rPr>
        <w:t>−</w:t>
      </w:r>
      <w:r w:rsidRPr="00D144C2">
        <w:t>11</w:t>
      </w:r>
      <w:r w:rsidRPr="00D17F72">
        <w:t>.6%) were heifers.</w:t>
      </w:r>
      <w:r w:rsidRPr="00D17F72">
        <w:rPr>
          <w:color w:val="808080" w:themeColor="background1" w:themeShade="80"/>
        </w:rPr>
        <w:t xml:space="preserve"> </w:t>
      </w:r>
    </w:p>
    <w:p w:rsidR="00197E3C" w:rsidRPr="00D17F72" w:rsidRDefault="00197E3C" w:rsidP="00197E3C">
      <w:pPr>
        <w:rPr>
          <w:color w:val="808080" w:themeColor="background1" w:themeShade="80"/>
        </w:rPr>
      </w:pPr>
      <w:r w:rsidRPr="00D17F72">
        <w:t xml:space="preserve">The y-o-y decline in </w:t>
      </w:r>
      <w:r>
        <w:t>beef production</w:t>
      </w:r>
      <w:r w:rsidRPr="00D17F72">
        <w:t xml:space="preserve"> was due mainly by changes in cross-border movements in live cattle for slaughter: by 1.9 thous. more animals were exported and by 1.4 thous. less were imported compared to Q2 2021. Therefore, the meat production at slaughterhouses declined by 1 584 tonnes.</w:t>
      </w:r>
    </w:p>
    <w:p w:rsidR="00197E3C" w:rsidRPr="00D17F72" w:rsidRDefault="00197E3C" w:rsidP="00197E3C">
      <w:r w:rsidRPr="00D17F72">
        <w:rPr>
          <w:rStyle w:val="q4iawc"/>
        </w:rPr>
        <w:t>The gross indigenous production of beef decreased only negligibly by 0.7% to 2</w:t>
      </w:r>
      <w:r>
        <w:rPr>
          <w:rStyle w:val="q4iawc"/>
        </w:rPr>
        <w:t>3</w:t>
      </w:r>
      <w:r w:rsidRPr="00D17F72">
        <w:rPr>
          <w:rStyle w:val="q4iawc"/>
        </w:rPr>
        <w:t> </w:t>
      </w:r>
      <w:r>
        <w:rPr>
          <w:rStyle w:val="q4iawc"/>
        </w:rPr>
        <w:t>001</w:t>
      </w:r>
      <w:r w:rsidRPr="00D17F72">
        <w:rPr>
          <w:rStyle w:val="q4iawc"/>
        </w:rPr>
        <w:t xml:space="preserve"> tonnes.</w:t>
      </w:r>
    </w:p>
    <w:p w:rsidR="00197E3C" w:rsidRPr="00D17F72" w:rsidRDefault="00197E3C" w:rsidP="00197E3C">
      <w:pPr>
        <w:rPr>
          <w:color w:val="808080" w:themeColor="background1" w:themeShade="80"/>
        </w:rPr>
      </w:pPr>
      <w:r w:rsidRPr="00D17F72">
        <w:t>In total 11 501 tonnes of beef (+6.9%, y-o-y) were imported and 3 379 tonnes (+15.8%) were exported in Q2 2022.</w:t>
      </w:r>
      <w:r w:rsidRPr="00D17F72">
        <w:rPr>
          <w:color w:val="808080" w:themeColor="background1" w:themeShade="80"/>
        </w:rPr>
        <w:t xml:space="preserve"> </w:t>
      </w:r>
      <w:r w:rsidRPr="00D17F72">
        <w:t>This contributed to a deepened deficit in the balance of beef in terms of cross-border movements.</w:t>
      </w:r>
    </w:p>
    <w:p w:rsidR="00197E3C" w:rsidRPr="00D17F72" w:rsidRDefault="00197E3C" w:rsidP="00197E3C">
      <w:pPr>
        <w:rPr>
          <w:rStyle w:val="q4iawc"/>
        </w:rPr>
      </w:pPr>
      <w:r w:rsidRPr="00D17F72">
        <w:t xml:space="preserve">The preliminary calculated quantity of beef intended for consumption in the Czech Republic </w:t>
      </w:r>
      <w:r w:rsidRPr="00D17F72">
        <w:rPr>
          <w:rStyle w:val="q4iawc"/>
        </w:rPr>
        <w:t>went down by 3.5% (to 25 309) compared to Q2 2021.</w:t>
      </w:r>
    </w:p>
    <w:p w:rsidR="00197E3C" w:rsidRPr="00D17F72" w:rsidRDefault="00197E3C" w:rsidP="00197E3C"/>
    <w:p w:rsidR="00197E3C" w:rsidRPr="00D17F72" w:rsidRDefault="00197E3C" w:rsidP="00197E3C">
      <w:pPr>
        <w:keepNext/>
        <w:keepLines/>
        <w:jc w:val="left"/>
        <w:outlineLvl w:val="0"/>
        <w:rPr>
          <w:rFonts w:eastAsia="Times New Roman"/>
          <w:b/>
          <w:bCs/>
          <w:szCs w:val="28"/>
        </w:rPr>
      </w:pPr>
      <w:r w:rsidRPr="00D17F72">
        <w:rPr>
          <w:rFonts w:eastAsia="Times New Roman"/>
          <w:b/>
          <w:bCs/>
          <w:szCs w:val="28"/>
        </w:rPr>
        <w:t>Table 1: Decomposition of beef production in Q2 2022</w:t>
      </w:r>
    </w:p>
    <w:tbl>
      <w:tblPr>
        <w:tblStyle w:val="Mkatabulky"/>
        <w:tblW w:w="8500" w:type="dxa"/>
        <w:tblLayout w:type="fixed"/>
        <w:tblLook w:val="04A0" w:firstRow="1" w:lastRow="0" w:firstColumn="1" w:lastColumn="0" w:noHBand="0" w:noVBand="1"/>
      </w:tblPr>
      <w:tblGrid>
        <w:gridCol w:w="3071"/>
        <w:gridCol w:w="1035"/>
        <w:gridCol w:w="1355"/>
        <w:gridCol w:w="1393"/>
        <w:gridCol w:w="1646"/>
      </w:tblGrid>
      <w:tr w:rsidR="00197E3C" w:rsidRPr="00D17F72" w:rsidTr="00CD7067">
        <w:trPr>
          <w:trHeight w:val="550"/>
        </w:trPr>
        <w:tc>
          <w:tcPr>
            <w:tcW w:w="3071" w:type="dxa"/>
            <w:tcBorders>
              <w:top w:val="single" w:sz="12" w:space="0" w:color="000000"/>
              <w:bottom w:val="single" w:sz="12" w:space="0" w:color="000000"/>
            </w:tcBorders>
            <w:vAlign w:val="center"/>
          </w:tcPr>
          <w:p w:rsidR="00197E3C" w:rsidRPr="00D17F72" w:rsidRDefault="00197E3C" w:rsidP="00CD7067">
            <w:pPr>
              <w:widowControl w:val="0"/>
              <w:jc w:val="center"/>
              <w:rPr>
                <w:sz w:val="16"/>
                <w:szCs w:val="16"/>
              </w:rPr>
            </w:pPr>
          </w:p>
        </w:tc>
        <w:tc>
          <w:tcPr>
            <w:tcW w:w="1035"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Row</w:t>
            </w:r>
          </w:p>
        </w:tc>
        <w:tc>
          <w:tcPr>
            <w:tcW w:w="1355"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Number of animals (head)</w:t>
            </w:r>
          </w:p>
        </w:tc>
        <w:tc>
          <w:tcPr>
            <w:tcW w:w="1393"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Live weight</w:t>
            </w:r>
          </w:p>
          <w:p w:rsidR="00197E3C" w:rsidRPr="00D17F72" w:rsidRDefault="00197E3C" w:rsidP="00CD7067">
            <w:pPr>
              <w:widowControl w:val="0"/>
              <w:jc w:val="center"/>
              <w:rPr>
                <w:b/>
                <w:sz w:val="16"/>
                <w:szCs w:val="16"/>
              </w:rPr>
            </w:pPr>
            <w:r w:rsidRPr="00D17F72">
              <w:rPr>
                <w:b/>
                <w:sz w:val="16"/>
                <w:szCs w:val="16"/>
              </w:rPr>
              <w:t>(tonnes)</w:t>
            </w:r>
          </w:p>
        </w:tc>
        <w:tc>
          <w:tcPr>
            <w:tcW w:w="1646"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Carcass weight / meat (tonnes)</w:t>
            </w:r>
          </w:p>
        </w:tc>
      </w:tr>
      <w:tr w:rsidR="00197E3C" w:rsidRPr="00D17F72" w:rsidTr="00CD7067">
        <w:trPr>
          <w:trHeight w:val="283"/>
        </w:trPr>
        <w:tc>
          <w:tcPr>
            <w:tcW w:w="3071" w:type="dxa"/>
            <w:tcBorders>
              <w:top w:val="single" w:sz="12" w:space="0" w:color="000000"/>
            </w:tcBorders>
            <w:vAlign w:val="center"/>
          </w:tcPr>
          <w:p w:rsidR="00197E3C" w:rsidRPr="00D17F72" w:rsidRDefault="00197E3C" w:rsidP="00CD7067">
            <w:pPr>
              <w:widowControl w:val="0"/>
              <w:ind w:left="164"/>
              <w:jc w:val="left"/>
              <w:rPr>
                <w:sz w:val="16"/>
                <w:szCs w:val="16"/>
              </w:rPr>
            </w:pPr>
            <w:r w:rsidRPr="00D17F72">
              <w:rPr>
                <w:sz w:val="16"/>
                <w:szCs w:val="16"/>
              </w:rPr>
              <w:t>Slaughtering in slaughterhouses</w:t>
            </w:r>
          </w:p>
        </w:tc>
        <w:tc>
          <w:tcPr>
            <w:tcW w:w="1035" w:type="dxa"/>
            <w:tcBorders>
              <w:top w:val="single" w:sz="12" w:space="0" w:color="000000"/>
            </w:tcBorders>
            <w:vAlign w:val="center"/>
          </w:tcPr>
          <w:p w:rsidR="00197E3C" w:rsidRPr="00D17F72" w:rsidRDefault="00197E3C" w:rsidP="00CD7067">
            <w:pPr>
              <w:widowControl w:val="0"/>
              <w:jc w:val="center"/>
              <w:rPr>
                <w:sz w:val="16"/>
                <w:szCs w:val="16"/>
              </w:rPr>
            </w:pPr>
            <w:r w:rsidRPr="00D17F72">
              <w:rPr>
                <w:sz w:val="14"/>
                <w:szCs w:val="14"/>
              </w:rPr>
              <w:t>01</w:t>
            </w:r>
          </w:p>
        </w:tc>
        <w:tc>
          <w:tcPr>
            <w:tcW w:w="1355" w:type="dxa"/>
            <w:tcBorders>
              <w:top w:val="single" w:sz="12" w:space="0" w:color="000000"/>
            </w:tcBorders>
            <w:vAlign w:val="center"/>
          </w:tcPr>
          <w:p w:rsidR="00197E3C" w:rsidRPr="00D17F72" w:rsidRDefault="00197E3C" w:rsidP="00CD7067">
            <w:pPr>
              <w:widowControl w:val="0"/>
              <w:ind w:left="173" w:right="257"/>
              <w:jc w:val="right"/>
              <w:rPr>
                <w:sz w:val="16"/>
                <w:szCs w:val="16"/>
              </w:rPr>
            </w:pPr>
            <w:r w:rsidRPr="00D17F72">
              <w:rPr>
                <w:sz w:val="16"/>
                <w:szCs w:val="16"/>
              </w:rPr>
              <w:t>54 334</w:t>
            </w:r>
          </w:p>
        </w:tc>
        <w:tc>
          <w:tcPr>
            <w:tcW w:w="1393" w:type="dxa"/>
            <w:tcBorders>
              <w:top w:val="single" w:sz="12" w:space="0" w:color="000000"/>
            </w:tcBorders>
            <w:vAlign w:val="center"/>
          </w:tcPr>
          <w:p w:rsidR="00197E3C" w:rsidRPr="00D17F72" w:rsidRDefault="00197E3C" w:rsidP="00CD7067">
            <w:pPr>
              <w:widowControl w:val="0"/>
              <w:ind w:right="304"/>
              <w:jc w:val="right"/>
              <w:rPr>
                <w:sz w:val="16"/>
                <w:szCs w:val="16"/>
              </w:rPr>
            </w:pPr>
            <w:r w:rsidRPr="00D17F72">
              <w:rPr>
                <w:sz w:val="16"/>
                <w:szCs w:val="16"/>
              </w:rPr>
              <w:t>31 492</w:t>
            </w:r>
          </w:p>
        </w:tc>
        <w:tc>
          <w:tcPr>
            <w:tcW w:w="1646" w:type="dxa"/>
            <w:tcBorders>
              <w:top w:val="single" w:sz="12" w:space="0" w:color="000000"/>
            </w:tcBorders>
            <w:vAlign w:val="center"/>
          </w:tcPr>
          <w:p w:rsidR="00197E3C" w:rsidRPr="00D17F72" w:rsidRDefault="00197E3C" w:rsidP="00CD7067">
            <w:pPr>
              <w:widowControl w:val="0"/>
              <w:ind w:left="173" w:right="435"/>
              <w:jc w:val="right"/>
              <w:rPr>
                <w:sz w:val="16"/>
                <w:szCs w:val="16"/>
              </w:rPr>
            </w:pPr>
            <w:r w:rsidRPr="00D17F72">
              <w:rPr>
                <w:sz w:val="16"/>
                <w:szCs w:val="16"/>
              </w:rPr>
              <w:t>16 810</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Slaughtering out of slaughterhouses</w:t>
            </w:r>
          </w:p>
        </w:tc>
        <w:tc>
          <w:tcPr>
            <w:tcW w:w="1035" w:type="dxa"/>
            <w:vAlign w:val="center"/>
          </w:tcPr>
          <w:p w:rsidR="00197E3C" w:rsidRPr="00D17F72" w:rsidRDefault="00197E3C" w:rsidP="00CD7067">
            <w:pPr>
              <w:widowControl w:val="0"/>
              <w:jc w:val="center"/>
              <w:rPr>
                <w:sz w:val="16"/>
                <w:szCs w:val="16"/>
              </w:rPr>
            </w:pPr>
            <w:r w:rsidRPr="00D17F72">
              <w:rPr>
                <w:sz w:val="14"/>
                <w:szCs w:val="14"/>
              </w:rPr>
              <w:t>02</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1 252</w:t>
            </w:r>
          </w:p>
        </w:tc>
        <w:tc>
          <w:tcPr>
            <w:tcW w:w="1393" w:type="dxa"/>
            <w:vAlign w:val="center"/>
          </w:tcPr>
          <w:p w:rsidR="00197E3C" w:rsidRPr="00D17F72" w:rsidRDefault="00197E3C" w:rsidP="00CD7067">
            <w:pPr>
              <w:widowControl w:val="0"/>
              <w:ind w:right="304"/>
              <w:jc w:val="right"/>
              <w:rPr>
                <w:sz w:val="16"/>
                <w:szCs w:val="16"/>
              </w:rPr>
            </w:pPr>
            <w:r w:rsidRPr="00D17F72">
              <w:rPr>
                <w:sz w:val="16"/>
                <w:szCs w:val="16"/>
              </w:rPr>
              <w:t>693</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377</w:t>
            </w:r>
          </w:p>
        </w:tc>
      </w:tr>
      <w:tr w:rsidR="00197E3C" w:rsidRPr="00D17F72" w:rsidTr="00CD7067">
        <w:trPr>
          <w:trHeight w:val="283"/>
        </w:trPr>
        <w:tc>
          <w:tcPr>
            <w:tcW w:w="3071" w:type="dxa"/>
            <w:vAlign w:val="center"/>
          </w:tcPr>
          <w:p w:rsidR="00197E3C" w:rsidRPr="00D17F72" w:rsidRDefault="00197E3C" w:rsidP="00CD7067">
            <w:pPr>
              <w:widowControl w:val="0"/>
              <w:jc w:val="left"/>
              <w:rPr>
                <w:b/>
                <w:sz w:val="16"/>
                <w:szCs w:val="16"/>
              </w:rPr>
            </w:pPr>
            <w:r w:rsidRPr="00D17F72">
              <w:rPr>
                <w:b/>
                <w:sz w:val="16"/>
                <w:szCs w:val="16"/>
              </w:rPr>
              <w:t>Usable Production</w:t>
            </w:r>
          </w:p>
        </w:tc>
        <w:tc>
          <w:tcPr>
            <w:tcW w:w="1035" w:type="dxa"/>
            <w:vAlign w:val="center"/>
          </w:tcPr>
          <w:p w:rsidR="00197E3C" w:rsidRPr="00D17F72" w:rsidRDefault="00197E3C" w:rsidP="00CD7067">
            <w:pPr>
              <w:widowControl w:val="0"/>
              <w:jc w:val="center"/>
              <w:rPr>
                <w:b/>
                <w:sz w:val="16"/>
                <w:szCs w:val="16"/>
              </w:rPr>
            </w:pPr>
            <w:r w:rsidRPr="00D17F72">
              <w:rPr>
                <w:b/>
                <w:sz w:val="14"/>
                <w:szCs w:val="14"/>
              </w:rPr>
              <w:t>03=01+02</w:t>
            </w:r>
          </w:p>
        </w:tc>
        <w:tc>
          <w:tcPr>
            <w:tcW w:w="1355" w:type="dxa"/>
            <w:vAlign w:val="center"/>
          </w:tcPr>
          <w:p w:rsidR="00197E3C" w:rsidRPr="00D17F72" w:rsidRDefault="00197E3C" w:rsidP="00CD7067">
            <w:pPr>
              <w:widowControl w:val="0"/>
              <w:ind w:left="173" w:right="257"/>
              <w:jc w:val="right"/>
              <w:rPr>
                <w:b/>
                <w:sz w:val="16"/>
                <w:szCs w:val="16"/>
              </w:rPr>
            </w:pPr>
            <w:r w:rsidRPr="00D17F72">
              <w:rPr>
                <w:b/>
                <w:sz w:val="16"/>
                <w:szCs w:val="16"/>
              </w:rPr>
              <w:t>55 586</w:t>
            </w:r>
          </w:p>
        </w:tc>
        <w:tc>
          <w:tcPr>
            <w:tcW w:w="1393" w:type="dxa"/>
            <w:vAlign w:val="center"/>
          </w:tcPr>
          <w:p w:rsidR="00197E3C" w:rsidRPr="00D17F72" w:rsidRDefault="00197E3C" w:rsidP="00CD7067">
            <w:pPr>
              <w:widowControl w:val="0"/>
              <w:ind w:right="304"/>
              <w:jc w:val="right"/>
              <w:rPr>
                <w:b/>
                <w:sz w:val="16"/>
                <w:szCs w:val="16"/>
              </w:rPr>
            </w:pPr>
            <w:r w:rsidRPr="00D17F72">
              <w:rPr>
                <w:b/>
                <w:sz w:val="16"/>
                <w:szCs w:val="16"/>
              </w:rPr>
              <w:t>32 185</w:t>
            </w:r>
          </w:p>
        </w:tc>
        <w:tc>
          <w:tcPr>
            <w:tcW w:w="1646" w:type="dxa"/>
            <w:vAlign w:val="center"/>
          </w:tcPr>
          <w:p w:rsidR="00197E3C" w:rsidRPr="00D17F72" w:rsidRDefault="00197E3C" w:rsidP="00CD7067">
            <w:pPr>
              <w:widowControl w:val="0"/>
              <w:ind w:left="173" w:right="435"/>
              <w:jc w:val="right"/>
              <w:rPr>
                <w:b/>
                <w:sz w:val="16"/>
                <w:szCs w:val="16"/>
              </w:rPr>
            </w:pPr>
            <w:r w:rsidRPr="00D17F72">
              <w:rPr>
                <w:b/>
                <w:sz w:val="16"/>
                <w:szCs w:val="16"/>
              </w:rPr>
              <w:t>17 187</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Exports of animals for slaughter</w:t>
            </w:r>
          </w:p>
        </w:tc>
        <w:tc>
          <w:tcPr>
            <w:tcW w:w="1035" w:type="dxa"/>
            <w:vAlign w:val="center"/>
          </w:tcPr>
          <w:p w:rsidR="00197E3C" w:rsidRPr="00D17F72" w:rsidRDefault="00197E3C" w:rsidP="00CD7067">
            <w:pPr>
              <w:widowControl w:val="0"/>
              <w:jc w:val="center"/>
              <w:rPr>
                <w:sz w:val="16"/>
                <w:szCs w:val="16"/>
              </w:rPr>
            </w:pPr>
            <w:r w:rsidRPr="00D17F72">
              <w:rPr>
                <w:sz w:val="14"/>
                <w:szCs w:val="14"/>
              </w:rPr>
              <w:t>04</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17 099</w:t>
            </w:r>
          </w:p>
        </w:tc>
        <w:tc>
          <w:tcPr>
            <w:tcW w:w="1393" w:type="dxa"/>
            <w:vAlign w:val="center"/>
          </w:tcPr>
          <w:p w:rsidR="00197E3C" w:rsidRPr="00D17F72" w:rsidRDefault="00197E3C" w:rsidP="00CD7067">
            <w:pPr>
              <w:widowControl w:val="0"/>
              <w:ind w:right="304"/>
              <w:jc w:val="right"/>
              <w:rPr>
                <w:sz w:val="16"/>
                <w:szCs w:val="16"/>
              </w:rPr>
            </w:pPr>
            <w:r w:rsidRPr="00D17F72">
              <w:rPr>
                <w:sz w:val="16"/>
                <w:szCs w:val="16"/>
              </w:rPr>
              <w:t>10 94</w:t>
            </w:r>
            <w:r>
              <w:rPr>
                <w:sz w:val="16"/>
                <w:szCs w:val="16"/>
              </w:rPr>
              <w:t>9</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5 84</w:t>
            </w:r>
            <w:r>
              <w:rPr>
                <w:sz w:val="16"/>
                <w:szCs w:val="16"/>
              </w:rPr>
              <w:t>6</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Imports of animals for slaughter</w:t>
            </w:r>
          </w:p>
        </w:tc>
        <w:tc>
          <w:tcPr>
            <w:tcW w:w="1035" w:type="dxa"/>
            <w:vAlign w:val="center"/>
          </w:tcPr>
          <w:p w:rsidR="00197E3C" w:rsidRPr="00D17F72" w:rsidRDefault="00197E3C" w:rsidP="00CD7067">
            <w:pPr>
              <w:widowControl w:val="0"/>
              <w:jc w:val="center"/>
              <w:rPr>
                <w:sz w:val="16"/>
                <w:szCs w:val="16"/>
              </w:rPr>
            </w:pPr>
            <w:r w:rsidRPr="00D17F72">
              <w:rPr>
                <w:sz w:val="14"/>
                <w:szCs w:val="14"/>
              </w:rPr>
              <w:t>05</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113</w:t>
            </w:r>
          </w:p>
        </w:tc>
        <w:tc>
          <w:tcPr>
            <w:tcW w:w="1393" w:type="dxa"/>
            <w:vAlign w:val="center"/>
          </w:tcPr>
          <w:p w:rsidR="00197E3C" w:rsidRPr="00D17F72" w:rsidRDefault="00197E3C" w:rsidP="00CD7067">
            <w:pPr>
              <w:widowControl w:val="0"/>
              <w:ind w:right="304"/>
              <w:jc w:val="right"/>
              <w:rPr>
                <w:sz w:val="16"/>
                <w:szCs w:val="16"/>
              </w:rPr>
            </w:pPr>
            <w:r w:rsidRPr="00D17F72">
              <w:rPr>
                <w:sz w:val="16"/>
                <w:szCs w:val="16"/>
              </w:rPr>
              <w:t>63</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33</w:t>
            </w:r>
          </w:p>
        </w:tc>
      </w:tr>
      <w:tr w:rsidR="00197E3C" w:rsidRPr="00D17F72" w:rsidTr="00CD7067">
        <w:trPr>
          <w:trHeight w:val="283"/>
        </w:trPr>
        <w:tc>
          <w:tcPr>
            <w:tcW w:w="3071" w:type="dxa"/>
            <w:vAlign w:val="center"/>
          </w:tcPr>
          <w:p w:rsidR="00197E3C" w:rsidRPr="00D17F72" w:rsidRDefault="00197E3C" w:rsidP="00CD7067">
            <w:pPr>
              <w:widowControl w:val="0"/>
              <w:jc w:val="left"/>
              <w:rPr>
                <w:b/>
                <w:sz w:val="16"/>
                <w:szCs w:val="16"/>
              </w:rPr>
            </w:pPr>
            <w:r w:rsidRPr="00D17F72">
              <w:rPr>
                <w:b/>
                <w:sz w:val="16"/>
                <w:szCs w:val="16"/>
              </w:rPr>
              <w:t>Gross indigenous production</w:t>
            </w:r>
          </w:p>
        </w:tc>
        <w:tc>
          <w:tcPr>
            <w:tcW w:w="1035" w:type="dxa"/>
            <w:vAlign w:val="center"/>
          </w:tcPr>
          <w:p w:rsidR="00197E3C" w:rsidRPr="00D17F72" w:rsidRDefault="00197E3C" w:rsidP="00CD7067">
            <w:pPr>
              <w:widowControl w:val="0"/>
              <w:ind w:left="-67" w:right="-6"/>
              <w:jc w:val="center"/>
              <w:rPr>
                <w:b/>
                <w:sz w:val="16"/>
                <w:szCs w:val="16"/>
              </w:rPr>
            </w:pPr>
            <w:r w:rsidRPr="00D17F72">
              <w:rPr>
                <w:b/>
                <w:sz w:val="14"/>
                <w:szCs w:val="14"/>
              </w:rPr>
              <w:t>06=03+04-05</w:t>
            </w:r>
          </w:p>
        </w:tc>
        <w:tc>
          <w:tcPr>
            <w:tcW w:w="1355" w:type="dxa"/>
            <w:vAlign w:val="center"/>
          </w:tcPr>
          <w:p w:rsidR="00197E3C" w:rsidRPr="00D17F72" w:rsidRDefault="00197E3C" w:rsidP="00CD7067">
            <w:pPr>
              <w:widowControl w:val="0"/>
              <w:ind w:left="173" w:right="257"/>
              <w:jc w:val="right"/>
              <w:rPr>
                <w:b/>
                <w:sz w:val="16"/>
                <w:szCs w:val="16"/>
              </w:rPr>
            </w:pPr>
            <w:r w:rsidRPr="00D17F72">
              <w:rPr>
                <w:b/>
                <w:sz w:val="16"/>
                <w:szCs w:val="16"/>
              </w:rPr>
              <w:t>72 572</w:t>
            </w:r>
          </w:p>
        </w:tc>
        <w:tc>
          <w:tcPr>
            <w:tcW w:w="1393" w:type="dxa"/>
            <w:vAlign w:val="center"/>
          </w:tcPr>
          <w:p w:rsidR="00197E3C" w:rsidRPr="00D17F72" w:rsidRDefault="00197E3C" w:rsidP="00CD7067">
            <w:pPr>
              <w:widowControl w:val="0"/>
              <w:ind w:right="304"/>
              <w:jc w:val="right"/>
              <w:rPr>
                <w:b/>
                <w:sz w:val="16"/>
                <w:szCs w:val="16"/>
              </w:rPr>
            </w:pPr>
            <w:r w:rsidRPr="00D17F72">
              <w:rPr>
                <w:b/>
                <w:sz w:val="16"/>
                <w:szCs w:val="16"/>
              </w:rPr>
              <w:t>43 0</w:t>
            </w:r>
            <w:r>
              <w:rPr>
                <w:b/>
                <w:sz w:val="16"/>
                <w:szCs w:val="16"/>
              </w:rPr>
              <w:t>72</w:t>
            </w:r>
          </w:p>
        </w:tc>
        <w:tc>
          <w:tcPr>
            <w:tcW w:w="1646" w:type="dxa"/>
            <w:vAlign w:val="center"/>
          </w:tcPr>
          <w:p w:rsidR="00197E3C" w:rsidRPr="00D17F72" w:rsidRDefault="00197E3C" w:rsidP="00CD7067">
            <w:pPr>
              <w:widowControl w:val="0"/>
              <w:ind w:left="173" w:right="435"/>
              <w:jc w:val="right"/>
              <w:rPr>
                <w:b/>
                <w:sz w:val="16"/>
                <w:szCs w:val="16"/>
              </w:rPr>
            </w:pPr>
            <w:r w:rsidRPr="00D17F72">
              <w:rPr>
                <w:b/>
                <w:sz w:val="16"/>
                <w:szCs w:val="16"/>
              </w:rPr>
              <w:t>2</w:t>
            </w:r>
            <w:r>
              <w:rPr>
                <w:b/>
                <w:sz w:val="16"/>
                <w:szCs w:val="16"/>
              </w:rPr>
              <w:t>3</w:t>
            </w:r>
            <w:r w:rsidRPr="00D17F72">
              <w:rPr>
                <w:b/>
                <w:sz w:val="16"/>
                <w:szCs w:val="16"/>
              </w:rPr>
              <w:t> </w:t>
            </w:r>
            <w:r>
              <w:rPr>
                <w:b/>
                <w:sz w:val="16"/>
                <w:szCs w:val="16"/>
              </w:rPr>
              <w:t>001</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Exports of meat</w:t>
            </w:r>
          </w:p>
        </w:tc>
        <w:tc>
          <w:tcPr>
            <w:tcW w:w="1035" w:type="dxa"/>
            <w:vAlign w:val="center"/>
          </w:tcPr>
          <w:p w:rsidR="00197E3C" w:rsidRPr="00D17F72" w:rsidRDefault="00197E3C" w:rsidP="00CD7067">
            <w:pPr>
              <w:widowControl w:val="0"/>
              <w:jc w:val="center"/>
              <w:rPr>
                <w:sz w:val="16"/>
                <w:szCs w:val="16"/>
              </w:rPr>
            </w:pPr>
            <w:r w:rsidRPr="00D17F72">
              <w:rPr>
                <w:sz w:val="14"/>
                <w:szCs w:val="14"/>
              </w:rPr>
              <w:t>07</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x</w:t>
            </w:r>
          </w:p>
        </w:tc>
        <w:tc>
          <w:tcPr>
            <w:tcW w:w="1393" w:type="dxa"/>
            <w:vAlign w:val="center"/>
          </w:tcPr>
          <w:p w:rsidR="00197E3C" w:rsidRPr="00D17F72" w:rsidRDefault="00197E3C" w:rsidP="00CD7067">
            <w:pPr>
              <w:widowControl w:val="0"/>
              <w:ind w:left="173" w:right="304"/>
              <w:jc w:val="right"/>
              <w:rPr>
                <w:sz w:val="16"/>
                <w:szCs w:val="16"/>
              </w:rPr>
            </w:pPr>
            <w:r w:rsidRPr="00D17F72">
              <w:rPr>
                <w:sz w:val="16"/>
                <w:szCs w:val="16"/>
              </w:rPr>
              <w:t>x</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3 379</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Imports of meat</w:t>
            </w:r>
          </w:p>
        </w:tc>
        <w:tc>
          <w:tcPr>
            <w:tcW w:w="1035" w:type="dxa"/>
            <w:vAlign w:val="center"/>
          </w:tcPr>
          <w:p w:rsidR="00197E3C" w:rsidRPr="00D17F72" w:rsidRDefault="00197E3C" w:rsidP="00CD7067">
            <w:pPr>
              <w:widowControl w:val="0"/>
              <w:jc w:val="center"/>
              <w:rPr>
                <w:sz w:val="16"/>
                <w:szCs w:val="16"/>
              </w:rPr>
            </w:pPr>
            <w:r w:rsidRPr="00D17F72">
              <w:rPr>
                <w:sz w:val="14"/>
                <w:szCs w:val="14"/>
              </w:rPr>
              <w:t>08</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x</w:t>
            </w:r>
          </w:p>
        </w:tc>
        <w:tc>
          <w:tcPr>
            <w:tcW w:w="1393" w:type="dxa"/>
            <w:vAlign w:val="center"/>
          </w:tcPr>
          <w:p w:rsidR="00197E3C" w:rsidRPr="00D17F72" w:rsidRDefault="00197E3C" w:rsidP="00CD7067">
            <w:pPr>
              <w:widowControl w:val="0"/>
              <w:ind w:left="173" w:right="304"/>
              <w:jc w:val="right"/>
              <w:rPr>
                <w:sz w:val="16"/>
                <w:szCs w:val="16"/>
              </w:rPr>
            </w:pPr>
            <w:r w:rsidRPr="00D17F72">
              <w:rPr>
                <w:sz w:val="16"/>
                <w:szCs w:val="16"/>
              </w:rPr>
              <w:t>x</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11 501</w:t>
            </w:r>
          </w:p>
        </w:tc>
      </w:tr>
      <w:tr w:rsidR="00197E3C" w:rsidRPr="00D17F72" w:rsidTr="00CD7067">
        <w:trPr>
          <w:trHeight w:val="283"/>
        </w:trPr>
        <w:tc>
          <w:tcPr>
            <w:tcW w:w="3071" w:type="dxa"/>
            <w:vAlign w:val="center"/>
          </w:tcPr>
          <w:p w:rsidR="00197E3C" w:rsidRPr="00D17F72" w:rsidRDefault="00197E3C" w:rsidP="00CD7067">
            <w:pPr>
              <w:widowControl w:val="0"/>
              <w:ind w:left="22"/>
              <w:jc w:val="left"/>
              <w:rPr>
                <w:b/>
                <w:sz w:val="16"/>
                <w:szCs w:val="16"/>
              </w:rPr>
            </w:pPr>
            <w:r w:rsidRPr="00D17F72">
              <w:rPr>
                <w:b/>
                <w:sz w:val="16"/>
                <w:szCs w:val="16"/>
              </w:rPr>
              <w:t>Calculated consumption</w:t>
            </w:r>
          </w:p>
        </w:tc>
        <w:tc>
          <w:tcPr>
            <w:tcW w:w="1035" w:type="dxa"/>
            <w:vAlign w:val="center"/>
          </w:tcPr>
          <w:p w:rsidR="00197E3C" w:rsidRPr="00D17F72" w:rsidRDefault="00197E3C" w:rsidP="00CD7067">
            <w:pPr>
              <w:widowControl w:val="0"/>
              <w:ind w:left="-67"/>
              <w:jc w:val="center"/>
              <w:rPr>
                <w:b/>
                <w:sz w:val="16"/>
                <w:szCs w:val="16"/>
              </w:rPr>
            </w:pPr>
            <w:r w:rsidRPr="00D17F72">
              <w:rPr>
                <w:b/>
                <w:sz w:val="14"/>
                <w:szCs w:val="14"/>
              </w:rPr>
              <w:t>09=03-07+08</w:t>
            </w:r>
          </w:p>
        </w:tc>
        <w:tc>
          <w:tcPr>
            <w:tcW w:w="1355" w:type="dxa"/>
            <w:vAlign w:val="center"/>
          </w:tcPr>
          <w:p w:rsidR="00197E3C" w:rsidRPr="00D17F72" w:rsidRDefault="00197E3C" w:rsidP="00CD7067">
            <w:pPr>
              <w:widowControl w:val="0"/>
              <w:ind w:left="173" w:right="257"/>
              <w:jc w:val="right"/>
              <w:rPr>
                <w:b/>
                <w:sz w:val="16"/>
                <w:szCs w:val="16"/>
              </w:rPr>
            </w:pPr>
            <w:r w:rsidRPr="00D17F72">
              <w:rPr>
                <w:b/>
                <w:sz w:val="16"/>
                <w:szCs w:val="16"/>
              </w:rPr>
              <w:t>x</w:t>
            </w:r>
          </w:p>
        </w:tc>
        <w:tc>
          <w:tcPr>
            <w:tcW w:w="1393" w:type="dxa"/>
            <w:vAlign w:val="center"/>
          </w:tcPr>
          <w:p w:rsidR="00197E3C" w:rsidRPr="00D17F72" w:rsidRDefault="00197E3C" w:rsidP="00CD7067">
            <w:pPr>
              <w:widowControl w:val="0"/>
              <w:ind w:left="173" w:right="304"/>
              <w:jc w:val="right"/>
              <w:rPr>
                <w:b/>
                <w:sz w:val="16"/>
                <w:szCs w:val="16"/>
              </w:rPr>
            </w:pPr>
            <w:r w:rsidRPr="00D17F72">
              <w:rPr>
                <w:b/>
                <w:sz w:val="16"/>
                <w:szCs w:val="16"/>
              </w:rPr>
              <w:t>x</w:t>
            </w:r>
          </w:p>
        </w:tc>
        <w:tc>
          <w:tcPr>
            <w:tcW w:w="1646" w:type="dxa"/>
            <w:vAlign w:val="center"/>
          </w:tcPr>
          <w:p w:rsidR="00197E3C" w:rsidRPr="00D17F72" w:rsidRDefault="00197E3C" w:rsidP="00CD7067">
            <w:pPr>
              <w:widowControl w:val="0"/>
              <w:ind w:left="173" w:right="435"/>
              <w:jc w:val="right"/>
              <w:rPr>
                <w:b/>
                <w:sz w:val="16"/>
                <w:szCs w:val="16"/>
              </w:rPr>
            </w:pPr>
            <w:r w:rsidRPr="00D17F72">
              <w:rPr>
                <w:b/>
                <w:sz w:val="16"/>
                <w:szCs w:val="16"/>
              </w:rPr>
              <w:t>25 309</w:t>
            </w:r>
          </w:p>
        </w:tc>
      </w:tr>
    </w:tbl>
    <w:p w:rsidR="00197E3C" w:rsidRPr="00D17F72" w:rsidRDefault="00197E3C" w:rsidP="00197E3C"/>
    <w:p w:rsidR="00197E3C" w:rsidRPr="00D17F72" w:rsidRDefault="00197E3C" w:rsidP="00197E3C">
      <w:r w:rsidRPr="00D17F72">
        <w:rPr>
          <w:rStyle w:val="q4iawc"/>
        </w:rPr>
        <w:t xml:space="preserve">The further development of beef production is expected to be influenced by higher number of fattened bulls at the end of the first half of the year, when </w:t>
      </w:r>
      <w:r>
        <w:rPr>
          <w:rStyle w:val="q4iawc"/>
        </w:rPr>
        <w:t>7</w:t>
      </w:r>
      <w:r w:rsidRPr="00D17F72">
        <w:rPr>
          <w:rStyle w:val="q4iawc"/>
        </w:rPr>
        <w:t>.</w:t>
      </w:r>
      <w:r>
        <w:rPr>
          <w:rStyle w:val="q4iawc"/>
        </w:rPr>
        <w:t>2</w:t>
      </w:r>
      <w:r w:rsidRPr="00D17F72">
        <w:rPr>
          <w:rStyle w:val="q4iawc"/>
        </w:rPr>
        <w:t>% more bulls were recorded in the age category 1-2 years and 3.1% more in the age category over 2 years.</w:t>
      </w:r>
    </w:p>
    <w:p w:rsidR="00197E3C" w:rsidRPr="00D17F72" w:rsidRDefault="00197E3C" w:rsidP="00197E3C"/>
    <w:p w:rsidR="00197E3C" w:rsidRPr="00D17F72" w:rsidRDefault="00197E3C" w:rsidP="00197E3C">
      <w:pPr>
        <w:keepNext/>
        <w:keepLines/>
        <w:jc w:val="left"/>
        <w:outlineLvl w:val="0"/>
        <w:rPr>
          <w:rFonts w:eastAsia="Times New Roman"/>
          <w:b/>
          <w:bCs/>
          <w:szCs w:val="28"/>
        </w:rPr>
      </w:pPr>
      <w:r w:rsidRPr="00D17F72">
        <w:rPr>
          <w:rFonts w:eastAsia="Times New Roman"/>
          <w:b/>
          <w:bCs/>
          <w:szCs w:val="28"/>
        </w:rPr>
        <w:t>Pigmeat</w:t>
      </w:r>
    </w:p>
    <w:p w:rsidR="00197E3C" w:rsidRPr="00D17F72" w:rsidRDefault="00197E3C" w:rsidP="00197E3C">
      <w:pPr>
        <w:rPr>
          <w:rStyle w:val="q4iawc"/>
          <w:color w:val="808080" w:themeColor="background1" w:themeShade="80"/>
        </w:rPr>
      </w:pPr>
      <w:r w:rsidRPr="00D17F72">
        <w:t>The pigmeat production reached 53 505 tonnes</w:t>
      </w:r>
      <w:r>
        <w:t>;</w:t>
      </w:r>
      <w:r w:rsidRPr="00D17F72">
        <w:t xml:space="preserve"> i.e by 2.2</w:t>
      </w:r>
      <w:r>
        <w:t>%</w:t>
      </w:r>
      <w:r w:rsidRPr="00D17F72">
        <w:t xml:space="preserve"> less, </w:t>
      </w:r>
      <w:r w:rsidRPr="00D17F72">
        <w:rPr>
          <w:rStyle w:val="q4iawc"/>
        </w:rPr>
        <w:t>y-o-y.</w:t>
      </w:r>
      <w:r w:rsidRPr="00D17F72">
        <w:rPr>
          <w:rStyle w:val="viiyi"/>
          <w:color w:val="808080" w:themeColor="background1" w:themeShade="80"/>
        </w:rPr>
        <w:t xml:space="preserve"> </w:t>
      </w:r>
      <w:r w:rsidRPr="00D17F72">
        <w:t>The number of slaughtered pigs from fattening went down by 3.6% (560.5 thousand head), while the number of slaughtered sows grew by 5.8%. The rate of culling of sows in Q2 2022 slowed.</w:t>
      </w:r>
    </w:p>
    <w:p w:rsidR="00197E3C" w:rsidRPr="00D17F72" w:rsidRDefault="00197E3C" w:rsidP="00197E3C">
      <w:pPr>
        <w:rPr>
          <w:rStyle w:val="q4iawc"/>
          <w:color w:val="808080" w:themeColor="background1" w:themeShade="80"/>
        </w:rPr>
      </w:pPr>
      <w:r>
        <w:rPr>
          <w:rStyle w:val="q4iawc"/>
        </w:rPr>
        <w:t>In total</w:t>
      </w:r>
      <w:r w:rsidRPr="00D17F72">
        <w:rPr>
          <w:rStyle w:val="q4iawc"/>
        </w:rPr>
        <w:t xml:space="preserve"> 56.3 thous</w:t>
      </w:r>
      <w:r>
        <w:rPr>
          <w:rStyle w:val="q4iawc"/>
        </w:rPr>
        <w:t>.</w:t>
      </w:r>
      <w:r w:rsidRPr="00D17F72">
        <w:rPr>
          <w:rStyle w:val="q4iawc"/>
        </w:rPr>
        <w:t xml:space="preserve"> pigs for slaughter (</w:t>
      </w:r>
      <w:r w:rsidRPr="00D17F72">
        <w:rPr>
          <w:rStyle w:val="q4iawc"/>
          <w:sz w:val="18"/>
          <w:szCs w:val="18"/>
        </w:rPr>
        <w:t>−</w:t>
      </w:r>
      <w:r w:rsidRPr="00D17F72">
        <w:rPr>
          <w:rStyle w:val="q4iawc"/>
        </w:rPr>
        <w:t>1.5%) with a live weight of 7 076 tonnes were exported</w:t>
      </w:r>
      <w:r>
        <w:rPr>
          <w:rStyle w:val="q4iawc"/>
        </w:rPr>
        <w:t xml:space="preserve"> in the observed period</w:t>
      </w:r>
      <w:r w:rsidRPr="00D17F72">
        <w:rPr>
          <w:rStyle w:val="q4iawc"/>
        </w:rPr>
        <w:t>, which corresponds to 5 443 tonnes of pigmeat.</w:t>
      </w:r>
      <w:r w:rsidRPr="00D17F72">
        <w:rPr>
          <w:rStyle w:val="viiyi"/>
        </w:rPr>
        <w:t xml:space="preserve"> </w:t>
      </w:r>
    </w:p>
    <w:p w:rsidR="00197E3C" w:rsidRPr="00D17F72" w:rsidRDefault="00197E3C" w:rsidP="00197E3C">
      <w:r w:rsidRPr="00D17F72">
        <w:rPr>
          <w:rStyle w:val="q4iawc"/>
        </w:rPr>
        <w:t xml:space="preserve">The gross indigenous production of pigmeat fell to 59 155 tonnes (−2.0%). </w:t>
      </w:r>
    </w:p>
    <w:p w:rsidR="00197E3C" w:rsidRPr="00D17F72" w:rsidRDefault="00197E3C" w:rsidP="00197E3C">
      <w:pPr>
        <w:rPr>
          <w:rStyle w:val="q4iawc"/>
        </w:rPr>
      </w:pPr>
      <w:r w:rsidRPr="00D17F72">
        <w:rPr>
          <w:rStyle w:val="q4iawc"/>
        </w:rPr>
        <w:t xml:space="preserve">The amount of pigmeat available for domestic consumption in Q2 2022 (115 037 tonnes) was negligibly higher, y-o-y (+0.4%). </w:t>
      </w:r>
      <w:r w:rsidRPr="00D17F72">
        <w:rPr>
          <w:rStyle w:val="q4iawc"/>
          <w:color w:val="808080" w:themeColor="background1" w:themeShade="80"/>
        </w:rPr>
        <w:t>I</w:t>
      </w:r>
      <w:r w:rsidRPr="00D17F72">
        <w:rPr>
          <w:rStyle w:val="q4iawc"/>
        </w:rPr>
        <w:t>t was influenced by</w:t>
      </w:r>
      <w:r w:rsidRPr="00D17F72">
        <w:rPr>
          <w:rStyle w:val="viiyi"/>
        </w:rPr>
        <w:t xml:space="preserve"> h</w:t>
      </w:r>
      <w:r w:rsidRPr="00D17F72">
        <w:rPr>
          <w:rStyle w:val="q4iawc"/>
        </w:rPr>
        <w:t xml:space="preserve">igher imports (69 741 tonnes; +2.3%) and lower exports (8 490 tonnes; </w:t>
      </w:r>
      <w:r w:rsidRPr="00D17F72">
        <w:rPr>
          <w:rStyle w:val="q4iawc"/>
          <w:sz w:val="18"/>
          <w:szCs w:val="18"/>
        </w:rPr>
        <w:t>−</w:t>
      </w:r>
      <w:r w:rsidRPr="00D17F72">
        <w:rPr>
          <w:rStyle w:val="q4iawc"/>
        </w:rPr>
        <w:t>1.5%) of pigmeat.</w:t>
      </w:r>
    </w:p>
    <w:p w:rsidR="00197E3C" w:rsidRPr="00D17F72" w:rsidRDefault="00197E3C" w:rsidP="00197E3C">
      <w:pPr>
        <w:rPr>
          <w:rStyle w:val="q4iawc"/>
        </w:rPr>
      </w:pPr>
    </w:p>
    <w:p w:rsidR="00197E3C" w:rsidRPr="00D17F72" w:rsidRDefault="00197E3C" w:rsidP="00197E3C">
      <w:pPr>
        <w:keepNext/>
        <w:keepLines/>
        <w:jc w:val="left"/>
        <w:outlineLvl w:val="0"/>
        <w:rPr>
          <w:rFonts w:eastAsia="Times New Roman"/>
          <w:b/>
          <w:bCs/>
          <w:szCs w:val="28"/>
        </w:rPr>
      </w:pPr>
      <w:r w:rsidRPr="00D17F72">
        <w:rPr>
          <w:rFonts w:eastAsia="Times New Roman"/>
          <w:b/>
          <w:bCs/>
          <w:szCs w:val="28"/>
        </w:rPr>
        <w:t>Table 2: Decomposition of pigmeat production in Q2 2022</w:t>
      </w:r>
    </w:p>
    <w:tbl>
      <w:tblPr>
        <w:tblStyle w:val="Mkatabulky"/>
        <w:tblW w:w="8500" w:type="dxa"/>
        <w:tblLayout w:type="fixed"/>
        <w:tblLook w:val="04A0" w:firstRow="1" w:lastRow="0" w:firstColumn="1" w:lastColumn="0" w:noHBand="0" w:noVBand="1"/>
      </w:tblPr>
      <w:tblGrid>
        <w:gridCol w:w="3071"/>
        <w:gridCol w:w="1035"/>
        <w:gridCol w:w="1355"/>
        <w:gridCol w:w="1393"/>
        <w:gridCol w:w="1646"/>
      </w:tblGrid>
      <w:tr w:rsidR="00197E3C" w:rsidRPr="00D17F72" w:rsidTr="00CD7067">
        <w:trPr>
          <w:trHeight w:val="550"/>
        </w:trPr>
        <w:tc>
          <w:tcPr>
            <w:tcW w:w="3071" w:type="dxa"/>
            <w:tcBorders>
              <w:top w:val="single" w:sz="12" w:space="0" w:color="000000"/>
              <w:bottom w:val="single" w:sz="12" w:space="0" w:color="000000"/>
            </w:tcBorders>
            <w:vAlign w:val="center"/>
          </w:tcPr>
          <w:p w:rsidR="00197E3C" w:rsidRPr="00D17F72" w:rsidRDefault="00197E3C" w:rsidP="00CD7067">
            <w:pPr>
              <w:widowControl w:val="0"/>
              <w:jc w:val="center"/>
              <w:rPr>
                <w:sz w:val="16"/>
                <w:szCs w:val="16"/>
              </w:rPr>
            </w:pPr>
          </w:p>
        </w:tc>
        <w:tc>
          <w:tcPr>
            <w:tcW w:w="1035"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Row</w:t>
            </w:r>
          </w:p>
        </w:tc>
        <w:tc>
          <w:tcPr>
            <w:tcW w:w="1355"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Number of animals (head)</w:t>
            </w:r>
          </w:p>
        </w:tc>
        <w:tc>
          <w:tcPr>
            <w:tcW w:w="1393"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Live weight</w:t>
            </w:r>
          </w:p>
          <w:p w:rsidR="00197E3C" w:rsidRPr="00D17F72" w:rsidRDefault="00197E3C" w:rsidP="00CD7067">
            <w:pPr>
              <w:widowControl w:val="0"/>
              <w:jc w:val="center"/>
              <w:rPr>
                <w:b/>
                <w:sz w:val="16"/>
                <w:szCs w:val="16"/>
              </w:rPr>
            </w:pPr>
            <w:r w:rsidRPr="00D17F72">
              <w:rPr>
                <w:b/>
                <w:sz w:val="16"/>
                <w:szCs w:val="16"/>
              </w:rPr>
              <w:t>(tonnes)</w:t>
            </w:r>
          </w:p>
        </w:tc>
        <w:tc>
          <w:tcPr>
            <w:tcW w:w="1646"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Carcass weight / meat (tonnes)</w:t>
            </w:r>
          </w:p>
        </w:tc>
      </w:tr>
      <w:tr w:rsidR="00197E3C" w:rsidRPr="00D17F72" w:rsidTr="00CD7067">
        <w:trPr>
          <w:trHeight w:val="283"/>
        </w:trPr>
        <w:tc>
          <w:tcPr>
            <w:tcW w:w="3071" w:type="dxa"/>
            <w:tcBorders>
              <w:top w:val="single" w:sz="12" w:space="0" w:color="000000"/>
            </w:tcBorders>
            <w:vAlign w:val="center"/>
          </w:tcPr>
          <w:p w:rsidR="00197E3C" w:rsidRPr="00D17F72" w:rsidRDefault="00197E3C" w:rsidP="00CD7067">
            <w:pPr>
              <w:widowControl w:val="0"/>
              <w:ind w:left="164"/>
              <w:jc w:val="left"/>
              <w:rPr>
                <w:sz w:val="16"/>
                <w:szCs w:val="16"/>
              </w:rPr>
            </w:pPr>
            <w:r w:rsidRPr="00D17F72">
              <w:rPr>
                <w:sz w:val="16"/>
                <w:szCs w:val="16"/>
              </w:rPr>
              <w:t>Slaughtering in slaughterhouses</w:t>
            </w:r>
          </w:p>
        </w:tc>
        <w:tc>
          <w:tcPr>
            <w:tcW w:w="1035" w:type="dxa"/>
            <w:tcBorders>
              <w:top w:val="single" w:sz="12" w:space="0" w:color="000000"/>
            </w:tcBorders>
            <w:vAlign w:val="center"/>
          </w:tcPr>
          <w:p w:rsidR="00197E3C" w:rsidRPr="00D17F72" w:rsidRDefault="00197E3C" w:rsidP="00CD7067">
            <w:pPr>
              <w:widowControl w:val="0"/>
              <w:jc w:val="center"/>
              <w:rPr>
                <w:sz w:val="16"/>
                <w:szCs w:val="16"/>
              </w:rPr>
            </w:pPr>
            <w:r w:rsidRPr="00D17F72">
              <w:rPr>
                <w:sz w:val="14"/>
                <w:szCs w:val="14"/>
              </w:rPr>
              <w:t>01</w:t>
            </w:r>
          </w:p>
        </w:tc>
        <w:tc>
          <w:tcPr>
            <w:tcW w:w="1355" w:type="dxa"/>
            <w:tcBorders>
              <w:top w:val="single" w:sz="12" w:space="0" w:color="000000"/>
            </w:tcBorders>
            <w:vAlign w:val="center"/>
          </w:tcPr>
          <w:p w:rsidR="00197E3C" w:rsidRPr="00D17F72" w:rsidRDefault="00197E3C" w:rsidP="00CD7067">
            <w:pPr>
              <w:widowControl w:val="0"/>
              <w:ind w:left="173" w:right="257"/>
              <w:jc w:val="right"/>
              <w:rPr>
                <w:sz w:val="16"/>
                <w:szCs w:val="16"/>
              </w:rPr>
            </w:pPr>
            <w:r w:rsidRPr="00D17F72">
              <w:rPr>
                <w:sz w:val="16"/>
                <w:szCs w:val="16"/>
              </w:rPr>
              <w:t>576 055</w:t>
            </w:r>
          </w:p>
        </w:tc>
        <w:tc>
          <w:tcPr>
            <w:tcW w:w="1393" w:type="dxa"/>
            <w:tcBorders>
              <w:top w:val="single" w:sz="12" w:space="0" w:color="000000"/>
            </w:tcBorders>
            <w:vAlign w:val="center"/>
          </w:tcPr>
          <w:p w:rsidR="00197E3C" w:rsidRPr="00D17F72" w:rsidRDefault="00197E3C" w:rsidP="00CD7067">
            <w:pPr>
              <w:widowControl w:val="0"/>
              <w:ind w:right="304"/>
              <w:jc w:val="right"/>
              <w:rPr>
                <w:sz w:val="16"/>
                <w:szCs w:val="16"/>
              </w:rPr>
            </w:pPr>
            <w:r w:rsidRPr="00D17F72">
              <w:rPr>
                <w:sz w:val="16"/>
                <w:szCs w:val="16"/>
              </w:rPr>
              <w:t>70 132</w:t>
            </w:r>
          </w:p>
        </w:tc>
        <w:tc>
          <w:tcPr>
            <w:tcW w:w="1646" w:type="dxa"/>
            <w:tcBorders>
              <w:top w:val="single" w:sz="12" w:space="0" w:color="000000"/>
            </w:tcBorders>
            <w:vAlign w:val="center"/>
          </w:tcPr>
          <w:p w:rsidR="00197E3C" w:rsidRPr="00D17F72" w:rsidRDefault="00197E3C" w:rsidP="00CD7067">
            <w:pPr>
              <w:widowControl w:val="0"/>
              <w:ind w:left="173" w:right="435"/>
              <w:jc w:val="right"/>
              <w:rPr>
                <w:sz w:val="16"/>
                <w:szCs w:val="16"/>
              </w:rPr>
            </w:pPr>
            <w:r w:rsidRPr="00D17F72">
              <w:rPr>
                <w:sz w:val="16"/>
                <w:szCs w:val="16"/>
              </w:rPr>
              <w:t>53 505</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Slaughtering out of slaughterhouses</w:t>
            </w:r>
          </w:p>
        </w:tc>
        <w:tc>
          <w:tcPr>
            <w:tcW w:w="1035" w:type="dxa"/>
            <w:vAlign w:val="center"/>
          </w:tcPr>
          <w:p w:rsidR="00197E3C" w:rsidRPr="00D17F72" w:rsidRDefault="00197E3C" w:rsidP="00CD7067">
            <w:pPr>
              <w:widowControl w:val="0"/>
              <w:jc w:val="center"/>
              <w:rPr>
                <w:sz w:val="16"/>
                <w:szCs w:val="16"/>
              </w:rPr>
            </w:pPr>
            <w:r w:rsidRPr="00D17F72">
              <w:rPr>
                <w:sz w:val="14"/>
                <w:szCs w:val="14"/>
              </w:rPr>
              <w:t>02</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5 000</w:t>
            </w:r>
          </w:p>
        </w:tc>
        <w:tc>
          <w:tcPr>
            <w:tcW w:w="1393" w:type="dxa"/>
            <w:vAlign w:val="center"/>
          </w:tcPr>
          <w:p w:rsidR="00197E3C" w:rsidRPr="00D17F72" w:rsidRDefault="00197E3C" w:rsidP="00CD7067">
            <w:pPr>
              <w:widowControl w:val="0"/>
              <w:ind w:right="304"/>
              <w:jc w:val="right"/>
              <w:rPr>
                <w:sz w:val="16"/>
                <w:szCs w:val="16"/>
              </w:rPr>
            </w:pPr>
            <w:r w:rsidRPr="00D17F72">
              <w:rPr>
                <w:sz w:val="16"/>
                <w:szCs w:val="16"/>
              </w:rPr>
              <w:t>365</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281</w:t>
            </w:r>
          </w:p>
        </w:tc>
      </w:tr>
      <w:tr w:rsidR="00197E3C" w:rsidRPr="00D17F72" w:rsidTr="00CD7067">
        <w:trPr>
          <w:trHeight w:val="283"/>
        </w:trPr>
        <w:tc>
          <w:tcPr>
            <w:tcW w:w="3071" w:type="dxa"/>
            <w:vAlign w:val="center"/>
          </w:tcPr>
          <w:p w:rsidR="00197E3C" w:rsidRPr="00D17F72" w:rsidRDefault="00197E3C" w:rsidP="00CD7067">
            <w:pPr>
              <w:widowControl w:val="0"/>
              <w:jc w:val="left"/>
              <w:rPr>
                <w:b/>
                <w:sz w:val="16"/>
                <w:szCs w:val="16"/>
              </w:rPr>
            </w:pPr>
            <w:r w:rsidRPr="00D17F72">
              <w:rPr>
                <w:b/>
                <w:sz w:val="16"/>
                <w:szCs w:val="16"/>
              </w:rPr>
              <w:t>Usable Production</w:t>
            </w:r>
          </w:p>
        </w:tc>
        <w:tc>
          <w:tcPr>
            <w:tcW w:w="1035" w:type="dxa"/>
            <w:vAlign w:val="center"/>
          </w:tcPr>
          <w:p w:rsidR="00197E3C" w:rsidRPr="00D17F72" w:rsidRDefault="00197E3C" w:rsidP="00CD7067">
            <w:pPr>
              <w:widowControl w:val="0"/>
              <w:jc w:val="center"/>
              <w:rPr>
                <w:b/>
                <w:sz w:val="16"/>
                <w:szCs w:val="16"/>
              </w:rPr>
            </w:pPr>
            <w:r w:rsidRPr="00D17F72">
              <w:rPr>
                <w:b/>
                <w:sz w:val="14"/>
                <w:szCs w:val="14"/>
              </w:rPr>
              <w:t>03=01+02</w:t>
            </w:r>
          </w:p>
        </w:tc>
        <w:tc>
          <w:tcPr>
            <w:tcW w:w="1355" w:type="dxa"/>
            <w:vAlign w:val="center"/>
          </w:tcPr>
          <w:p w:rsidR="00197E3C" w:rsidRPr="00D17F72" w:rsidRDefault="00197E3C" w:rsidP="00CD7067">
            <w:pPr>
              <w:widowControl w:val="0"/>
              <w:ind w:left="173" w:right="257"/>
              <w:jc w:val="right"/>
              <w:rPr>
                <w:b/>
                <w:sz w:val="16"/>
                <w:szCs w:val="16"/>
              </w:rPr>
            </w:pPr>
            <w:r w:rsidRPr="00D17F72">
              <w:rPr>
                <w:b/>
                <w:sz w:val="16"/>
                <w:szCs w:val="16"/>
              </w:rPr>
              <w:t>581 055</w:t>
            </w:r>
          </w:p>
        </w:tc>
        <w:tc>
          <w:tcPr>
            <w:tcW w:w="1393" w:type="dxa"/>
            <w:vAlign w:val="center"/>
          </w:tcPr>
          <w:p w:rsidR="00197E3C" w:rsidRPr="00D17F72" w:rsidRDefault="00197E3C" w:rsidP="00CD7067">
            <w:pPr>
              <w:widowControl w:val="0"/>
              <w:ind w:right="304"/>
              <w:jc w:val="right"/>
              <w:rPr>
                <w:b/>
                <w:sz w:val="16"/>
                <w:szCs w:val="16"/>
              </w:rPr>
            </w:pPr>
            <w:r w:rsidRPr="00D17F72">
              <w:rPr>
                <w:b/>
                <w:sz w:val="16"/>
                <w:szCs w:val="16"/>
              </w:rPr>
              <w:t>70 497</w:t>
            </w:r>
          </w:p>
        </w:tc>
        <w:tc>
          <w:tcPr>
            <w:tcW w:w="1646" w:type="dxa"/>
            <w:vAlign w:val="center"/>
          </w:tcPr>
          <w:p w:rsidR="00197E3C" w:rsidRPr="00D17F72" w:rsidRDefault="00197E3C" w:rsidP="00CD7067">
            <w:pPr>
              <w:widowControl w:val="0"/>
              <w:ind w:left="173" w:right="435"/>
              <w:jc w:val="right"/>
              <w:rPr>
                <w:b/>
                <w:sz w:val="16"/>
                <w:szCs w:val="16"/>
              </w:rPr>
            </w:pPr>
            <w:r w:rsidRPr="00D17F72">
              <w:rPr>
                <w:b/>
                <w:sz w:val="16"/>
                <w:szCs w:val="16"/>
              </w:rPr>
              <w:t>53 786</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Exports of animals for slaughter</w:t>
            </w:r>
          </w:p>
        </w:tc>
        <w:tc>
          <w:tcPr>
            <w:tcW w:w="1035" w:type="dxa"/>
            <w:vAlign w:val="center"/>
          </w:tcPr>
          <w:p w:rsidR="00197E3C" w:rsidRPr="00D17F72" w:rsidRDefault="00197E3C" w:rsidP="00CD7067">
            <w:pPr>
              <w:widowControl w:val="0"/>
              <w:jc w:val="center"/>
              <w:rPr>
                <w:sz w:val="16"/>
                <w:szCs w:val="16"/>
              </w:rPr>
            </w:pPr>
            <w:r w:rsidRPr="00D17F72">
              <w:rPr>
                <w:sz w:val="14"/>
                <w:szCs w:val="14"/>
              </w:rPr>
              <w:t>04</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56 250</w:t>
            </w:r>
          </w:p>
        </w:tc>
        <w:tc>
          <w:tcPr>
            <w:tcW w:w="1393" w:type="dxa"/>
            <w:vAlign w:val="center"/>
          </w:tcPr>
          <w:p w:rsidR="00197E3C" w:rsidRPr="00D17F72" w:rsidRDefault="00197E3C" w:rsidP="00CD7067">
            <w:pPr>
              <w:widowControl w:val="0"/>
              <w:ind w:right="304"/>
              <w:jc w:val="right"/>
              <w:rPr>
                <w:sz w:val="16"/>
                <w:szCs w:val="16"/>
              </w:rPr>
            </w:pPr>
            <w:r w:rsidRPr="00D17F72">
              <w:rPr>
                <w:sz w:val="16"/>
                <w:szCs w:val="16"/>
              </w:rPr>
              <w:t>7 076</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5 443</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Imports of animals for slaughter</w:t>
            </w:r>
          </w:p>
        </w:tc>
        <w:tc>
          <w:tcPr>
            <w:tcW w:w="1035" w:type="dxa"/>
            <w:vAlign w:val="center"/>
          </w:tcPr>
          <w:p w:rsidR="00197E3C" w:rsidRPr="00D17F72" w:rsidRDefault="00197E3C" w:rsidP="00CD7067">
            <w:pPr>
              <w:widowControl w:val="0"/>
              <w:jc w:val="center"/>
              <w:rPr>
                <w:sz w:val="16"/>
                <w:szCs w:val="16"/>
              </w:rPr>
            </w:pPr>
            <w:r w:rsidRPr="00D17F72">
              <w:rPr>
                <w:sz w:val="14"/>
                <w:szCs w:val="14"/>
              </w:rPr>
              <w:t>05</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700</w:t>
            </w:r>
          </w:p>
        </w:tc>
        <w:tc>
          <w:tcPr>
            <w:tcW w:w="1393" w:type="dxa"/>
            <w:vAlign w:val="center"/>
          </w:tcPr>
          <w:p w:rsidR="00197E3C" w:rsidRPr="00D17F72" w:rsidRDefault="00197E3C" w:rsidP="00CD7067">
            <w:pPr>
              <w:widowControl w:val="0"/>
              <w:ind w:right="304"/>
              <w:jc w:val="right"/>
              <w:rPr>
                <w:sz w:val="16"/>
                <w:szCs w:val="16"/>
              </w:rPr>
            </w:pPr>
            <w:r w:rsidRPr="00D17F72">
              <w:rPr>
                <w:sz w:val="16"/>
                <w:szCs w:val="16"/>
              </w:rPr>
              <w:t>101</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75</w:t>
            </w:r>
          </w:p>
        </w:tc>
      </w:tr>
      <w:tr w:rsidR="00197E3C" w:rsidRPr="00D17F72" w:rsidTr="00CD7067">
        <w:trPr>
          <w:trHeight w:val="283"/>
        </w:trPr>
        <w:tc>
          <w:tcPr>
            <w:tcW w:w="3071" w:type="dxa"/>
            <w:vAlign w:val="center"/>
          </w:tcPr>
          <w:p w:rsidR="00197E3C" w:rsidRPr="00D17F72" w:rsidRDefault="00197E3C" w:rsidP="00CD7067">
            <w:pPr>
              <w:widowControl w:val="0"/>
              <w:jc w:val="left"/>
              <w:rPr>
                <w:b/>
                <w:sz w:val="16"/>
                <w:szCs w:val="16"/>
              </w:rPr>
            </w:pPr>
            <w:r w:rsidRPr="00D17F72">
              <w:rPr>
                <w:b/>
                <w:sz w:val="16"/>
                <w:szCs w:val="16"/>
              </w:rPr>
              <w:t>Gross indigenous production</w:t>
            </w:r>
          </w:p>
        </w:tc>
        <w:tc>
          <w:tcPr>
            <w:tcW w:w="1035" w:type="dxa"/>
            <w:vAlign w:val="center"/>
          </w:tcPr>
          <w:p w:rsidR="00197E3C" w:rsidRPr="00D17F72" w:rsidRDefault="00197E3C" w:rsidP="00CD7067">
            <w:pPr>
              <w:widowControl w:val="0"/>
              <w:ind w:left="-67" w:right="-6"/>
              <w:jc w:val="center"/>
              <w:rPr>
                <w:b/>
                <w:sz w:val="16"/>
                <w:szCs w:val="16"/>
              </w:rPr>
            </w:pPr>
            <w:r w:rsidRPr="00D17F72">
              <w:rPr>
                <w:b/>
                <w:sz w:val="14"/>
                <w:szCs w:val="14"/>
              </w:rPr>
              <w:t>06=03+04-05</w:t>
            </w:r>
          </w:p>
        </w:tc>
        <w:tc>
          <w:tcPr>
            <w:tcW w:w="1355" w:type="dxa"/>
            <w:vAlign w:val="center"/>
          </w:tcPr>
          <w:p w:rsidR="00197E3C" w:rsidRPr="00D17F72" w:rsidRDefault="00197E3C" w:rsidP="00CD7067">
            <w:pPr>
              <w:widowControl w:val="0"/>
              <w:ind w:left="173" w:right="257"/>
              <w:jc w:val="right"/>
              <w:rPr>
                <w:b/>
                <w:sz w:val="16"/>
                <w:szCs w:val="16"/>
              </w:rPr>
            </w:pPr>
            <w:r w:rsidRPr="00D17F72">
              <w:rPr>
                <w:b/>
                <w:sz w:val="16"/>
                <w:szCs w:val="16"/>
              </w:rPr>
              <w:t>636 605</w:t>
            </w:r>
          </w:p>
        </w:tc>
        <w:tc>
          <w:tcPr>
            <w:tcW w:w="1393" w:type="dxa"/>
            <w:vAlign w:val="center"/>
          </w:tcPr>
          <w:p w:rsidR="00197E3C" w:rsidRPr="00D17F72" w:rsidRDefault="00197E3C" w:rsidP="00CD7067">
            <w:pPr>
              <w:widowControl w:val="0"/>
              <w:ind w:right="304"/>
              <w:jc w:val="right"/>
              <w:rPr>
                <w:b/>
                <w:sz w:val="16"/>
                <w:szCs w:val="16"/>
              </w:rPr>
            </w:pPr>
            <w:r w:rsidRPr="00D17F72">
              <w:rPr>
                <w:b/>
                <w:sz w:val="16"/>
                <w:szCs w:val="16"/>
              </w:rPr>
              <w:t>77 472</w:t>
            </w:r>
          </w:p>
        </w:tc>
        <w:tc>
          <w:tcPr>
            <w:tcW w:w="1646" w:type="dxa"/>
            <w:vAlign w:val="center"/>
          </w:tcPr>
          <w:p w:rsidR="00197E3C" w:rsidRPr="00D17F72" w:rsidRDefault="00197E3C" w:rsidP="00CD7067">
            <w:pPr>
              <w:widowControl w:val="0"/>
              <w:ind w:left="173" w:right="435"/>
              <w:jc w:val="right"/>
              <w:rPr>
                <w:b/>
                <w:sz w:val="16"/>
                <w:szCs w:val="16"/>
              </w:rPr>
            </w:pPr>
            <w:r w:rsidRPr="00D17F72">
              <w:rPr>
                <w:b/>
                <w:sz w:val="16"/>
                <w:szCs w:val="16"/>
              </w:rPr>
              <w:t>59 155</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Exports of meat</w:t>
            </w:r>
          </w:p>
        </w:tc>
        <w:tc>
          <w:tcPr>
            <w:tcW w:w="1035" w:type="dxa"/>
            <w:vAlign w:val="center"/>
          </w:tcPr>
          <w:p w:rsidR="00197E3C" w:rsidRPr="00D17F72" w:rsidRDefault="00197E3C" w:rsidP="00CD7067">
            <w:pPr>
              <w:widowControl w:val="0"/>
              <w:jc w:val="center"/>
              <w:rPr>
                <w:sz w:val="16"/>
                <w:szCs w:val="16"/>
              </w:rPr>
            </w:pPr>
            <w:r w:rsidRPr="00D17F72">
              <w:rPr>
                <w:sz w:val="14"/>
                <w:szCs w:val="14"/>
              </w:rPr>
              <w:t>07</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x</w:t>
            </w:r>
          </w:p>
        </w:tc>
        <w:tc>
          <w:tcPr>
            <w:tcW w:w="1393" w:type="dxa"/>
            <w:vAlign w:val="center"/>
          </w:tcPr>
          <w:p w:rsidR="00197E3C" w:rsidRPr="00D17F72" w:rsidRDefault="00197E3C" w:rsidP="00CD7067">
            <w:pPr>
              <w:widowControl w:val="0"/>
              <w:ind w:left="173" w:right="304"/>
              <w:jc w:val="right"/>
              <w:rPr>
                <w:sz w:val="16"/>
                <w:szCs w:val="16"/>
              </w:rPr>
            </w:pPr>
            <w:r w:rsidRPr="00D17F72">
              <w:rPr>
                <w:sz w:val="16"/>
                <w:szCs w:val="16"/>
              </w:rPr>
              <w:t>x</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8 490</w:t>
            </w:r>
          </w:p>
        </w:tc>
      </w:tr>
      <w:tr w:rsidR="00197E3C" w:rsidRPr="00D17F72" w:rsidTr="00CD7067">
        <w:trPr>
          <w:trHeight w:val="283"/>
        </w:trPr>
        <w:tc>
          <w:tcPr>
            <w:tcW w:w="3071" w:type="dxa"/>
            <w:vAlign w:val="center"/>
          </w:tcPr>
          <w:p w:rsidR="00197E3C" w:rsidRPr="00D17F72" w:rsidRDefault="00197E3C" w:rsidP="00CD7067">
            <w:pPr>
              <w:widowControl w:val="0"/>
              <w:ind w:left="164"/>
              <w:jc w:val="left"/>
              <w:rPr>
                <w:sz w:val="16"/>
                <w:szCs w:val="16"/>
              </w:rPr>
            </w:pPr>
            <w:r w:rsidRPr="00D17F72">
              <w:rPr>
                <w:sz w:val="16"/>
                <w:szCs w:val="16"/>
              </w:rPr>
              <w:t>Imports of meat</w:t>
            </w:r>
          </w:p>
        </w:tc>
        <w:tc>
          <w:tcPr>
            <w:tcW w:w="1035" w:type="dxa"/>
            <w:vAlign w:val="center"/>
          </w:tcPr>
          <w:p w:rsidR="00197E3C" w:rsidRPr="00D17F72" w:rsidRDefault="00197E3C" w:rsidP="00CD7067">
            <w:pPr>
              <w:widowControl w:val="0"/>
              <w:jc w:val="center"/>
              <w:rPr>
                <w:sz w:val="16"/>
                <w:szCs w:val="16"/>
              </w:rPr>
            </w:pPr>
            <w:r w:rsidRPr="00D17F72">
              <w:rPr>
                <w:sz w:val="14"/>
                <w:szCs w:val="14"/>
              </w:rPr>
              <w:t>08</w:t>
            </w:r>
          </w:p>
        </w:tc>
        <w:tc>
          <w:tcPr>
            <w:tcW w:w="1355" w:type="dxa"/>
            <w:vAlign w:val="center"/>
          </w:tcPr>
          <w:p w:rsidR="00197E3C" w:rsidRPr="00D17F72" w:rsidRDefault="00197E3C" w:rsidP="00CD7067">
            <w:pPr>
              <w:widowControl w:val="0"/>
              <w:ind w:left="173" w:right="257"/>
              <w:jc w:val="right"/>
              <w:rPr>
                <w:sz w:val="16"/>
                <w:szCs w:val="16"/>
              </w:rPr>
            </w:pPr>
            <w:r w:rsidRPr="00D17F72">
              <w:rPr>
                <w:sz w:val="16"/>
                <w:szCs w:val="16"/>
              </w:rPr>
              <w:t>x</w:t>
            </w:r>
          </w:p>
        </w:tc>
        <w:tc>
          <w:tcPr>
            <w:tcW w:w="1393" w:type="dxa"/>
            <w:vAlign w:val="center"/>
          </w:tcPr>
          <w:p w:rsidR="00197E3C" w:rsidRPr="00D17F72" w:rsidRDefault="00197E3C" w:rsidP="00CD7067">
            <w:pPr>
              <w:widowControl w:val="0"/>
              <w:ind w:left="173" w:right="304"/>
              <w:jc w:val="right"/>
              <w:rPr>
                <w:sz w:val="16"/>
                <w:szCs w:val="16"/>
              </w:rPr>
            </w:pPr>
            <w:r w:rsidRPr="00D17F72">
              <w:rPr>
                <w:sz w:val="16"/>
                <w:szCs w:val="16"/>
              </w:rPr>
              <w:t>x</w:t>
            </w:r>
          </w:p>
        </w:tc>
        <w:tc>
          <w:tcPr>
            <w:tcW w:w="1646" w:type="dxa"/>
            <w:vAlign w:val="center"/>
          </w:tcPr>
          <w:p w:rsidR="00197E3C" w:rsidRPr="00D17F72" w:rsidRDefault="00197E3C" w:rsidP="00CD7067">
            <w:pPr>
              <w:widowControl w:val="0"/>
              <w:ind w:left="173" w:right="435"/>
              <w:jc w:val="right"/>
              <w:rPr>
                <w:sz w:val="16"/>
                <w:szCs w:val="16"/>
              </w:rPr>
            </w:pPr>
            <w:r w:rsidRPr="00D17F72">
              <w:rPr>
                <w:sz w:val="16"/>
                <w:szCs w:val="16"/>
              </w:rPr>
              <w:t>69 741</w:t>
            </w:r>
          </w:p>
        </w:tc>
      </w:tr>
      <w:tr w:rsidR="00197E3C" w:rsidRPr="00D17F72" w:rsidTr="00CD7067">
        <w:trPr>
          <w:trHeight w:val="283"/>
        </w:trPr>
        <w:tc>
          <w:tcPr>
            <w:tcW w:w="3071" w:type="dxa"/>
            <w:vAlign w:val="center"/>
          </w:tcPr>
          <w:p w:rsidR="00197E3C" w:rsidRPr="00D17F72" w:rsidRDefault="00197E3C" w:rsidP="00CD7067">
            <w:pPr>
              <w:widowControl w:val="0"/>
              <w:ind w:left="22"/>
              <w:jc w:val="left"/>
              <w:rPr>
                <w:b/>
                <w:sz w:val="16"/>
                <w:szCs w:val="16"/>
              </w:rPr>
            </w:pPr>
            <w:r w:rsidRPr="00D17F72">
              <w:rPr>
                <w:b/>
                <w:sz w:val="16"/>
                <w:szCs w:val="16"/>
              </w:rPr>
              <w:t>Calculated consumption</w:t>
            </w:r>
          </w:p>
        </w:tc>
        <w:tc>
          <w:tcPr>
            <w:tcW w:w="1035" w:type="dxa"/>
            <w:vAlign w:val="center"/>
          </w:tcPr>
          <w:p w:rsidR="00197E3C" w:rsidRPr="00D17F72" w:rsidRDefault="00197E3C" w:rsidP="00CD7067">
            <w:pPr>
              <w:widowControl w:val="0"/>
              <w:ind w:left="-67"/>
              <w:jc w:val="center"/>
              <w:rPr>
                <w:b/>
                <w:sz w:val="16"/>
                <w:szCs w:val="16"/>
              </w:rPr>
            </w:pPr>
            <w:r w:rsidRPr="00D17F72">
              <w:rPr>
                <w:b/>
                <w:sz w:val="14"/>
                <w:szCs w:val="14"/>
              </w:rPr>
              <w:t>09=03-07+08</w:t>
            </w:r>
          </w:p>
        </w:tc>
        <w:tc>
          <w:tcPr>
            <w:tcW w:w="1355" w:type="dxa"/>
            <w:vAlign w:val="center"/>
          </w:tcPr>
          <w:p w:rsidR="00197E3C" w:rsidRPr="00D17F72" w:rsidRDefault="00197E3C" w:rsidP="00CD7067">
            <w:pPr>
              <w:widowControl w:val="0"/>
              <w:ind w:left="173" w:right="257"/>
              <w:jc w:val="right"/>
              <w:rPr>
                <w:b/>
                <w:sz w:val="16"/>
                <w:szCs w:val="16"/>
              </w:rPr>
            </w:pPr>
            <w:r w:rsidRPr="00D17F72">
              <w:rPr>
                <w:b/>
                <w:sz w:val="16"/>
                <w:szCs w:val="16"/>
              </w:rPr>
              <w:t>x</w:t>
            </w:r>
          </w:p>
        </w:tc>
        <w:tc>
          <w:tcPr>
            <w:tcW w:w="1393" w:type="dxa"/>
            <w:vAlign w:val="center"/>
          </w:tcPr>
          <w:p w:rsidR="00197E3C" w:rsidRPr="00D17F72" w:rsidRDefault="00197E3C" w:rsidP="00CD7067">
            <w:pPr>
              <w:widowControl w:val="0"/>
              <w:ind w:left="173" w:right="304"/>
              <w:jc w:val="right"/>
              <w:rPr>
                <w:b/>
                <w:sz w:val="16"/>
                <w:szCs w:val="16"/>
              </w:rPr>
            </w:pPr>
            <w:r w:rsidRPr="00D17F72">
              <w:rPr>
                <w:b/>
                <w:sz w:val="16"/>
                <w:szCs w:val="16"/>
              </w:rPr>
              <w:t>x</w:t>
            </w:r>
          </w:p>
        </w:tc>
        <w:tc>
          <w:tcPr>
            <w:tcW w:w="1646" w:type="dxa"/>
            <w:vAlign w:val="center"/>
          </w:tcPr>
          <w:p w:rsidR="00197E3C" w:rsidRPr="00D17F72" w:rsidRDefault="00197E3C" w:rsidP="00CD7067">
            <w:pPr>
              <w:widowControl w:val="0"/>
              <w:ind w:left="173" w:right="435"/>
              <w:jc w:val="right"/>
              <w:rPr>
                <w:b/>
                <w:sz w:val="16"/>
                <w:szCs w:val="16"/>
              </w:rPr>
            </w:pPr>
            <w:r w:rsidRPr="00D17F72">
              <w:rPr>
                <w:b/>
                <w:sz w:val="16"/>
                <w:szCs w:val="16"/>
              </w:rPr>
              <w:t>115 037</w:t>
            </w:r>
          </w:p>
        </w:tc>
      </w:tr>
    </w:tbl>
    <w:p w:rsidR="00197E3C" w:rsidRPr="00D17F72" w:rsidRDefault="00197E3C" w:rsidP="00197E3C"/>
    <w:p w:rsidR="00197E3C" w:rsidRPr="00D17F72" w:rsidRDefault="00197E3C" w:rsidP="00197E3C">
      <w:r w:rsidRPr="00D17F72">
        <w:rPr>
          <w:rStyle w:val="q4iawc"/>
        </w:rPr>
        <w:t>Pigmeat production in the following period will depend on the number of pigs for fattening at the end of Q2 2022, which was by 5.6% lower, y-o-y, on the balance of exports and imports of young pigs (net exports in Q2 2022 were higher, y-o-y) and, in the longer term, on the reduced number of sows (</w:t>
      </w:r>
      <w:r w:rsidRPr="00D17F72">
        <w:rPr>
          <w:rStyle w:val="q4iawc"/>
          <w:sz w:val="18"/>
          <w:szCs w:val="18"/>
        </w:rPr>
        <w:t>−</w:t>
      </w:r>
      <w:r w:rsidRPr="00D17F72">
        <w:rPr>
          <w:rStyle w:val="q4iawc"/>
          <w:szCs w:val="20"/>
        </w:rPr>
        <w:t>12.9%)</w:t>
      </w:r>
      <w:r w:rsidRPr="00D17F72">
        <w:rPr>
          <w:rStyle w:val="q4iawc"/>
        </w:rPr>
        <w:t xml:space="preserve">. </w:t>
      </w:r>
    </w:p>
    <w:p w:rsidR="00197E3C" w:rsidRPr="00D17F72" w:rsidRDefault="00197E3C" w:rsidP="00197E3C"/>
    <w:p w:rsidR="00197E3C" w:rsidRPr="00D17F72" w:rsidRDefault="00197E3C" w:rsidP="00197E3C">
      <w:pPr>
        <w:keepNext/>
        <w:keepLines/>
        <w:jc w:val="left"/>
        <w:outlineLvl w:val="0"/>
        <w:rPr>
          <w:rFonts w:eastAsia="Times New Roman"/>
          <w:b/>
          <w:bCs/>
          <w:szCs w:val="28"/>
        </w:rPr>
      </w:pPr>
      <w:r w:rsidRPr="00D17F72">
        <w:rPr>
          <w:rFonts w:eastAsia="Times New Roman"/>
          <w:b/>
          <w:bCs/>
          <w:szCs w:val="28"/>
        </w:rPr>
        <w:t>Poultrymeat</w:t>
      </w:r>
    </w:p>
    <w:p w:rsidR="00197E3C" w:rsidRPr="00D17F72" w:rsidRDefault="00197E3C" w:rsidP="00197E3C">
      <w:r w:rsidRPr="00D17F72">
        <w:rPr>
          <w:rStyle w:val="q4iawc"/>
        </w:rPr>
        <w:t xml:space="preserve">In total, 65 751 tonnes of poultry were delivered to the slaughterhouse in Q2 2022, which represents the production of 42 729 tonnes of poultrymeat, 1.9% less, y-o-y. </w:t>
      </w:r>
      <w:r w:rsidRPr="00D17F72">
        <w:rPr>
          <w:rStyle w:val="q4iawc"/>
        </w:rPr>
        <w:tab/>
      </w:r>
    </w:p>
    <w:p w:rsidR="00197E3C" w:rsidRPr="00AD5A7D" w:rsidRDefault="00197E3C" w:rsidP="00197E3C">
      <w:pPr>
        <w:rPr>
          <w:rStyle w:val="q4iawc"/>
        </w:rPr>
      </w:pPr>
      <w:r w:rsidRPr="00AD5A7D">
        <w:rPr>
          <w:rStyle w:val="q4iawc"/>
        </w:rPr>
        <w:t xml:space="preserve">However, exports of animals for slaughter increased to </w:t>
      </w:r>
      <w:r w:rsidRPr="00AD5A7D">
        <w:t xml:space="preserve">6 673 </w:t>
      </w:r>
      <w:r w:rsidRPr="00AD5A7D">
        <w:rPr>
          <w:rStyle w:val="q4iawc"/>
        </w:rPr>
        <w:t xml:space="preserve">tonnes of carcass weight (+29.6%), year-on-year, due to higher number of exported chicken, hens and turkeys. </w:t>
      </w:r>
      <w:r>
        <w:rPr>
          <w:rStyle w:val="q4iawc"/>
        </w:rPr>
        <w:t>It resulted in a slight increase</w:t>
      </w:r>
      <w:r w:rsidRPr="00AD5A7D">
        <w:rPr>
          <w:rStyle w:val="q4iawc"/>
        </w:rPr>
        <w:t xml:space="preserve"> </w:t>
      </w:r>
      <w:r>
        <w:rPr>
          <w:rStyle w:val="q4iawc"/>
        </w:rPr>
        <w:t xml:space="preserve">of </w:t>
      </w:r>
      <w:r w:rsidRPr="00AD5A7D">
        <w:rPr>
          <w:rStyle w:val="q4iawc"/>
        </w:rPr>
        <w:t>the gross domestic production in Q2</w:t>
      </w:r>
      <w:r>
        <w:rPr>
          <w:rStyle w:val="q4iawc"/>
        </w:rPr>
        <w:t> 2022</w:t>
      </w:r>
      <w:r w:rsidRPr="00AD5A7D">
        <w:rPr>
          <w:rStyle w:val="q4iawc"/>
        </w:rPr>
        <w:t xml:space="preserve"> (</w:t>
      </w:r>
      <w:r w:rsidRPr="00AD5A7D">
        <w:t xml:space="preserve">50 568 </w:t>
      </w:r>
      <w:r w:rsidRPr="00AD5A7D">
        <w:rPr>
          <w:rStyle w:val="q4iawc"/>
        </w:rPr>
        <w:t xml:space="preserve">tonnes, +1.4%). </w:t>
      </w:r>
    </w:p>
    <w:p w:rsidR="00197E3C" w:rsidRDefault="00197E3C" w:rsidP="00197E3C">
      <w:r w:rsidRPr="00AD5A7D">
        <w:rPr>
          <w:rStyle w:val="q4iawc"/>
        </w:rPr>
        <w:t xml:space="preserve">In total </w:t>
      </w:r>
      <w:r w:rsidRPr="00AD5A7D">
        <w:t xml:space="preserve">28 071 </w:t>
      </w:r>
      <w:r w:rsidRPr="00AD5A7D">
        <w:rPr>
          <w:rStyle w:val="q4iawc"/>
        </w:rPr>
        <w:t xml:space="preserve">tonnes (+9.3%) of poultrymeat were imported but </w:t>
      </w:r>
      <w:r>
        <w:rPr>
          <w:rStyle w:val="q4iawc"/>
        </w:rPr>
        <w:t xml:space="preserve">its </w:t>
      </w:r>
      <w:r w:rsidRPr="00AD5A7D">
        <w:rPr>
          <w:rStyle w:val="q4iawc"/>
        </w:rPr>
        <w:t>export</w:t>
      </w:r>
      <w:r>
        <w:rPr>
          <w:rStyle w:val="q4iawc"/>
        </w:rPr>
        <w:t>s</w:t>
      </w:r>
      <w:r w:rsidRPr="00AD5A7D">
        <w:rPr>
          <w:rStyle w:val="q4iawc"/>
        </w:rPr>
        <w:t xml:space="preserve"> increased significantly (6 630 tonnes; +59.1%). Thus, there were </w:t>
      </w:r>
      <w:r w:rsidRPr="00AD5A7D">
        <w:t xml:space="preserve">65 336 </w:t>
      </w:r>
      <w:r w:rsidRPr="00AD5A7D">
        <w:rPr>
          <w:rStyle w:val="q4iawc"/>
        </w:rPr>
        <w:t>tonnes of poultrymeat (</w:t>
      </w:r>
      <w:r w:rsidRPr="00AD5A7D">
        <w:rPr>
          <w:rStyle w:val="q4iawc"/>
          <w:sz w:val="18"/>
        </w:rPr>
        <w:t>−</w:t>
      </w:r>
      <w:r w:rsidRPr="00AD5A7D">
        <w:rPr>
          <w:rStyle w:val="q4iawc"/>
        </w:rPr>
        <w:t>1.4%) intended for domestic consumption in the Czech Republic.</w:t>
      </w:r>
      <w:r w:rsidRPr="00AD5A7D">
        <w:t xml:space="preserve"> </w:t>
      </w:r>
    </w:p>
    <w:p w:rsidR="00197E3C" w:rsidRPr="00AD5A7D" w:rsidRDefault="00197E3C" w:rsidP="00197E3C"/>
    <w:p w:rsidR="00197E3C" w:rsidRPr="009647F7" w:rsidRDefault="00197E3C" w:rsidP="00197E3C">
      <w:pPr>
        <w:keepNext/>
        <w:keepLines/>
        <w:jc w:val="left"/>
        <w:outlineLvl w:val="0"/>
        <w:rPr>
          <w:rFonts w:eastAsia="Times New Roman"/>
          <w:b/>
          <w:bCs/>
          <w:szCs w:val="28"/>
        </w:rPr>
      </w:pPr>
      <w:r w:rsidRPr="009647F7">
        <w:rPr>
          <w:rFonts w:eastAsia="Times New Roman"/>
          <w:b/>
          <w:bCs/>
          <w:szCs w:val="28"/>
        </w:rPr>
        <w:t>Table 3: Decomposition of poultrymeat production in Q2 2022</w:t>
      </w:r>
    </w:p>
    <w:tbl>
      <w:tblPr>
        <w:tblStyle w:val="Mkatabulky"/>
        <w:tblW w:w="8500" w:type="dxa"/>
        <w:tblLayout w:type="fixed"/>
        <w:tblLook w:val="04A0" w:firstRow="1" w:lastRow="0" w:firstColumn="1" w:lastColumn="0" w:noHBand="0" w:noVBand="1"/>
      </w:tblPr>
      <w:tblGrid>
        <w:gridCol w:w="3071"/>
        <w:gridCol w:w="1035"/>
        <w:gridCol w:w="1355"/>
        <w:gridCol w:w="1393"/>
        <w:gridCol w:w="1646"/>
      </w:tblGrid>
      <w:tr w:rsidR="00197E3C" w:rsidRPr="009647F7" w:rsidTr="00CD7067">
        <w:trPr>
          <w:trHeight w:val="550"/>
        </w:trPr>
        <w:tc>
          <w:tcPr>
            <w:tcW w:w="3071" w:type="dxa"/>
            <w:tcBorders>
              <w:top w:val="single" w:sz="12" w:space="0" w:color="000000"/>
              <w:bottom w:val="single" w:sz="12" w:space="0" w:color="000000"/>
            </w:tcBorders>
            <w:vAlign w:val="center"/>
          </w:tcPr>
          <w:p w:rsidR="00197E3C" w:rsidRPr="009647F7" w:rsidRDefault="00197E3C" w:rsidP="00CD7067">
            <w:pPr>
              <w:widowControl w:val="0"/>
              <w:jc w:val="center"/>
              <w:rPr>
                <w:sz w:val="16"/>
                <w:szCs w:val="16"/>
              </w:rPr>
            </w:pPr>
          </w:p>
        </w:tc>
        <w:tc>
          <w:tcPr>
            <w:tcW w:w="1035" w:type="dxa"/>
            <w:tcBorders>
              <w:top w:val="single" w:sz="12" w:space="0" w:color="000000"/>
              <w:bottom w:val="single" w:sz="12" w:space="0" w:color="000000"/>
            </w:tcBorders>
            <w:vAlign w:val="center"/>
          </w:tcPr>
          <w:p w:rsidR="00197E3C" w:rsidRPr="009647F7" w:rsidRDefault="00197E3C" w:rsidP="00CD7067">
            <w:pPr>
              <w:widowControl w:val="0"/>
              <w:jc w:val="center"/>
              <w:rPr>
                <w:b/>
                <w:sz w:val="16"/>
                <w:szCs w:val="16"/>
              </w:rPr>
            </w:pPr>
            <w:r w:rsidRPr="009647F7">
              <w:rPr>
                <w:b/>
                <w:sz w:val="16"/>
                <w:szCs w:val="16"/>
              </w:rPr>
              <w:t>Row</w:t>
            </w:r>
          </w:p>
        </w:tc>
        <w:tc>
          <w:tcPr>
            <w:tcW w:w="1355" w:type="dxa"/>
            <w:tcBorders>
              <w:top w:val="single" w:sz="12" w:space="0" w:color="000000"/>
              <w:bottom w:val="single" w:sz="12" w:space="0" w:color="000000"/>
            </w:tcBorders>
            <w:vAlign w:val="center"/>
          </w:tcPr>
          <w:p w:rsidR="00197E3C" w:rsidRPr="009647F7" w:rsidRDefault="00197E3C" w:rsidP="00CD7067">
            <w:pPr>
              <w:widowControl w:val="0"/>
              <w:jc w:val="center"/>
              <w:rPr>
                <w:b/>
                <w:sz w:val="16"/>
                <w:szCs w:val="16"/>
              </w:rPr>
            </w:pPr>
            <w:r w:rsidRPr="009647F7">
              <w:rPr>
                <w:b/>
                <w:sz w:val="16"/>
                <w:szCs w:val="16"/>
              </w:rPr>
              <w:t>Number of animals (</w:t>
            </w:r>
            <w:r>
              <w:rPr>
                <w:b/>
                <w:sz w:val="16"/>
                <w:szCs w:val="16"/>
              </w:rPr>
              <w:t xml:space="preserve">thous. </w:t>
            </w:r>
            <w:r w:rsidRPr="009647F7">
              <w:rPr>
                <w:b/>
                <w:sz w:val="16"/>
                <w:szCs w:val="16"/>
              </w:rPr>
              <w:t>head)</w:t>
            </w:r>
          </w:p>
        </w:tc>
        <w:tc>
          <w:tcPr>
            <w:tcW w:w="1393" w:type="dxa"/>
            <w:tcBorders>
              <w:top w:val="single" w:sz="12" w:space="0" w:color="000000"/>
              <w:bottom w:val="single" w:sz="12" w:space="0" w:color="000000"/>
            </w:tcBorders>
            <w:vAlign w:val="center"/>
          </w:tcPr>
          <w:p w:rsidR="00197E3C" w:rsidRPr="009647F7" w:rsidRDefault="00197E3C" w:rsidP="00CD7067">
            <w:pPr>
              <w:widowControl w:val="0"/>
              <w:jc w:val="center"/>
              <w:rPr>
                <w:b/>
                <w:sz w:val="16"/>
                <w:szCs w:val="16"/>
              </w:rPr>
            </w:pPr>
            <w:r w:rsidRPr="009647F7">
              <w:rPr>
                <w:b/>
                <w:sz w:val="16"/>
                <w:szCs w:val="16"/>
              </w:rPr>
              <w:t>Live weight</w:t>
            </w:r>
          </w:p>
          <w:p w:rsidR="00197E3C" w:rsidRPr="009647F7" w:rsidRDefault="00197E3C" w:rsidP="00CD7067">
            <w:pPr>
              <w:widowControl w:val="0"/>
              <w:jc w:val="center"/>
              <w:rPr>
                <w:b/>
                <w:sz w:val="16"/>
                <w:szCs w:val="16"/>
              </w:rPr>
            </w:pPr>
            <w:r w:rsidRPr="009647F7">
              <w:rPr>
                <w:b/>
                <w:sz w:val="16"/>
                <w:szCs w:val="16"/>
              </w:rPr>
              <w:t>(tonnes)</w:t>
            </w:r>
          </w:p>
        </w:tc>
        <w:tc>
          <w:tcPr>
            <w:tcW w:w="1646" w:type="dxa"/>
            <w:tcBorders>
              <w:top w:val="single" w:sz="12" w:space="0" w:color="000000"/>
              <w:bottom w:val="single" w:sz="12" w:space="0" w:color="000000"/>
            </w:tcBorders>
            <w:vAlign w:val="center"/>
          </w:tcPr>
          <w:p w:rsidR="00197E3C" w:rsidRPr="009647F7" w:rsidRDefault="00197E3C" w:rsidP="00CD7067">
            <w:pPr>
              <w:widowControl w:val="0"/>
              <w:jc w:val="center"/>
              <w:rPr>
                <w:b/>
                <w:sz w:val="16"/>
                <w:szCs w:val="16"/>
              </w:rPr>
            </w:pPr>
            <w:r w:rsidRPr="009647F7">
              <w:rPr>
                <w:b/>
                <w:sz w:val="16"/>
                <w:szCs w:val="16"/>
              </w:rPr>
              <w:t>Carcass weight / meat (tonnes)</w:t>
            </w:r>
          </w:p>
        </w:tc>
      </w:tr>
      <w:tr w:rsidR="00197E3C" w:rsidRPr="009647F7" w:rsidTr="00CD7067">
        <w:trPr>
          <w:trHeight w:val="283"/>
        </w:trPr>
        <w:tc>
          <w:tcPr>
            <w:tcW w:w="3071" w:type="dxa"/>
            <w:tcBorders>
              <w:top w:val="single" w:sz="12" w:space="0" w:color="000000"/>
            </w:tcBorders>
            <w:vAlign w:val="center"/>
          </w:tcPr>
          <w:p w:rsidR="00197E3C" w:rsidRPr="009647F7" w:rsidRDefault="00197E3C" w:rsidP="00CD7067">
            <w:pPr>
              <w:widowControl w:val="0"/>
              <w:ind w:left="164"/>
              <w:jc w:val="left"/>
              <w:rPr>
                <w:sz w:val="16"/>
                <w:szCs w:val="16"/>
              </w:rPr>
            </w:pPr>
            <w:r w:rsidRPr="009647F7">
              <w:rPr>
                <w:sz w:val="16"/>
                <w:szCs w:val="16"/>
              </w:rPr>
              <w:t>Slaughtering in slaughterhouses</w:t>
            </w:r>
          </w:p>
        </w:tc>
        <w:tc>
          <w:tcPr>
            <w:tcW w:w="1035" w:type="dxa"/>
            <w:tcBorders>
              <w:top w:val="single" w:sz="12" w:space="0" w:color="000000"/>
            </w:tcBorders>
            <w:vAlign w:val="center"/>
          </w:tcPr>
          <w:p w:rsidR="00197E3C" w:rsidRPr="009647F7" w:rsidRDefault="00197E3C" w:rsidP="00CD7067">
            <w:pPr>
              <w:widowControl w:val="0"/>
              <w:jc w:val="center"/>
              <w:rPr>
                <w:sz w:val="16"/>
                <w:szCs w:val="16"/>
              </w:rPr>
            </w:pPr>
            <w:r w:rsidRPr="009647F7">
              <w:rPr>
                <w:sz w:val="14"/>
                <w:szCs w:val="14"/>
              </w:rPr>
              <w:t>01</w:t>
            </w:r>
          </w:p>
        </w:tc>
        <w:tc>
          <w:tcPr>
            <w:tcW w:w="1355" w:type="dxa"/>
            <w:tcBorders>
              <w:top w:val="single" w:sz="12" w:space="0" w:color="000000"/>
            </w:tcBorders>
            <w:vAlign w:val="center"/>
          </w:tcPr>
          <w:p w:rsidR="00197E3C" w:rsidRPr="009647F7" w:rsidRDefault="00197E3C" w:rsidP="00CD7067">
            <w:pPr>
              <w:ind w:left="173" w:right="456"/>
              <w:jc w:val="right"/>
              <w:rPr>
                <w:sz w:val="16"/>
                <w:szCs w:val="16"/>
              </w:rPr>
            </w:pPr>
            <w:r w:rsidRPr="009647F7">
              <w:rPr>
                <w:sz w:val="16"/>
                <w:szCs w:val="16"/>
              </w:rPr>
              <w:t>31 018</w:t>
            </w:r>
          </w:p>
        </w:tc>
        <w:tc>
          <w:tcPr>
            <w:tcW w:w="1393" w:type="dxa"/>
            <w:tcBorders>
              <w:top w:val="single" w:sz="12" w:space="0" w:color="000000"/>
            </w:tcBorders>
            <w:vAlign w:val="center"/>
          </w:tcPr>
          <w:p w:rsidR="00197E3C" w:rsidRPr="009647F7" w:rsidRDefault="00197E3C" w:rsidP="00CD7067">
            <w:pPr>
              <w:ind w:left="173" w:right="456"/>
              <w:jc w:val="right"/>
              <w:rPr>
                <w:sz w:val="16"/>
                <w:szCs w:val="16"/>
              </w:rPr>
            </w:pPr>
            <w:r w:rsidRPr="009647F7">
              <w:rPr>
                <w:sz w:val="16"/>
                <w:szCs w:val="16"/>
              </w:rPr>
              <w:t>65 751</w:t>
            </w:r>
          </w:p>
        </w:tc>
        <w:tc>
          <w:tcPr>
            <w:tcW w:w="1646" w:type="dxa"/>
            <w:tcBorders>
              <w:top w:val="single" w:sz="12" w:space="0" w:color="000000"/>
            </w:tcBorders>
            <w:vAlign w:val="center"/>
          </w:tcPr>
          <w:p w:rsidR="00197E3C" w:rsidRPr="009647F7" w:rsidRDefault="00197E3C" w:rsidP="00CD7067">
            <w:pPr>
              <w:ind w:left="173" w:right="456"/>
              <w:jc w:val="right"/>
              <w:rPr>
                <w:sz w:val="16"/>
                <w:szCs w:val="16"/>
              </w:rPr>
            </w:pPr>
            <w:r w:rsidRPr="009647F7">
              <w:rPr>
                <w:sz w:val="16"/>
                <w:szCs w:val="16"/>
              </w:rPr>
              <w:t>42 729</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Slaughtering out of slaughterhouses</w:t>
            </w:r>
          </w:p>
        </w:tc>
        <w:tc>
          <w:tcPr>
            <w:tcW w:w="1035" w:type="dxa"/>
            <w:vAlign w:val="center"/>
          </w:tcPr>
          <w:p w:rsidR="00197E3C" w:rsidRPr="009647F7" w:rsidRDefault="00197E3C" w:rsidP="00CD7067">
            <w:pPr>
              <w:widowControl w:val="0"/>
              <w:jc w:val="center"/>
              <w:rPr>
                <w:sz w:val="16"/>
                <w:szCs w:val="16"/>
              </w:rPr>
            </w:pPr>
            <w:r w:rsidRPr="009647F7">
              <w:rPr>
                <w:sz w:val="14"/>
                <w:szCs w:val="14"/>
              </w:rPr>
              <w:t>02</w:t>
            </w:r>
          </w:p>
        </w:tc>
        <w:tc>
          <w:tcPr>
            <w:tcW w:w="1355" w:type="dxa"/>
            <w:vAlign w:val="center"/>
          </w:tcPr>
          <w:p w:rsidR="00197E3C" w:rsidRPr="009647F7" w:rsidRDefault="00197E3C" w:rsidP="00CD7067">
            <w:pPr>
              <w:ind w:left="173" w:right="456"/>
              <w:jc w:val="right"/>
              <w:rPr>
                <w:sz w:val="16"/>
                <w:szCs w:val="16"/>
              </w:rPr>
            </w:pPr>
            <w:r w:rsidRPr="009647F7">
              <w:rPr>
                <w:sz w:val="16"/>
                <w:szCs w:val="16"/>
              </w:rPr>
              <w:t>673</w:t>
            </w:r>
          </w:p>
        </w:tc>
        <w:tc>
          <w:tcPr>
            <w:tcW w:w="1393" w:type="dxa"/>
            <w:vAlign w:val="center"/>
          </w:tcPr>
          <w:p w:rsidR="00197E3C" w:rsidRPr="009647F7" w:rsidRDefault="00197E3C" w:rsidP="00CD7067">
            <w:pPr>
              <w:ind w:left="173" w:right="456"/>
              <w:jc w:val="right"/>
              <w:rPr>
                <w:sz w:val="16"/>
                <w:szCs w:val="16"/>
              </w:rPr>
            </w:pPr>
            <w:r w:rsidRPr="009647F7">
              <w:rPr>
                <w:sz w:val="16"/>
                <w:szCs w:val="16"/>
              </w:rPr>
              <w:t>1 764</w:t>
            </w:r>
          </w:p>
        </w:tc>
        <w:tc>
          <w:tcPr>
            <w:tcW w:w="1646" w:type="dxa"/>
            <w:vAlign w:val="center"/>
          </w:tcPr>
          <w:p w:rsidR="00197E3C" w:rsidRPr="009647F7" w:rsidRDefault="00197E3C" w:rsidP="00CD7067">
            <w:pPr>
              <w:ind w:left="173" w:right="456"/>
              <w:jc w:val="right"/>
              <w:rPr>
                <w:sz w:val="16"/>
                <w:szCs w:val="16"/>
              </w:rPr>
            </w:pPr>
            <w:r w:rsidRPr="009647F7">
              <w:rPr>
                <w:sz w:val="16"/>
                <w:szCs w:val="16"/>
              </w:rPr>
              <w:t>1 166</w:t>
            </w:r>
          </w:p>
        </w:tc>
      </w:tr>
      <w:tr w:rsidR="00197E3C" w:rsidRPr="009647F7" w:rsidTr="00CD7067">
        <w:trPr>
          <w:trHeight w:val="283"/>
        </w:trPr>
        <w:tc>
          <w:tcPr>
            <w:tcW w:w="3071" w:type="dxa"/>
            <w:vAlign w:val="center"/>
          </w:tcPr>
          <w:p w:rsidR="00197E3C" w:rsidRPr="009647F7" w:rsidRDefault="00197E3C" w:rsidP="00CD7067">
            <w:pPr>
              <w:widowControl w:val="0"/>
              <w:jc w:val="left"/>
              <w:rPr>
                <w:b/>
                <w:sz w:val="16"/>
                <w:szCs w:val="16"/>
              </w:rPr>
            </w:pPr>
            <w:r w:rsidRPr="009647F7">
              <w:rPr>
                <w:b/>
                <w:sz w:val="16"/>
                <w:szCs w:val="16"/>
              </w:rPr>
              <w:t>Usable Production</w:t>
            </w:r>
          </w:p>
        </w:tc>
        <w:tc>
          <w:tcPr>
            <w:tcW w:w="1035" w:type="dxa"/>
            <w:vAlign w:val="center"/>
          </w:tcPr>
          <w:p w:rsidR="00197E3C" w:rsidRPr="009647F7" w:rsidRDefault="00197E3C" w:rsidP="00CD7067">
            <w:pPr>
              <w:widowControl w:val="0"/>
              <w:jc w:val="center"/>
              <w:rPr>
                <w:b/>
                <w:sz w:val="16"/>
                <w:szCs w:val="16"/>
              </w:rPr>
            </w:pPr>
            <w:r w:rsidRPr="009647F7">
              <w:rPr>
                <w:b/>
                <w:sz w:val="14"/>
                <w:szCs w:val="14"/>
              </w:rPr>
              <w:t>03=01+02</w:t>
            </w:r>
          </w:p>
        </w:tc>
        <w:tc>
          <w:tcPr>
            <w:tcW w:w="1355" w:type="dxa"/>
            <w:vAlign w:val="center"/>
          </w:tcPr>
          <w:p w:rsidR="00197E3C" w:rsidRPr="009647F7" w:rsidRDefault="00197E3C" w:rsidP="00CD7067">
            <w:pPr>
              <w:ind w:left="173" w:right="456"/>
              <w:jc w:val="right"/>
              <w:rPr>
                <w:sz w:val="16"/>
                <w:szCs w:val="16"/>
              </w:rPr>
            </w:pPr>
            <w:r w:rsidRPr="009647F7">
              <w:rPr>
                <w:sz w:val="16"/>
                <w:szCs w:val="16"/>
              </w:rPr>
              <w:t>31 691</w:t>
            </w:r>
          </w:p>
        </w:tc>
        <w:tc>
          <w:tcPr>
            <w:tcW w:w="1393" w:type="dxa"/>
            <w:vAlign w:val="center"/>
          </w:tcPr>
          <w:p w:rsidR="00197E3C" w:rsidRPr="009647F7" w:rsidRDefault="00197E3C" w:rsidP="00CD7067">
            <w:pPr>
              <w:ind w:left="173" w:right="456"/>
              <w:jc w:val="right"/>
              <w:rPr>
                <w:sz w:val="16"/>
                <w:szCs w:val="16"/>
              </w:rPr>
            </w:pPr>
            <w:r w:rsidRPr="009647F7">
              <w:rPr>
                <w:sz w:val="16"/>
                <w:szCs w:val="16"/>
              </w:rPr>
              <w:t>67 515</w:t>
            </w:r>
          </w:p>
        </w:tc>
        <w:tc>
          <w:tcPr>
            <w:tcW w:w="1646" w:type="dxa"/>
            <w:vAlign w:val="center"/>
          </w:tcPr>
          <w:p w:rsidR="00197E3C" w:rsidRPr="009647F7" w:rsidRDefault="00197E3C" w:rsidP="00CD7067">
            <w:pPr>
              <w:ind w:left="173" w:right="456"/>
              <w:jc w:val="right"/>
              <w:rPr>
                <w:sz w:val="16"/>
                <w:szCs w:val="16"/>
              </w:rPr>
            </w:pPr>
            <w:r w:rsidRPr="009647F7">
              <w:rPr>
                <w:sz w:val="16"/>
                <w:szCs w:val="16"/>
              </w:rPr>
              <w:t>43 895</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Exports of animals for slaughter</w:t>
            </w:r>
          </w:p>
        </w:tc>
        <w:tc>
          <w:tcPr>
            <w:tcW w:w="1035" w:type="dxa"/>
            <w:vAlign w:val="center"/>
          </w:tcPr>
          <w:p w:rsidR="00197E3C" w:rsidRPr="009647F7" w:rsidRDefault="00197E3C" w:rsidP="00CD7067">
            <w:pPr>
              <w:widowControl w:val="0"/>
              <w:jc w:val="center"/>
              <w:rPr>
                <w:sz w:val="16"/>
                <w:szCs w:val="16"/>
              </w:rPr>
            </w:pPr>
            <w:r w:rsidRPr="009647F7">
              <w:rPr>
                <w:sz w:val="14"/>
                <w:szCs w:val="14"/>
              </w:rPr>
              <w:t>04</w:t>
            </w:r>
          </w:p>
        </w:tc>
        <w:tc>
          <w:tcPr>
            <w:tcW w:w="1355" w:type="dxa"/>
            <w:vAlign w:val="center"/>
          </w:tcPr>
          <w:p w:rsidR="00197E3C" w:rsidRPr="009647F7" w:rsidRDefault="00197E3C" w:rsidP="00CD7067">
            <w:pPr>
              <w:ind w:left="173" w:right="456"/>
              <w:jc w:val="right"/>
              <w:rPr>
                <w:sz w:val="16"/>
                <w:szCs w:val="16"/>
              </w:rPr>
            </w:pPr>
            <w:r w:rsidRPr="009647F7">
              <w:rPr>
                <w:sz w:val="16"/>
                <w:szCs w:val="16"/>
              </w:rPr>
              <w:t>3 000</w:t>
            </w:r>
          </w:p>
        </w:tc>
        <w:tc>
          <w:tcPr>
            <w:tcW w:w="1393" w:type="dxa"/>
            <w:vAlign w:val="center"/>
          </w:tcPr>
          <w:p w:rsidR="00197E3C" w:rsidRPr="009647F7" w:rsidRDefault="00197E3C" w:rsidP="00CD7067">
            <w:pPr>
              <w:ind w:left="173" w:right="456"/>
              <w:jc w:val="right"/>
              <w:rPr>
                <w:sz w:val="16"/>
                <w:szCs w:val="16"/>
              </w:rPr>
            </w:pPr>
            <w:r w:rsidRPr="009647F7">
              <w:rPr>
                <w:sz w:val="16"/>
                <w:szCs w:val="16"/>
              </w:rPr>
              <w:t>9 873</w:t>
            </w:r>
          </w:p>
        </w:tc>
        <w:tc>
          <w:tcPr>
            <w:tcW w:w="1646" w:type="dxa"/>
            <w:vAlign w:val="center"/>
          </w:tcPr>
          <w:p w:rsidR="00197E3C" w:rsidRPr="009647F7" w:rsidRDefault="00197E3C" w:rsidP="00CD7067">
            <w:pPr>
              <w:ind w:left="173" w:right="456"/>
              <w:jc w:val="right"/>
              <w:rPr>
                <w:sz w:val="16"/>
                <w:szCs w:val="16"/>
              </w:rPr>
            </w:pPr>
            <w:r w:rsidRPr="009647F7">
              <w:rPr>
                <w:sz w:val="16"/>
                <w:szCs w:val="16"/>
              </w:rPr>
              <w:t>6 673</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Imports of animals for slaughter</w:t>
            </w:r>
          </w:p>
        </w:tc>
        <w:tc>
          <w:tcPr>
            <w:tcW w:w="1035" w:type="dxa"/>
            <w:vAlign w:val="center"/>
          </w:tcPr>
          <w:p w:rsidR="00197E3C" w:rsidRPr="009647F7" w:rsidRDefault="00197E3C" w:rsidP="00CD7067">
            <w:pPr>
              <w:widowControl w:val="0"/>
              <w:jc w:val="center"/>
              <w:rPr>
                <w:sz w:val="16"/>
                <w:szCs w:val="16"/>
              </w:rPr>
            </w:pPr>
            <w:r w:rsidRPr="009647F7">
              <w:rPr>
                <w:sz w:val="14"/>
                <w:szCs w:val="14"/>
              </w:rPr>
              <w:t>05</w:t>
            </w:r>
          </w:p>
        </w:tc>
        <w:tc>
          <w:tcPr>
            <w:tcW w:w="1355" w:type="dxa"/>
            <w:vAlign w:val="center"/>
          </w:tcPr>
          <w:p w:rsidR="00197E3C" w:rsidRPr="009647F7" w:rsidRDefault="00197E3C" w:rsidP="00CD7067">
            <w:pPr>
              <w:ind w:left="173" w:right="456"/>
              <w:jc w:val="right"/>
              <w:rPr>
                <w:sz w:val="16"/>
                <w:szCs w:val="16"/>
              </w:rPr>
            </w:pPr>
            <w:r w:rsidRPr="009647F7">
              <w:rPr>
                <w:sz w:val="16"/>
                <w:szCs w:val="16"/>
              </w:rPr>
              <w:t>0</w:t>
            </w:r>
          </w:p>
        </w:tc>
        <w:tc>
          <w:tcPr>
            <w:tcW w:w="1393" w:type="dxa"/>
            <w:vAlign w:val="center"/>
          </w:tcPr>
          <w:p w:rsidR="00197E3C" w:rsidRPr="009647F7" w:rsidRDefault="00197E3C" w:rsidP="00CD7067">
            <w:pPr>
              <w:ind w:left="173" w:right="456"/>
              <w:jc w:val="right"/>
              <w:rPr>
                <w:sz w:val="16"/>
                <w:szCs w:val="16"/>
              </w:rPr>
            </w:pPr>
            <w:r w:rsidRPr="009647F7">
              <w:rPr>
                <w:sz w:val="16"/>
                <w:szCs w:val="16"/>
              </w:rPr>
              <w:t>0</w:t>
            </w:r>
          </w:p>
        </w:tc>
        <w:tc>
          <w:tcPr>
            <w:tcW w:w="1646" w:type="dxa"/>
            <w:vAlign w:val="center"/>
          </w:tcPr>
          <w:p w:rsidR="00197E3C" w:rsidRPr="009647F7" w:rsidRDefault="00197E3C" w:rsidP="00CD7067">
            <w:pPr>
              <w:ind w:left="173" w:right="456"/>
              <w:jc w:val="right"/>
              <w:rPr>
                <w:sz w:val="16"/>
                <w:szCs w:val="16"/>
              </w:rPr>
            </w:pPr>
            <w:r w:rsidRPr="009647F7">
              <w:rPr>
                <w:sz w:val="16"/>
                <w:szCs w:val="16"/>
              </w:rPr>
              <w:t>0</w:t>
            </w:r>
          </w:p>
        </w:tc>
      </w:tr>
      <w:tr w:rsidR="00197E3C" w:rsidRPr="009647F7" w:rsidTr="00CD7067">
        <w:trPr>
          <w:trHeight w:val="283"/>
        </w:trPr>
        <w:tc>
          <w:tcPr>
            <w:tcW w:w="3071" w:type="dxa"/>
            <w:vAlign w:val="center"/>
          </w:tcPr>
          <w:p w:rsidR="00197E3C" w:rsidRPr="009647F7" w:rsidRDefault="00197E3C" w:rsidP="00CD7067">
            <w:pPr>
              <w:widowControl w:val="0"/>
              <w:jc w:val="left"/>
              <w:rPr>
                <w:b/>
                <w:sz w:val="16"/>
                <w:szCs w:val="16"/>
              </w:rPr>
            </w:pPr>
            <w:r w:rsidRPr="009647F7">
              <w:rPr>
                <w:b/>
                <w:sz w:val="16"/>
                <w:szCs w:val="16"/>
              </w:rPr>
              <w:t>Gross indigenous production</w:t>
            </w:r>
          </w:p>
        </w:tc>
        <w:tc>
          <w:tcPr>
            <w:tcW w:w="1035" w:type="dxa"/>
            <w:vAlign w:val="center"/>
          </w:tcPr>
          <w:p w:rsidR="00197E3C" w:rsidRPr="009647F7" w:rsidRDefault="00197E3C" w:rsidP="00CD7067">
            <w:pPr>
              <w:widowControl w:val="0"/>
              <w:ind w:left="-67" w:right="-6"/>
              <w:jc w:val="center"/>
              <w:rPr>
                <w:b/>
                <w:sz w:val="16"/>
                <w:szCs w:val="16"/>
              </w:rPr>
            </w:pPr>
            <w:r w:rsidRPr="009647F7">
              <w:rPr>
                <w:b/>
                <w:sz w:val="14"/>
                <w:szCs w:val="14"/>
              </w:rPr>
              <w:t>06=03+04-05</w:t>
            </w:r>
          </w:p>
        </w:tc>
        <w:tc>
          <w:tcPr>
            <w:tcW w:w="1355" w:type="dxa"/>
            <w:vAlign w:val="center"/>
          </w:tcPr>
          <w:p w:rsidR="00197E3C" w:rsidRPr="009647F7" w:rsidRDefault="00197E3C" w:rsidP="00CD7067">
            <w:pPr>
              <w:ind w:left="173" w:right="456"/>
              <w:jc w:val="right"/>
              <w:rPr>
                <w:sz w:val="16"/>
                <w:szCs w:val="16"/>
              </w:rPr>
            </w:pPr>
            <w:r w:rsidRPr="009647F7">
              <w:rPr>
                <w:sz w:val="16"/>
                <w:szCs w:val="16"/>
              </w:rPr>
              <w:t>34 691</w:t>
            </w:r>
          </w:p>
        </w:tc>
        <w:tc>
          <w:tcPr>
            <w:tcW w:w="1393" w:type="dxa"/>
            <w:vAlign w:val="center"/>
          </w:tcPr>
          <w:p w:rsidR="00197E3C" w:rsidRPr="009647F7" w:rsidRDefault="00197E3C" w:rsidP="00CD7067">
            <w:pPr>
              <w:ind w:left="173" w:right="456"/>
              <w:jc w:val="right"/>
              <w:rPr>
                <w:sz w:val="16"/>
                <w:szCs w:val="16"/>
              </w:rPr>
            </w:pPr>
            <w:r w:rsidRPr="009647F7">
              <w:rPr>
                <w:sz w:val="16"/>
                <w:szCs w:val="16"/>
              </w:rPr>
              <w:t>77 388</w:t>
            </w:r>
          </w:p>
        </w:tc>
        <w:tc>
          <w:tcPr>
            <w:tcW w:w="1646" w:type="dxa"/>
            <w:vAlign w:val="center"/>
          </w:tcPr>
          <w:p w:rsidR="00197E3C" w:rsidRPr="009647F7" w:rsidRDefault="00197E3C" w:rsidP="00CD7067">
            <w:pPr>
              <w:ind w:left="173" w:right="456"/>
              <w:jc w:val="right"/>
              <w:rPr>
                <w:sz w:val="16"/>
                <w:szCs w:val="16"/>
              </w:rPr>
            </w:pPr>
            <w:r w:rsidRPr="009647F7">
              <w:rPr>
                <w:sz w:val="16"/>
                <w:szCs w:val="16"/>
              </w:rPr>
              <w:t>50 568</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Exports of meat</w:t>
            </w:r>
          </w:p>
        </w:tc>
        <w:tc>
          <w:tcPr>
            <w:tcW w:w="1035" w:type="dxa"/>
            <w:vAlign w:val="center"/>
          </w:tcPr>
          <w:p w:rsidR="00197E3C" w:rsidRPr="009647F7" w:rsidRDefault="00197E3C" w:rsidP="00CD7067">
            <w:pPr>
              <w:widowControl w:val="0"/>
              <w:jc w:val="center"/>
              <w:rPr>
                <w:sz w:val="16"/>
                <w:szCs w:val="16"/>
              </w:rPr>
            </w:pPr>
            <w:r w:rsidRPr="009647F7">
              <w:rPr>
                <w:sz w:val="14"/>
                <w:szCs w:val="14"/>
              </w:rPr>
              <w:t>07</w:t>
            </w:r>
          </w:p>
        </w:tc>
        <w:tc>
          <w:tcPr>
            <w:tcW w:w="1355" w:type="dxa"/>
            <w:vAlign w:val="center"/>
          </w:tcPr>
          <w:p w:rsidR="00197E3C" w:rsidRPr="009647F7" w:rsidRDefault="00197E3C" w:rsidP="00CD7067">
            <w:pPr>
              <w:ind w:left="173" w:right="456"/>
              <w:jc w:val="right"/>
              <w:rPr>
                <w:sz w:val="16"/>
                <w:szCs w:val="16"/>
              </w:rPr>
            </w:pPr>
            <w:r w:rsidRPr="009647F7">
              <w:rPr>
                <w:sz w:val="16"/>
                <w:szCs w:val="16"/>
              </w:rPr>
              <w:t>x</w:t>
            </w:r>
          </w:p>
        </w:tc>
        <w:tc>
          <w:tcPr>
            <w:tcW w:w="1393" w:type="dxa"/>
            <w:vAlign w:val="center"/>
          </w:tcPr>
          <w:p w:rsidR="00197E3C" w:rsidRPr="009647F7" w:rsidRDefault="00197E3C" w:rsidP="00CD7067">
            <w:pPr>
              <w:ind w:left="173" w:right="456"/>
              <w:jc w:val="right"/>
              <w:rPr>
                <w:sz w:val="16"/>
                <w:szCs w:val="16"/>
              </w:rPr>
            </w:pPr>
            <w:r w:rsidRPr="009647F7">
              <w:rPr>
                <w:sz w:val="16"/>
                <w:szCs w:val="16"/>
              </w:rPr>
              <w:t>x</w:t>
            </w:r>
          </w:p>
        </w:tc>
        <w:tc>
          <w:tcPr>
            <w:tcW w:w="1646" w:type="dxa"/>
            <w:vAlign w:val="center"/>
          </w:tcPr>
          <w:p w:rsidR="00197E3C" w:rsidRPr="009647F7" w:rsidRDefault="00197E3C" w:rsidP="00CD7067">
            <w:pPr>
              <w:ind w:left="173" w:right="456"/>
              <w:jc w:val="right"/>
              <w:rPr>
                <w:sz w:val="16"/>
                <w:szCs w:val="16"/>
              </w:rPr>
            </w:pPr>
            <w:r w:rsidRPr="009647F7">
              <w:rPr>
                <w:sz w:val="16"/>
                <w:szCs w:val="16"/>
              </w:rPr>
              <w:t>6 630</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Imports of meat</w:t>
            </w:r>
          </w:p>
        </w:tc>
        <w:tc>
          <w:tcPr>
            <w:tcW w:w="1035" w:type="dxa"/>
            <w:vAlign w:val="center"/>
          </w:tcPr>
          <w:p w:rsidR="00197E3C" w:rsidRPr="009647F7" w:rsidRDefault="00197E3C" w:rsidP="00CD7067">
            <w:pPr>
              <w:widowControl w:val="0"/>
              <w:jc w:val="center"/>
              <w:rPr>
                <w:sz w:val="16"/>
                <w:szCs w:val="16"/>
              </w:rPr>
            </w:pPr>
            <w:r w:rsidRPr="009647F7">
              <w:rPr>
                <w:sz w:val="14"/>
                <w:szCs w:val="14"/>
              </w:rPr>
              <w:t>08</w:t>
            </w:r>
          </w:p>
        </w:tc>
        <w:tc>
          <w:tcPr>
            <w:tcW w:w="1355" w:type="dxa"/>
            <w:vAlign w:val="center"/>
          </w:tcPr>
          <w:p w:rsidR="00197E3C" w:rsidRPr="009647F7" w:rsidRDefault="00197E3C" w:rsidP="00CD7067">
            <w:pPr>
              <w:ind w:left="173" w:right="456"/>
              <w:jc w:val="right"/>
              <w:rPr>
                <w:sz w:val="16"/>
                <w:szCs w:val="16"/>
              </w:rPr>
            </w:pPr>
            <w:r w:rsidRPr="009647F7">
              <w:rPr>
                <w:sz w:val="16"/>
                <w:szCs w:val="16"/>
              </w:rPr>
              <w:t>x</w:t>
            </w:r>
          </w:p>
        </w:tc>
        <w:tc>
          <w:tcPr>
            <w:tcW w:w="1393" w:type="dxa"/>
            <w:vAlign w:val="center"/>
          </w:tcPr>
          <w:p w:rsidR="00197E3C" w:rsidRPr="009647F7" w:rsidRDefault="00197E3C" w:rsidP="00CD7067">
            <w:pPr>
              <w:ind w:left="173" w:right="456"/>
              <w:jc w:val="right"/>
              <w:rPr>
                <w:sz w:val="16"/>
                <w:szCs w:val="16"/>
              </w:rPr>
            </w:pPr>
            <w:r w:rsidRPr="009647F7">
              <w:rPr>
                <w:sz w:val="16"/>
                <w:szCs w:val="16"/>
              </w:rPr>
              <w:t>x</w:t>
            </w:r>
          </w:p>
        </w:tc>
        <w:tc>
          <w:tcPr>
            <w:tcW w:w="1646" w:type="dxa"/>
            <w:vAlign w:val="center"/>
          </w:tcPr>
          <w:p w:rsidR="00197E3C" w:rsidRPr="009647F7" w:rsidRDefault="00197E3C" w:rsidP="00CD7067">
            <w:pPr>
              <w:ind w:left="173" w:right="456"/>
              <w:jc w:val="right"/>
              <w:rPr>
                <w:sz w:val="16"/>
                <w:szCs w:val="16"/>
              </w:rPr>
            </w:pPr>
            <w:r w:rsidRPr="009647F7">
              <w:rPr>
                <w:sz w:val="16"/>
                <w:szCs w:val="16"/>
              </w:rPr>
              <w:t>28 071</w:t>
            </w:r>
          </w:p>
        </w:tc>
      </w:tr>
      <w:tr w:rsidR="00197E3C" w:rsidRPr="009647F7" w:rsidTr="00CD7067">
        <w:trPr>
          <w:trHeight w:val="283"/>
        </w:trPr>
        <w:tc>
          <w:tcPr>
            <w:tcW w:w="3071" w:type="dxa"/>
            <w:vAlign w:val="center"/>
          </w:tcPr>
          <w:p w:rsidR="00197E3C" w:rsidRPr="009647F7" w:rsidRDefault="00197E3C" w:rsidP="00CD7067">
            <w:pPr>
              <w:widowControl w:val="0"/>
              <w:ind w:left="22"/>
              <w:jc w:val="left"/>
              <w:rPr>
                <w:b/>
                <w:sz w:val="16"/>
                <w:szCs w:val="16"/>
              </w:rPr>
            </w:pPr>
            <w:r w:rsidRPr="009647F7">
              <w:rPr>
                <w:b/>
                <w:sz w:val="16"/>
                <w:szCs w:val="16"/>
              </w:rPr>
              <w:t>Calculated consumption</w:t>
            </w:r>
          </w:p>
        </w:tc>
        <w:tc>
          <w:tcPr>
            <w:tcW w:w="1035" w:type="dxa"/>
            <w:vAlign w:val="center"/>
          </w:tcPr>
          <w:p w:rsidR="00197E3C" w:rsidRPr="009647F7" w:rsidRDefault="00197E3C" w:rsidP="00CD7067">
            <w:pPr>
              <w:widowControl w:val="0"/>
              <w:ind w:left="-67"/>
              <w:jc w:val="center"/>
              <w:rPr>
                <w:b/>
                <w:sz w:val="16"/>
                <w:szCs w:val="16"/>
              </w:rPr>
            </w:pPr>
            <w:r w:rsidRPr="009647F7">
              <w:rPr>
                <w:b/>
                <w:sz w:val="14"/>
                <w:szCs w:val="14"/>
              </w:rPr>
              <w:t>09=03-07+08</w:t>
            </w:r>
          </w:p>
        </w:tc>
        <w:tc>
          <w:tcPr>
            <w:tcW w:w="1355" w:type="dxa"/>
            <w:vAlign w:val="center"/>
          </w:tcPr>
          <w:p w:rsidR="00197E3C" w:rsidRPr="009647F7" w:rsidRDefault="00197E3C" w:rsidP="00CD7067">
            <w:pPr>
              <w:ind w:left="173" w:right="456"/>
              <w:jc w:val="right"/>
              <w:rPr>
                <w:sz w:val="16"/>
                <w:szCs w:val="16"/>
              </w:rPr>
            </w:pPr>
            <w:r w:rsidRPr="009647F7">
              <w:rPr>
                <w:sz w:val="16"/>
                <w:szCs w:val="16"/>
              </w:rPr>
              <w:t>x</w:t>
            </w:r>
          </w:p>
        </w:tc>
        <w:tc>
          <w:tcPr>
            <w:tcW w:w="1393" w:type="dxa"/>
            <w:vAlign w:val="center"/>
          </w:tcPr>
          <w:p w:rsidR="00197E3C" w:rsidRPr="009647F7" w:rsidRDefault="00197E3C" w:rsidP="00CD7067">
            <w:pPr>
              <w:ind w:left="173" w:right="456"/>
              <w:jc w:val="right"/>
              <w:rPr>
                <w:sz w:val="16"/>
                <w:szCs w:val="16"/>
              </w:rPr>
            </w:pPr>
            <w:r w:rsidRPr="009647F7">
              <w:rPr>
                <w:sz w:val="16"/>
                <w:szCs w:val="16"/>
              </w:rPr>
              <w:t>x</w:t>
            </w:r>
          </w:p>
        </w:tc>
        <w:tc>
          <w:tcPr>
            <w:tcW w:w="1646" w:type="dxa"/>
            <w:vAlign w:val="center"/>
          </w:tcPr>
          <w:p w:rsidR="00197E3C" w:rsidRPr="009647F7" w:rsidRDefault="00197E3C" w:rsidP="00CD7067">
            <w:pPr>
              <w:ind w:left="173" w:right="456"/>
              <w:jc w:val="right"/>
              <w:rPr>
                <w:sz w:val="16"/>
                <w:szCs w:val="16"/>
              </w:rPr>
            </w:pPr>
            <w:r w:rsidRPr="009647F7">
              <w:rPr>
                <w:sz w:val="16"/>
                <w:szCs w:val="16"/>
              </w:rPr>
              <w:t>65 336</w:t>
            </w:r>
          </w:p>
        </w:tc>
      </w:tr>
    </w:tbl>
    <w:p w:rsidR="00197E3C" w:rsidRPr="00D17F72" w:rsidRDefault="00197E3C" w:rsidP="00197E3C">
      <w:pPr>
        <w:rPr>
          <w:rStyle w:val="q4iawc"/>
          <w:color w:val="808080" w:themeColor="background1" w:themeShade="80"/>
        </w:rPr>
      </w:pPr>
    </w:p>
    <w:p w:rsidR="00197E3C" w:rsidRPr="002A7A50" w:rsidRDefault="00197E3C" w:rsidP="00197E3C">
      <w:pPr>
        <w:rPr>
          <w:rStyle w:val="q4iawc"/>
        </w:rPr>
      </w:pPr>
      <w:r w:rsidRPr="002A7A50">
        <w:rPr>
          <w:rStyle w:val="q4iawc"/>
        </w:rPr>
        <w:t>In Q2</w:t>
      </w:r>
      <w:r>
        <w:rPr>
          <w:rStyle w:val="q4iawc"/>
        </w:rPr>
        <w:t> </w:t>
      </w:r>
      <w:r w:rsidRPr="002A7A50">
        <w:rPr>
          <w:rStyle w:val="q4iawc"/>
        </w:rPr>
        <w:t>2022, 54.9 million (+1.7%) meat type chicken were hatched in the Czech Republic.</w:t>
      </w:r>
      <w:r w:rsidRPr="002A7A50">
        <w:rPr>
          <w:rStyle w:val="viiyi"/>
        </w:rPr>
        <w:t xml:space="preserve"> </w:t>
      </w:r>
      <w:r w:rsidRPr="002A7A50">
        <w:rPr>
          <w:rStyle w:val="q4iawc"/>
        </w:rPr>
        <w:t>With regard to imports and exports of day-old chicks, there were 34.4 million (</w:t>
      </w:r>
      <w:r w:rsidRPr="002A7A50">
        <w:rPr>
          <w:sz w:val="18"/>
          <w:szCs w:val="18"/>
        </w:rPr>
        <w:t>−</w:t>
      </w:r>
      <w:r w:rsidRPr="002A7A50">
        <w:rPr>
          <w:rStyle w:val="q4iawc"/>
        </w:rPr>
        <w:t>1.5%) broilers.</w:t>
      </w:r>
      <w:r w:rsidRPr="002A7A50">
        <w:rPr>
          <w:rStyle w:val="viiyi"/>
        </w:rPr>
        <w:t xml:space="preserve"> </w:t>
      </w:r>
      <w:r w:rsidRPr="002A7A50">
        <w:rPr>
          <w:rStyle w:val="q4iawc"/>
        </w:rPr>
        <w:t>The production of chicken meat in the next period will depend on these numbers.</w:t>
      </w:r>
    </w:p>
    <w:p w:rsidR="00197E3C" w:rsidRPr="002A7A50" w:rsidRDefault="00197E3C" w:rsidP="00197E3C">
      <w:pPr>
        <w:pStyle w:val="Poznmky0"/>
      </w:pPr>
      <w:r w:rsidRPr="002A7A50">
        <w:t>Notes:</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Published data on meat production are final.</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Data on slaughtering out of slaughterhouses are expert estimates of Ministry of Agriculture.</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Data on cross border movements of goods within EU (Intrastat) do not include individual trading operations carried out by persons who are not registered for VAT. Reporting units below the applicable thresholds of CZK 12 million a year for both flows are not under reporting duty for Intrastat as well. Data on cross border movements are preliminary.</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Data on poultry supplied to slaughterhouses are based on statistical surveys of the Ministry of Agriculture of the Czech Republic.</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Data on chick hatching statistics originate in the Register of hatcheries.</w:t>
      </w:r>
    </w:p>
    <w:p w:rsidR="00197E3C" w:rsidRPr="00D17F72" w:rsidRDefault="00197E3C" w:rsidP="00197E3C">
      <w:pPr>
        <w:spacing w:line="240" w:lineRule="exact"/>
        <w:ind w:left="3600" w:hanging="3600"/>
        <w:jc w:val="left"/>
        <w:rPr>
          <w:rFonts w:cs="ArialMT"/>
          <w:i/>
          <w:iCs/>
          <w:color w:val="000000" w:themeColor="text1"/>
          <w:sz w:val="18"/>
          <w:szCs w:val="18"/>
        </w:rPr>
      </w:pPr>
    </w:p>
    <w:p w:rsidR="00197E3C" w:rsidRPr="00D17F72" w:rsidRDefault="007A0C22" w:rsidP="00197E3C">
      <w:pPr>
        <w:pStyle w:val="Poznamkytexty"/>
        <w:ind w:left="2127" w:hanging="2127"/>
        <w:jc w:val="left"/>
        <w:rPr>
          <w:color w:val="000000" w:themeColor="text1"/>
        </w:rPr>
      </w:pPr>
      <w:hyperlink r:id="rId7">
        <w:r w:rsidR="00197E3C" w:rsidRPr="00D17F72">
          <w:rPr>
            <w:color w:val="000000" w:themeColor="text1"/>
          </w:rPr>
          <w:t>Contact person:</w:t>
        </w:r>
        <w:r w:rsidR="00197E3C" w:rsidRPr="00D17F72">
          <w:rPr>
            <w:color w:val="000000" w:themeColor="text1"/>
          </w:rPr>
          <w:tab/>
          <w:t>Renata Vodičková, Head of Agricultural and Forestry Statistics Unit, phone (+420) 703 824 173, e-mail renata.vodickova@czso.cz</w:t>
        </w:r>
      </w:hyperlink>
    </w:p>
    <w:p w:rsidR="00197E3C" w:rsidRPr="00D17F72" w:rsidRDefault="00197E3C" w:rsidP="00197E3C">
      <w:pPr>
        <w:spacing w:line="240" w:lineRule="exact"/>
        <w:ind w:left="3600" w:hanging="3600"/>
        <w:jc w:val="left"/>
        <w:rPr>
          <w:rFonts w:cs="ArialMT"/>
          <w:i/>
          <w:iCs/>
          <w:color w:val="000000" w:themeColor="text1"/>
          <w:sz w:val="18"/>
          <w:szCs w:val="18"/>
        </w:rPr>
      </w:pPr>
    </w:p>
    <w:p w:rsidR="00197E3C" w:rsidRPr="00D17F72" w:rsidRDefault="00197E3C" w:rsidP="00197E3C">
      <w:pPr>
        <w:spacing w:line="240" w:lineRule="exact"/>
        <w:ind w:left="3600" w:hanging="3600"/>
        <w:jc w:val="left"/>
        <w:rPr>
          <w:color w:val="000000" w:themeColor="text1"/>
        </w:rPr>
      </w:pPr>
      <w:r w:rsidRPr="00D17F72">
        <w:rPr>
          <w:rFonts w:cs="ArialMT"/>
          <w:i/>
          <w:iCs/>
          <w:color w:val="000000" w:themeColor="text1"/>
          <w:sz w:val="18"/>
          <w:szCs w:val="18"/>
        </w:rPr>
        <w:t>Text was not edited for language.</w:t>
      </w:r>
    </w:p>
    <w:p w:rsidR="00F223F8" w:rsidRPr="00197E3C" w:rsidRDefault="00F223F8" w:rsidP="00197E3C"/>
    <w:sectPr w:rsidR="00F223F8" w:rsidRPr="00197E3C"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22" w:rsidRDefault="007A0C22" w:rsidP="00BA6370">
      <w:r>
        <w:separator/>
      </w:r>
    </w:p>
  </w:endnote>
  <w:endnote w:type="continuationSeparator" w:id="0">
    <w:p w:rsidR="007A0C22" w:rsidRDefault="007A0C2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41" w:rsidRDefault="00D3304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33041" w:rsidRPr="00D52A09" w:rsidRDefault="00D33041" w:rsidP="00380178">
                          <w:pPr>
                            <w:spacing w:line="220" w:lineRule="atLeast"/>
                            <w:rPr>
                              <w:rFonts w:cs="Arial"/>
                              <w:b/>
                              <w:bCs/>
                              <w:sz w:val="15"/>
                              <w:szCs w:val="15"/>
                            </w:rPr>
                          </w:pPr>
                          <w:r w:rsidRPr="00D52A09">
                            <w:rPr>
                              <w:rFonts w:cs="Arial"/>
                              <w:b/>
                              <w:bCs/>
                              <w:sz w:val="15"/>
                              <w:szCs w:val="15"/>
                            </w:rPr>
                            <w:t>Information Services Unit – Headquarters</w:t>
                          </w:r>
                        </w:p>
                        <w:p w:rsidR="00D33041" w:rsidRDefault="00D3304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33041" w:rsidRPr="00D52A09" w:rsidRDefault="00D3304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rsidR="00D33041" w:rsidRPr="008772B6" w:rsidRDefault="00D33041" w:rsidP="00380178">
                          <w:pPr>
                            <w:tabs>
                              <w:tab w:val="right" w:pos="8505"/>
                            </w:tabs>
                            <w:spacing w:line="220" w:lineRule="atLeast"/>
                            <w:rPr>
                              <w:rFonts w:cs="Arial"/>
                              <w:lang w:val="de-DE"/>
                            </w:rPr>
                          </w:pPr>
                          <w:r w:rsidRPr="008772B6">
                            <w:rPr>
                              <w:rFonts w:cs="Arial"/>
                              <w:sz w:val="15"/>
                              <w:szCs w:val="15"/>
                              <w:lang w:val="de-DE"/>
                            </w:rPr>
                            <w:t xml:space="preserve">tel: +420 274 056 789, e-mail: </w:t>
                          </w:r>
                          <w:hyperlink r:id="rId2" w:history="1">
                            <w:r w:rsidRPr="008772B6">
                              <w:rPr>
                                <w:rStyle w:val="Hypertextovodkaz"/>
                                <w:rFonts w:cs="Arial"/>
                                <w:color w:val="0071BC"/>
                                <w:sz w:val="15"/>
                                <w:szCs w:val="15"/>
                                <w:lang w:val="de-DE"/>
                              </w:rPr>
                              <w:t>infoservis@czso.cz</w:t>
                            </w:r>
                          </w:hyperlink>
                          <w:r w:rsidRPr="008772B6">
                            <w:rPr>
                              <w:rFonts w:cs="Arial"/>
                              <w:sz w:val="15"/>
                              <w:szCs w:val="15"/>
                              <w:lang w:val="de-DE"/>
                            </w:rPr>
                            <w:tab/>
                          </w:r>
                          <w:r w:rsidRPr="007E75DE">
                            <w:rPr>
                              <w:rFonts w:cs="Arial"/>
                              <w:szCs w:val="15"/>
                            </w:rPr>
                            <w:fldChar w:fldCharType="begin"/>
                          </w:r>
                          <w:r w:rsidRPr="008772B6">
                            <w:rPr>
                              <w:rFonts w:cs="Arial"/>
                              <w:szCs w:val="15"/>
                              <w:lang w:val="de-DE"/>
                            </w:rPr>
                            <w:instrText xml:space="preserve"> PAGE   \* MERGEFORMAT </w:instrText>
                          </w:r>
                          <w:r w:rsidRPr="007E75DE">
                            <w:rPr>
                              <w:rFonts w:cs="Arial"/>
                              <w:szCs w:val="15"/>
                            </w:rPr>
                            <w:fldChar w:fldCharType="separate"/>
                          </w:r>
                          <w:r w:rsidR="00F84CF6">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D33041" w:rsidRPr="00D52A09" w:rsidRDefault="00D33041" w:rsidP="00380178">
                    <w:pPr>
                      <w:spacing w:line="220" w:lineRule="atLeast"/>
                      <w:rPr>
                        <w:rFonts w:cs="Arial"/>
                        <w:b/>
                        <w:bCs/>
                        <w:sz w:val="15"/>
                        <w:szCs w:val="15"/>
                      </w:rPr>
                    </w:pPr>
                    <w:r w:rsidRPr="00D52A09">
                      <w:rPr>
                        <w:rFonts w:cs="Arial"/>
                        <w:b/>
                        <w:bCs/>
                        <w:sz w:val="15"/>
                        <w:szCs w:val="15"/>
                      </w:rPr>
                      <w:t>Information Services Unit – Headquarters</w:t>
                    </w:r>
                  </w:p>
                  <w:p w:rsidR="00D33041" w:rsidRDefault="00D3304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33041" w:rsidRPr="00D52A09" w:rsidRDefault="00D3304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rsidR="00D33041" w:rsidRPr="008772B6" w:rsidRDefault="00D33041" w:rsidP="00380178">
                    <w:pPr>
                      <w:tabs>
                        <w:tab w:val="right" w:pos="8505"/>
                      </w:tabs>
                      <w:spacing w:line="220" w:lineRule="atLeast"/>
                      <w:rPr>
                        <w:rFonts w:cs="Arial"/>
                        <w:lang w:val="de-DE"/>
                      </w:rPr>
                    </w:pPr>
                    <w:r w:rsidRPr="008772B6">
                      <w:rPr>
                        <w:rFonts w:cs="Arial"/>
                        <w:sz w:val="15"/>
                        <w:szCs w:val="15"/>
                        <w:lang w:val="de-DE"/>
                      </w:rPr>
                      <w:t xml:space="preserve">tel: +420 274 056 789, e-mail: </w:t>
                    </w:r>
                    <w:hyperlink r:id="rId4" w:history="1">
                      <w:r w:rsidRPr="008772B6">
                        <w:rPr>
                          <w:rStyle w:val="Hypertextovodkaz"/>
                          <w:rFonts w:cs="Arial"/>
                          <w:color w:val="0071BC"/>
                          <w:sz w:val="15"/>
                          <w:szCs w:val="15"/>
                          <w:lang w:val="de-DE"/>
                        </w:rPr>
                        <w:t>infoservis@czso.cz</w:t>
                      </w:r>
                    </w:hyperlink>
                    <w:r w:rsidRPr="008772B6">
                      <w:rPr>
                        <w:rFonts w:cs="Arial"/>
                        <w:sz w:val="15"/>
                        <w:szCs w:val="15"/>
                        <w:lang w:val="de-DE"/>
                      </w:rPr>
                      <w:tab/>
                    </w:r>
                    <w:r w:rsidRPr="007E75DE">
                      <w:rPr>
                        <w:rFonts w:cs="Arial"/>
                        <w:szCs w:val="15"/>
                      </w:rPr>
                      <w:fldChar w:fldCharType="begin"/>
                    </w:r>
                    <w:r w:rsidRPr="008772B6">
                      <w:rPr>
                        <w:rFonts w:cs="Arial"/>
                        <w:szCs w:val="15"/>
                        <w:lang w:val="de-DE"/>
                      </w:rPr>
                      <w:instrText xml:space="preserve"> PAGE   \* MERGEFORMAT </w:instrText>
                    </w:r>
                    <w:r w:rsidRPr="007E75DE">
                      <w:rPr>
                        <w:rFonts w:cs="Arial"/>
                        <w:szCs w:val="15"/>
                      </w:rPr>
                      <w:fldChar w:fldCharType="separate"/>
                    </w:r>
                    <w:r w:rsidR="00F84CF6">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7D31E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22" w:rsidRDefault="007A0C22" w:rsidP="00BA6370">
      <w:r>
        <w:separator/>
      </w:r>
    </w:p>
  </w:footnote>
  <w:footnote w:type="continuationSeparator" w:id="0">
    <w:p w:rsidR="007A0C22" w:rsidRDefault="007A0C22"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41" w:rsidRDefault="00D33041">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8363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AC"/>
    <w:rsid w:val="00043BF4"/>
    <w:rsid w:val="00064463"/>
    <w:rsid w:val="000843A5"/>
    <w:rsid w:val="00091722"/>
    <w:rsid w:val="000B6773"/>
    <w:rsid w:val="000B6F63"/>
    <w:rsid w:val="00116ED1"/>
    <w:rsid w:val="00123849"/>
    <w:rsid w:val="0013242C"/>
    <w:rsid w:val="001404AB"/>
    <w:rsid w:val="0017231D"/>
    <w:rsid w:val="00176E26"/>
    <w:rsid w:val="0018061F"/>
    <w:rsid w:val="001810DC"/>
    <w:rsid w:val="00197E3C"/>
    <w:rsid w:val="001B607F"/>
    <w:rsid w:val="001C71FD"/>
    <w:rsid w:val="001D369A"/>
    <w:rsid w:val="001F08B3"/>
    <w:rsid w:val="002070FB"/>
    <w:rsid w:val="00213729"/>
    <w:rsid w:val="002406FA"/>
    <w:rsid w:val="00297900"/>
    <w:rsid w:val="002B2E47"/>
    <w:rsid w:val="002D37F5"/>
    <w:rsid w:val="002E3A77"/>
    <w:rsid w:val="0032398D"/>
    <w:rsid w:val="003301A3"/>
    <w:rsid w:val="003331CB"/>
    <w:rsid w:val="0036777B"/>
    <w:rsid w:val="00377B20"/>
    <w:rsid w:val="00380178"/>
    <w:rsid w:val="0038282A"/>
    <w:rsid w:val="00397580"/>
    <w:rsid w:val="003A45C8"/>
    <w:rsid w:val="003B7F42"/>
    <w:rsid w:val="003C2DCF"/>
    <w:rsid w:val="003C3372"/>
    <w:rsid w:val="003C7FE7"/>
    <w:rsid w:val="003D0499"/>
    <w:rsid w:val="003D3576"/>
    <w:rsid w:val="003F526A"/>
    <w:rsid w:val="00405244"/>
    <w:rsid w:val="00410053"/>
    <w:rsid w:val="00436D82"/>
    <w:rsid w:val="004436EE"/>
    <w:rsid w:val="0045547F"/>
    <w:rsid w:val="004920AD"/>
    <w:rsid w:val="004D05B3"/>
    <w:rsid w:val="004E479E"/>
    <w:rsid w:val="004F78E6"/>
    <w:rsid w:val="00512D99"/>
    <w:rsid w:val="00516DCF"/>
    <w:rsid w:val="00531DBB"/>
    <w:rsid w:val="00564213"/>
    <w:rsid w:val="005C57C1"/>
    <w:rsid w:val="005F79FB"/>
    <w:rsid w:val="00602FAC"/>
    <w:rsid w:val="00604406"/>
    <w:rsid w:val="00605F4A"/>
    <w:rsid w:val="00607822"/>
    <w:rsid w:val="006103AA"/>
    <w:rsid w:val="00613BBF"/>
    <w:rsid w:val="00622B80"/>
    <w:rsid w:val="0064139A"/>
    <w:rsid w:val="00677DFA"/>
    <w:rsid w:val="006B7520"/>
    <w:rsid w:val="006D5C60"/>
    <w:rsid w:val="006E024F"/>
    <w:rsid w:val="006E4E81"/>
    <w:rsid w:val="00707F7D"/>
    <w:rsid w:val="00717EC5"/>
    <w:rsid w:val="00755D8B"/>
    <w:rsid w:val="00762A1F"/>
    <w:rsid w:val="00763787"/>
    <w:rsid w:val="00784615"/>
    <w:rsid w:val="00793D5F"/>
    <w:rsid w:val="007A0C22"/>
    <w:rsid w:val="007A0CA5"/>
    <w:rsid w:val="007A57F2"/>
    <w:rsid w:val="007B1333"/>
    <w:rsid w:val="007F4AEB"/>
    <w:rsid w:val="007F75B2"/>
    <w:rsid w:val="008043C4"/>
    <w:rsid w:val="00831B1B"/>
    <w:rsid w:val="00855FB3"/>
    <w:rsid w:val="00861D0E"/>
    <w:rsid w:val="00867569"/>
    <w:rsid w:val="008772B6"/>
    <w:rsid w:val="00885C0D"/>
    <w:rsid w:val="008A750A"/>
    <w:rsid w:val="008B3970"/>
    <w:rsid w:val="008C384C"/>
    <w:rsid w:val="008D0F11"/>
    <w:rsid w:val="008F73B4"/>
    <w:rsid w:val="009035E8"/>
    <w:rsid w:val="00953416"/>
    <w:rsid w:val="00971374"/>
    <w:rsid w:val="009B55B1"/>
    <w:rsid w:val="009C4D55"/>
    <w:rsid w:val="009E39C5"/>
    <w:rsid w:val="00A010A7"/>
    <w:rsid w:val="00A07BA7"/>
    <w:rsid w:val="00A17409"/>
    <w:rsid w:val="00A4343D"/>
    <w:rsid w:val="00A502F1"/>
    <w:rsid w:val="00A70A83"/>
    <w:rsid w:val="00A81EB3"/>
    <w:rsid w:val="00AB6196"/>
    <w:rsid w:val="00AC3140"/>
    <w:rsid w:val="00AC5FB0"/>
    <w:rsid w:val="00B00C1D"/>
    <w:rsid w:val="00B632CC"/>
    <w:rsid w:val="00BA12F1"/>
    <w:rsid w:val="00BA439F"/>
    <w:rsid w:val="00BA6370"/>
    <w:rsid w:val="00C269D4"/>
    <w:rsid w:val="00C40C71"/>
    <w:rsid w:val="00C4160D"/>
    <w:rsid w:val="00C44687"/>
    <w:rsid w:val="00C8406E"/>
    <w:rsid w:val="00CB2709"/>
    <w:rsid w:val="00CB6F89"/>
    <w:rsid w:val="00CE228C"/>
    <w:rsid w:val="00CE71D9"/>
    <w:rsid w:val="00CF545B"/>
    <w:rsid w:val="00D209A7"/>
    <w:rsid w:val="00D23929"/>
    <w:rsid w:val="00D27D69"/>
    <w:rsid w:val="00D33041"/>
    <w:rsid w:val="00D448C2"/>
    <w:rsid w:val="00D666C3"/>
    <w:rsid w:val="00D811AB"/>
    <w:rsid w:val="00DF47FE"/>
    <w:rsid w:val="00E0156A"/>
    <w:rsid w:val="00E1630A"/>
    <w:rsid w:val="00E26704"/>
    <w:rsid w:val="00E31980"/>
    <w:rsid w:val="00E6423C"/>
    <w:rsid w:val="00E71483"/>
    <w:rsid w:val="00E93830"/>
    <w:rsid w:val="00E93E0E"/>
    <w:rsid w:val="00EB1A25"/>
    <w:rsid w:val="00EB1ED3"/>
    <w:rsid w:val="00EE70B7"/>
    <w:rsid w:val="00F223F8"/>
    <w:rsid w:val="00F314B7"/>
    <w:rsid w:val="00F83C49"/>
    <w:rsid w:val="00F84CF6"/>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F9556E2D-FF6F-4272-A8A8-40482A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qFormat/>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qFormat/>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F223F8"/>
    <w:pPr>
      <w:pBdr>
        <w:top w:val="nil"/>
      </w:pBdr>
      <w:suppressAutoHyphens/>
      <w:spacing w:before="0"/>
      <w:jc w:val="both"/>
    </w:pPr>
    <w:rPr>
      <w:i/>
      <w:lang w:val="en-GB"/>
    </w:rPr>
  </w:style>
  <w:style w:type="character" w:styleId="Siln">
    <w:name w:val="Strong"/>
    <w:uiPriority w:val="22"/>
    <w:qFormat/>
    <w:rsid w:val="00F223F8"/>
    <w:rPr>
      <w:b/>
      <w:bCs/>
    </w:rPr>
  </w:style>
  <w:style w:type="character" w:customStyle="1" w:styleId="markedcontent">
    <w:name w:val="markedcontent"/>
    <w:basedOn w:val="Standardnpsmoodstavce"/>
    <w:qFormat/>
    <w:rsid w:val="00A010A7"/>
  </w:style>
  <w:style w:type="table" w:styleId="Mkatabulky">
    <w:name w:val="Table Grid"/>
    <w:basedOn w:val="Normlntabulka"/>
    <w:uiPriority w:val="39"/>
    <w:rsid w:val="003331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Standardnpsmoodstavce"/>
    <w:qFormat/>
    <w:rsid w:val="00197E3C"/>
  </w:style>
  <w:style w:type="character" w:customStyle="1" w:styleId="q4iawc">
    <w:name w:val="q4iawc"/>
    <w:basedOn w:val="Standardnpsmoodstavce"/>
    <w:qFormat/>
    <w:rsid w:val="0019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nata.vodickova@czso.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edlerova1875\Documents\Rychl&#233;Informace\220208&#353;ablony\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F8C7-2B19-4B59-B4CB-F6F89E51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TotalTime>
  <Pages>1</Pages>
  <Words>952</Words>
  <Characters>5620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6559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fiedlerova1875</dc:creator>
  <cp:lastModifiedBy>Mácová Marcela</cp:lastModifiedBy>
  <cp:revision>3</cp:revision>
  <dcterms:created xsi:type="dcterms:W3CDTF">2022-08-08T08:18:00Z</dcterms:created>
  <dcterms:modified xsi:type="dcterms:W3CDTF">2022-08-08T08:20:00Z</dcterms:modified>
</cp:coreProperties>
</file>