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751ED" w14:textId="36CC7227" w:rsidR="00585D47" w:rsidRDefault="003E1D99" w:rsidP="00585D47">
      <w:pPr>
        <w:pStyle w:val="Datum"/>
      </w:pPr>
      <w:r>
        <w:t>1</w:t>
      </w:r>
      <w:r w:rsidR="00585D47">
        <w:t xml:space="preserve">. </w:t>
      </w:r>
      <w:r>
        <w:t>7</w:t>
      </w:r>
      <w:r w:rsidR="00A06146">
        <w:t>. 2025</w:t>
      </w:r>
    </w:p>
    <w:p w14:paraId="3E0EBCDA" w14:textId="0C76BCC4" w:rsidR="00585D47" w:rsidRDefault="00585D47" w:rsidP="00585D47">
      <w:pPr>
        <w:pStyle w:val="Podtitulek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 xml:space="preserve">Hospodaření vládních institucí </w:t>
      </w:r>
      <w:r w:rsidR="00A06146">
        <w:rPr>
          <w:color w:val="BD1B21"/>
          <w:sz w:val="32"/>
          <w:szCs w:val="32"/>
        </w:rPr>
        <w:t>skončilo</w:t>
      </w:r>
      <w:r>
        <w:rPr>
          <w:color w:val="BD1B21"/>
          <w:sz w:val="32"/>
          <w:szCs w:val="32"/>
        </w:rPr>
        <w:t xml:space="preserve"> v deficitu</w:t>
      </w:r>
    </w:p>
    <w:p w14:paraId="566FC32C" w14:textId="6A0C5A73" w:rsidR="00585D47" w:rsidRDefault="00585D47" w:rsidP="00585D47">
      <w:pPr>
        <w:pStyle w:val="Podtitulek"/>
      </w:pPr>
      <w:r>
        <w:t xml:space="preserve">Deficit a dluh vládních institucí – </w:t>
      </w:r>
      <w:r w:rsidR="00372530">
        <w:t>1</w:t>
      </w:r>
      <w:r>
        <w:t>. čtvrtletí 202</w:t>
      </w:r>
      <w:r w:rsidR="00372530">
        <w:t>5</w:t>
      </w:r>
    </w:p>
    <w:p w14:paraId="189F4FDF" w14:textId="459BB4CE" w:rsidR="00585D47" w:rsidRDefault="00585D47" w:rsidP="00585D47">
      <w:pPr>
        <w:rPr>
          <w:b/>
        </w:rPr>
      </w:pPr>
      <w:r w:rsidRPr="002A63D2">
        <w:rPr>
          <w:b/>
        </w:rPr>
        <w:t>Saldo hospodaření sekto</w:t>
      </w:r>
      <w:r>
        <w:rPr>
          <w:b/>
        </w:rPr>
        <w:t>ru vládních institucí skončilo v </w:t>
      </w:r>
      <w:r w:rsidR="00372530">
        <w:rPr>
          <w:b/>
        </w:rPr>
        <w:t>prvním</w:t>
      </w:r>
      <w:r>
        <w:rPr>
          <w:b/>
        </w:rPr>
        <w:t xml:space="preserve"> čtvrtletí roku 202</w:t>
      </w:r>
      <w:r w:rsidR="00372530">
        <w:rPr>
          <w:b/>
        </w:rPr>
        <w:t>5</w:t>
      </w:r>
      <w:r w:rsidRPr="002A63D2">
        <w:rPr>
          <w:b/>
        </w:rPr>
        <w:t xml:space="preserve"> </w:t>
      </w:r>
      <w:r>
        <w:rPr>
          <w:b/>
        </w:rPr>
        <w:t xml:space="preserve">v deficitu odpovídajícímu úrovni </w:t>
      </w:r>
      <w:r w:rsidR="00B25FE9">
        <w:rPr>
          <w:b/>
        </w:rPr>
        <w:t>3</w:t>
      </w:r>
      <w:r w:rsidR="004B1361">
        <w:rPr>
          <w:b/>
        </w:rPr>
        <w:t>,7</w:t>
      </w:r>
      <w:r>
        <w:rPr>
          <w:b/>
        </w:rPr>
        <w:t xml:space="preserve"> % HDP. </w:t>
      </w:r>
      <w:r w:rsidRPr="00811BF3">
        <w:rPr>
          <w:b/>
        </w:rPr>
        <w:t xml:space="preserve">Míra zadlužení sektoru vládních institucí </w:t>
      </w:r>
      <w:r w:rsidR="00C10F11">
        <w:rPr>
          <w:b/>
        </w:rPr>
        <w:t>dosáhla</w:t>
      </w:r>
      <w:r w:rsidRPr="007F4CBE">
        <w:rPr>
          <w:b/>
        </w:rPr>
        <w:t xml:space="preserve"> </w:t>
      </w:r>
      <w:r w:rsidRPr="004B1361">
        <w:rPr>
          <w:b/>
        </w:rPr>
        <w:t>4</w:t>
      </w:r>
      <w:r w:rsidR="004B1361" w:rsidRPr="004B1361">
        <w:rPr>
          <w:b/>
        </w:rPr>
        <w:t>3</w:t>
      </w:r>
      <w:r w:rsidRPr="004B1361">
        <w:rPr>
          <w:b/>
        </w:rPr>
        <w:t>,</w:t>
      </w:r>
      <w:r w:rsidR="00372530">
        <w:rPr>
          <w:b/>
        </w:rPr>
        <w:t>4</w:t>
      </w:r>
      <w:r w:rsidRPr="007F4CBE">
        <w:rPr>
          <w:b/>
        </w:rPr>
        <w:t xml:space="preserve"> % HDP</w:t>
      </w:r>
      <w:r w:rsidRPr="00F100EB">
        <w:rPr>
          <w:b/>
        </w:rPr>
        <w:t>.</w:t>
      </w:r>
    </w:p>
    <w:p w14:paraId="32C7CC2B" w14:textId="77777777" w:rsidR="00585D47" w:rsidRDefault="00585D47" w:rsidP="00585D47"/>
    <w:p w14:paraId="35F06344" w14:textId="5A302285" w:rsidR="00585D47" w:rsidRDefault="00585D47" w:rsidP="00585D47">
      <w:r>
        <w:t xml:space="preserve">Schodek hospodaření vládních institucí v </w:t>
      </w:r>
      <w:r w:rsidR="00372530">
        <w:t>1</w:t>
      </w:r>
      <w:r>
        <w:t>. čtvrtletí roku 202</w:t>
      </w:r>
      <w:r w:rsidR="00372530">
        <w:t>5</w:t>
      </w:r>
      <w:r>
        <w:t xml:space="preserve"> dosáhl </w:t>
      </w:r>
      <w:r w:rsidR="00B25FE9">
        <w:t>7</w:t>
      </w:r>
      <w:r w:rsidR="00970318">
        <w:t>3</w:t>
      </w:r>
      <w:r w:rsidR="00B25FE9">
        <w:t>,</w:t>
      </w:r>
      <w:r w:rsidR="00970318">
        <w:t>6</w:t>
      </w:r>
      <w:r>
        <w:t xml:space="preserve"> mld. Kč, což v meziročním srovnání znamená </w:t>
      </w:r>
      <w:r w:rsidR="00970318">
        <w:t>zhoršen</w:t>
      </w:r>
      <w:r w:rsidR="004B1361">
        <w:t>í</w:t>
      </w:r>
      <w:r>
        <w:t xml:space="preserve"> o </w:t>
      </w:r>
      <w:r w:rsidR="00970318">
        <w:t>10,7</w:t>
      </w:r>
      <w:r>
        <w:t xml:space="preserve"> mld. Kč. Ústřední vládní instituce hospodařily se schodkem </w:t>
      </w:r>
      <w:r w:rsidR="00970318">
        <w:t>105,7</w:t>
      </w:r>
      <w:r>
        <w:t xml:space="preserve"> mld. Kč, který se meziročně </w:t>
      </w:r>
      <w:r w:rsidR="00A06146">
        <w:t>z</w:t>
      </w:r>
      <w:r w:rsidR="00970318">
        <w:t>horšil</w:t>
      </w:r>
      <w:r>
        <w:t xml:space="preserve"> o </w:t>
      </w:r>
      <w:r w:rsidR="00970318">
        <w:t>12,0</w:t>
      </w:r>
      <w:r>
        <w:t xml:space="preserve"> mld. Kč. </w:t>
      </w:r>
      <w:r w:rsidR="003D07D5">
        <w:t>H</w:t>
      </w:r>
      <w:r>
        <w:t>ospodaření místních vládních institucí</w:t>
      </w:r>
      <w:r w:rsidR="003D07D5">
        <w:t xml:space="preserve"> skončilo v</w:t>
      </w:r>
      <w:r w:rsidR="00A06146">
        <w:t> </w:t>
      </w:r>
      <w:r w:rsidR="00970318">
        <w:t>přebytku</w:t>
      </w:r>
      <w:r w:rsidR="003D07D5">
        <w:t xml:space="preserve"> ve výši </w:t>
      </w:r>
      <w:r w:rsidR="00970318">
        <w:t>33,8</w:t>
      </w:r>
      <w:r>
        <w:t xml:space="preserve"> mld. Kč</w:t>
      </w:r>
      <w:r w:rsidR="003D07D5">
        <w:t>, což</w:t>
      </w:r>
      <w:r w:rsidR="006C58FE">
        <w:t xml:space="preserve"> v</w:t>
      </w:r>
      <w:r>
        <w:t xml:space="preserve"> meziročním srovnání </w:t>
      </w:r>
      <w:r w:rsidR="003D07D5">
        <w:t xml:space="preserve">znamená </w:t>
      </w:r>
      <w:r w:rsidR="002A5957">
        <w:t xml:space="preserve">mírné </w:t>
      </w:r>
      <w:r w:rsidR="00A06146">
        <w:t>zhoršen</w:t>
      </w:r>
      <w:r w:rsidR="003D07D5">
        <w:t xml:space="preserve">í o </w:t>
      </w:r>
      <w:r w:rsidR="002A5957">
        <w:t>0,5</w:t>
      </w:r>
      <w:r w:rsidR="003D07D5">
        <w:t xml:space="preserve"> mld. Kč</w:t>
      </w:r>
      <w:r>
        <w:t xml:space="preserve">. Hospodaření fondů sociálního zabezpečení (zdravotních pojišťoven) skončilo v deficitu </w:t>
      </w:r>
      <w:r w:rsidR="002A5957">
        <w:t>1,7</w:t>
      </w:r>
      <w:r>
        <w:t xml:space="preserve"> mld. Kč. </w:t>
      </w:r>
    </w:p>
    <w:p w14:paraId="621CF2C8" w14:textId="77777777" w:rsidR="00585D47" w:rsidRDefault="00585D47" w:rsidP="00585D47"/>
    <w:p w14:paraId="0B9ABCA6" w14:textId="0BCF16DF" w:rsidR="00585D47" w:rsidRDefault="00585D47" w:rsidP="00585D47">
      <w:r w:rsidRPr="00E42E85">
        <w:rPr>
          <w:i/>
        </w:rPr>
        <w:t>„</w:t>
      </w:r>
      <w:r w:rsidR="00006234">
        <w:rPr>
          <w:i/>
        </w:rPr>
        <w:t>V prvním čtvrtletí roku 2025 sektor vládních institucí hospodařil se schodkem ve výši 73,6 </w:t>
      </w:r>
      <w:r w:rsidR="00FA4585">
        <w:rPr>
          <w:i/>
        </w:rPr>
        <w:t>mld.</w:t>
      </w:r>
      <w:r w:rsidR="00EB0A28">
        <w:rPr>
          <w:i/>
        </w:rPr>
        <w:t> </w:t>
      </w:r>
      <w:r w:rsidR="00FA4585">
        <w:rPr>
          <w:i/>
        </w:rPr>
        <w:t xml:space="preserve">Kč, </w:t>
      </w:r>
      <w:r w:rsidR="00C10F11" w:rsidRPr="00FA4585">
        <w:rPr>
          <w:i/>
        </w:rPr>
        <w:t xml:space="preserve">což v relativním vyjádření </w:t>
      </w:r>
      <w:r w:rsidR="00EB0A28">
        <w:rPr>
          <w:i/>
        </w:rPr>
        <w:t>představuje</w:t>
      </w:r>
      <w:r w:rsidR="00C10F11" w:rsidRPr="00FA4585">
        <w:rPr>
          <w:i/>
        </w:rPr>
        <w:t xml:space="preserve"> </w:t>
      </w:r>
      <w:r w:rsidR="00FA4585" w:rsidRPr="00FA4585">
        <w:rPr>
          <w:i/>
        </w:rPr>
        <w:t>3</w:t>
      </w:r>
      <w:r w:rsidR="00C10F11" w:rsidRPr="00FA4585">
        <w:rPr>
          <w:i/>
        </w:rPr>
        <w:t>,</w:t>
      </w:r>
      <w:r w:rsidR="007813EA" w:rsidRPr="00FA4585">
        <w:rPr>
          <w:i/>
        </w:rPr>
        <w:t>7</w:t>
      </w:r>
      <w:r w:rsidR="00C10F11" w:rsidRPr="00FA4585">
        <w:rPr>
          <w:i/>
        </w:rPr>
        <w:t xml:space="preserve"> % HDP.</w:t>
      </w:r>
      <w:r w:rsidR="008B410F" w:rsidRPr="00FA4585">
        <w:rPr>
          <w:i/>
        </w:rPr>
        <w:t xml:space="preserve"> </w:t>
      </w:r>
      <w:r w:rsidR="00C00896" w:rsidRPr="00FA4585">
        <w:rPr>
          <w:i/>
        </w:rPr>
        <w:t>Relativní m</w:t>
      </w:r>
      <w:r w:rsidRPr="00FA4585">
        <w:rPr>
          <w:i/>
        </w:rPr>
        <w:t xml:space="preserve">íra zadlužení sektoru vládních institucí </w:t>
      </w:r>
      <w:r w:rsidR="00C00896" w:rsidRPr="00FA4585">
        <w:rPr>
          <w:i/>
        </w:rPr>
        <w:t xml:space="preserve">se meziročně </w:t>
      </w:r>
      <w:r w:rsidR="00006234">
        <w:rPr>
          <w:i/>
        </w:rPr>
        <w:t>zvýšila o 0,3 p. b.</w:t>
      </w:r>
      <w:r w:rsidR="00655289">
        <w:rPr>
          <w:i/>
        </w:rPr>
        <w:t>,</w:t>
      </w:r>
      <w:r w:rsidRPr="006A7583">
        <w:rPr>
          <w:i/>
        </w:rPr>
        <w:t>“</w:t>
      </w:r>
      <w:r>
        <w:t xml:space="preserve"> uvedl</w:t>
      </w:r>
      <w:r w:rsidR="00C00896">
        <w:t>a</w:t>
      </w:r>
      <w:r>
        <w:t xml:space="preserve"> </w:t>
      </w:r>
      <w:r w:rsidR="00DD55FF" w:rsidRPr="00AC528C">
        <w:t>Helen</w:t>
      </w:r>
      <w:r w:rsidR="00DD55FF">
        <w:t>a</w:t>
      </w:r>
      <w:r w:rsidR="00DD55FF" w:rsidRPr="00AC528C">
        <w:t xml:space="preserve"> Houžvičkov</w:t>
      </w:r>
      <w:r w:rsidR="00DD55FF">
        <w:t>á</w:t>
      </w:r>
      <w:r w:rsidR="00DD55FF" w:rsidRPr="00AC528C">
        <w:t>, ředitelk</w:t>
      </w:r>
      <w:r w:rsidR="00DD55FF">
        <w:t>a</w:t>
      </w:r>
      <w:r w:rsidR="00DD55FF" w:rsidRPr="00AC528C">
        <w:t xml:space="preserve"> odboru vládních</w:t>
      </w:r>
      <w:r w:rsidR="00DD55FF">
        <w:t xml:space="preserve"> </w:t>
      </w:r>
      <w:r w:rsidR="00DD55FF" w:rsidRPr="00AC528C">
        <w:t>a</w:t>
      </w:r>
      <w:r w:rsidR="00DD55FF">
        <w:t> </w:t>
      </w:r>
      <w:r w:rsidR="00DD55FF" w:rsidRPr="00AC528C">
        <w:t>finančních účtů ČSÚ</w:t>
      </w:r>
      <w:r>
        <w:t>.</w:t>
      </w:r>
    </w:p>
    <w:p w14:paraId="4A43E58D" w14:textId="77777777" w:rsidR="00585D47" w:rsidRDefault="00585D47" w:rsidP="00585D47"/>
    <w:p w14:paraId="29CA235F" w14:textId="653653C2" w:rsidR="00585D47" w:rsidRPr="0037782A" w:rsidRDefault="00585D47" w:rsidP="00585D47">
      <w:pPr>
        <w:pStyle w:val="TabulkaGraf"/>
      </w:pPr>
      <w:r w:rsidRPr="0037782A">
        <w:t xml:space="preserve">Saldo hospodaření sektoru vládních institucí, </w:t>
      </w:r>
      <w:r w:rsidR="00372530">
        <w:t>1</w:t>
      </w:r>
      <w:r w:rsidRPr="0037782A">
        <w:t>. čtvrtletí 20</w:t>
      </w:r>
      <w:r>
        <w:t>2</w:t>
      </w:r>
      <w:r w:rsidR="00372530">
        <w:t>3</w:t>
      </w:r>
      <w:r w:rsidRPr="0037782A">
        <w:t xml:space="preserve"> – </w:t>
      </w:r>
      <w:r w:rsidR="00372530">
        <w:t>1</w:t>
      </w:r>
      <w:r w:rsidRPr="0037782A">
        <w:t>. čtvrtletí 20</w:t>
      </w:r>
      <w:r>
        <w:t>2</w:t>
      </w:r>
      <w:r w:rsidR="00372530">
        <w:t>5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72530" w:rsidRPr="0037782A" w14:paraId="56F19FDD" w14:textId="77777777" w:rsidTr="00770676">
        <w:trPr>
          <w:trHeight w:val="4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C27C" w14:textId="77777777" w:rsidR="00372530" w:rsidRPr="0037782A" w:rsidRDefault="00372530" w:rsidP="003725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37782A">
              <w:rPr>
                <w:rFonts w:eastAsia="Times New Roman" w:cs="Arial"/>
                <w:color w:val="000000"/>
                <w:sz w:val="18"/>
                <w:szCs w:val="18"/>
              </w:rPr>
              <w:t>Období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FA1F" w14:textId="094B8B40" w:rsidR="00372530" w:rsidRDefault="00372530" w:rsidP="00372530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1.Q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4065" w14:textId="089CD134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2.Q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20F6" w14:textId="7385B423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3.Q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2EAC" w14:textId="5C3096A1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4.Q 2023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43E4" w14:textId="1FBBBDDD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1.Q 2024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5FA3" w14:textId="5015D8E4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2.Q 2024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D9F1" w14:textId="1F54CA8D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3.Q 2024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B157" w14:textId="69894A0D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4.Q 2024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E38B0" w14:textId="159B5DE9" w:rsidR="00372530" w:rsidRDefault="00372530" w:rsidP="0037253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1.Q 2025</w:t>
            </w:r>
            <w:proofErr w:type="gramEnd"/>
          </w:p>
        </w:tc>
      </w:tr>
      <w:tr w:rsidR="00372530" w:rsidRPr="0037782A" w14:paraId="4EFB7792" w14:textId="77777777" w:rsidTr="00770676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EB8A8" w14:textId="77777777" w:rsidR="00372530" w:rsidRPr="0037782A" w:rsidRDefault="00372530" w:rsidP="003725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37782A">
              <w:rPr>
                <w:rFonts w:eastAsia="Times New Roman" w:cs="Arial"/>
                <w:color w:val="000000"/>
                <w:sz w:val="18"/>
                <w:szCs w:val="18"/>
              </w:rPr>
              <w:t>mld. Kč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EB091" w14:textId="1CE985BE" w:rsidR="00372530" w:rsidRDefault="00372530" w:rsidP="00372530">
            <w:pPr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-111,0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729C" w14:textId="6E6EC368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-15,4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18C88" w14:textId="28732A62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-45,0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30A6" w14:textId="28F0DF14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-114,7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11DE" w14:textId="21A30DD3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-62,8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4903" w14:textId="0BF59727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BF059" w14:textId="11481D4B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-35,7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74A0" w14:textId="752BC13A" w:rsidR="00372530" w:rsidRDefault="00372530" w:rsidP="00372530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-77,7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70659" w14:textId="7361646B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-73,6</w:t>
            </w:r>
          </w:p>
        </w:tc>
      </w:tr>
      <w:tr w:rsidR="00372530" w:rsidRPr="0037782A" w14:paraId="26501447" w14:textId="77777777" w:rsidTr="00770676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703F8" w14:textId="77777777" w:rsidR="00372530" w:rsidRPr="0037782A" w:rsidRDefault="00372530" w:rsidP="00372530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37782A">
              <w:rPr>
                <w:rFonts w:eastAsia="Times New Roman" w:cs="Arial"/>
                <w:color w:val="000000"/>
                <w:sz w:val="18"/>
                <w:szCs w:val="18"/>
              </w:rPr>
              <w:t>% HDP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FF21A" w14:textId="59DF4608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-6,2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77AFB" w14:textId="26D6B9C0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B71E" w14:textId="2EBE67EE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BBC3" w14:textId="4DFCAD18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5F4B8" w14:textId="3969D28A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9F841" w14:textId="4FD82E2B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C569" w14:textId="69A1ACCC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00EC" w14:textId="0F967AFB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24EA" w14:textId="5236E007" w:rsidR="00372530" w:rsidRDefault="00372530" w:rsidP="00372530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-3,7</w:t>
            </w:r>
          </w:p>
        </w:tc>
      </w:tr>
    </w:tbl>
    <w:p w14:paraId="6926B797" w14:textId="77777777" w:rsidR="00585D47" w:rsidRPr="000A18CB" w:rsidRDefault="00585D47" w:rsidP="00585D47">
      <w:pPr>
        <w:rPr>
          <w:i/>
        </w:rPr>
      </w:pPr>
      <w:r w:rsidRPr="0037782A">
        <w:rPr>
          <w:i/>
        </w:rPr>
        <w:t xml:space="preserve">Poznámka: Údaje v tabulce nejsou sezónně očištěny, nelze je srovnávat </w:t>
      </w:r>
      <w:proofErr w:type="spellStart"/>
      <w:r w:rsidRPr="0037782A">
        <w:rPr>
          <w:i/>
        </w:rPr>
        <w:t>mezičtvrtletně</w:t>
      </w:r>
      <w:proofErr w:type="spellEnd"/>
      <w:r w:rsidRPr="0037782A">
        <w:rPr>
          <w:i/>
        </w:rPr>
        <w:t>.</w:t>
      </w:r>
    </w:p>
    <w:p w14:paraId="0D5E06DB" w14:textId="77777777" w:rsidR="00585D47" w:rsidRDefault="00585D47" w:rsidP="00585D47"/>
    <w:p w14:paraId="6B39C1B8" w14:textId="30389999" w:rsidR="00585D47" w:rsidRDefault="00585D47" w:rsidP="00585D47">
      <w:r w:rsidRPr="00E736BE">
        <w:t xml:space="preserve">Celkové příjmy sektoru vládních institucí </w:t>
      </w:r>
      <w:r>
        <w:t>stouply</w:t>
      </w:r>
      <w:r w:rsidRPr="00174C88">
        <w:t xml:space="preserve"> meziročně o </w:t>
      </w:r>
      <w:r w:rsidR="00772775">
        <w:t>4,5</w:t>
      </w:r>
      <w:r w:rsidRPr="00174C88">
        <w:t xml:space="preserve"> %</w:t>
      </w:r>
      <w:r>
        <w:t xml:space="preserve"> a dosáhly </w:t>
      </w:r>
      <w:r w:rsidR="00772775">
        <w:t>39,8</w:t>
      </w:r>
      <w:r>
        <w:t xml:space="preserve"> % HDP.</w:t>
      </w:r>
      <w:r w:rsidRPr="00E736BE">
        <w:t xml:space="preserve"> Na</w:t>
      </w:r>
      <w:r>
        <w:t> </w:t>
      </w:r>
      <w:r w:rsidRPr="00E736BE">
        <w:t xml:space="preserve">meziročním </w:t>
      </w:r>
      <w:r>
        <w:t>růstu</w:t>
      </w:r>
      <w:r w:rsidRPr="00E736BE">
        <w:t xml:space="preserve"> příjmů se </w:t>
      </w:r>
      <w:r>
        <w:t xml:space="preserve">podílely </w:t>
      </w:r>
      <w:r w:rsidRPr="00E736BE">
        <w:t xml:space="preserve">zejména </w:t>
      </w:r>
      <w:r>
        <w:t>přijaté</w:t>
      </w:r>
      <w:r w:rsidR="009130CB">
        <w:t xml:space="preserve"> sociální příspěvky</w:t>
      </w:r>
      <w:r w:rsidR="00C65E6C">
        <w:t xml:space="preserve"> a</w:t>
      </w:r>
      <w:r w:rsidR="00DE74CA">
        <w:t xml:space="preserve"> přijat</w:t>
      </w:r>
      <w:r w:rsidR="006336BA">
        <w:t>é</w:t>
      </w:r>
      <w:r w:rsidR="00DE74CA">
        <w:t xml:space="preserve"> dan</w:t>
      </w:r>
      <w:r w:rsidR="006336BA">
        <w:t>ě</w:t>
      </w:r>
      <w:r w:rsidR="00DE74CA">
        <w:t xml:space="preserve"> z výroby a dovozu</w:t>
      </w:r>
      <w:r w:rsidR="00633BA0">
        <w:t>.</w:t>
      </w:r>
      <w:r w:rsidR="009130CB">
        <w:t xml:space="preserve"> </w:t>
      </w:r>
      <w:r w:rsidRPr="00E736BE">
        <w:t xml:space="preserve">Celkové výdaje vládních institucí </w:t>
      </w:r>
      <w:r w:rsidRPr="00183B9F">
        <w:t xml:space="preserve">meziročně </w:t>
      </w:r>
      <w:r>
        <w:t xml:space="preserve">vzrostly </w:t>
      </w:r>
      <w:r w:rsidRPr="00FB249A">
        <w:t xml:space="preserve">o </w:t>
      </w:r>
      <w:r w:rsidR="00C65E6C">
        <w:t>5</w:t>
      </w:r>
      <w:r w:rsidR="00CC317B">
        <w:t>,5</w:t>
      </w:r>
      <w:r>
        <w:t> </w:t>
      </w:r>
      <w:r w:rsidRPr="00FB249A">
        <w:t>%</w:t>
      </w:r>
      <w:r>
        <w:t xml:space="preserve"> a dosáhly </w:t>
      </w:r>
      <w:r w:rsidR="00FF6336">
        <w:t>4</w:t>
      </w:r>
      <w:r w:rsidR="00C65E6C">
        <w:t>3</w:t>
      </w:r>
      <w:r w:rsidR="00FF6336">
        <w:t>,</w:t>
      </w:r>
      <w:r w:rsidR="00C65E6C">
        <w:t xml:space="preserve">5 </w:t>
      </w:r>
      <w:r>
        <w:t>% HDP</w:t>
      </w:r>
      <w:r w:rsidRPr="00FB249A">
        <w:t>.</w:t>
      </w:r>
      <w:r w:rsidRPr="00E736BE">
        <w:t xml:space="preserve"> </w:t>
      </w:r>
      <w:r w:rsidR="00C65E6C">
        <w:t>Růst byl zaznamenán především u vyplacených náhrad zaměstnancům, sociálních dávek a dotací</w:t>
      </w:r>
      <w:r>
        <w:t xml:space="preserve">. </w:t>
      </w:r>
    </w:p>
    <w:p w14:paraId="21C99898" w14:textId="77777777" w:rsidR="00585D47" w:rsidRDefault="00585D47" w:rsidP="00585D47"/>
    <w:p w14:paraId="4DEFD6A9" w14:textId="050D0AFC" w:rsidR="00585D47" w:rsidRDefault="00585D47" w:rsidP="00585D47">
      <w:r w:rsidRPr="004627B6">
        <w:t xml:space="preserve">Nominální dluh vládních institucí meziročně </w:t>
      </w:r>
      <w:r>
        <w:t>stoupl</w:t>
      </w:r>
      <w:r w:rsidRPr="004627B6">
        <w:t xml:space="preserve"> </w:t>
      </w:r>
      <w:r w:rsidRPr="00020BFF">
        <w:t xml:space="preserve">o </w:t>
      </w:r>
      <w:r w:rsidR="00F0737F">
        <w:t>202,0</w:t>
      </w:r>
      <w:r w:rsidRPr="00020BFF">
        <w:t xml:space="preserve"> mld. </w:t>
      </w:r>
      <w:r>
        <w:t xml:space="preserve">Kč </w:t>
      </w:r>
      <w:r w:rsidRPr="00020BFF">
        <w:t xml:space="preserve">na </w:t>
      </w:r>
      <w:r>
        <w:t>3</w:t>
      </w:r>
      <w:r w:rsidR="00F0737F">
        <w:t> 539,1</w:t>
      </w:r>
      <w:r>
        <w:t xml:space="preserve"> </w:t>
      </w:r>
      <w:r w:rsidRPr="00020BFF">
        <w:t>mld</w:t>
      </w:r>
      <w:r w:rsidRPr="004627B6">
        <w:t>.</w:t>
      </w:r>
      <w:r>
        <w:t xml:space="preserve"> Kč. </w:t>
      </w:r>
      <w:r w:rsidRPr="00907835">
        <w:t>Míra zadlužení</w:t>
      </w:r>
      <w:r w:rsidRPr="00EF5A70">
        <w:t xml:space="preserve"> sektoru vládn</w:t>
      </w:r>
      <w:r>
        <w:t xml:space="preserve">ích institucí </w:t>
      </w:r>
      <w:r w:rsidR="00066BE1" w:rsidRPr="00020BFF">
        <w:t xml:space="preserve">meziročně </w:t>
      </w:r>
      <w:r w:rsidR="00066BE1">
        <w:t>stoupla</w:t>
      </w:r>
      <w:r w:rsidR="00066BE1" w:rsidRPr="00020BFF">
        <w:t xml:space="preserve"> z</w:t>
      </w:r>
      <w:r w:rsidR="00066BE1">
        <w:t>e 4</w:t>
      </w:r>
      <w:r w:rsidR="00F0737F">
        <w:t>3,1</w:t>
      </w:r>
      <w:r w:rsidR="00066BE1" w:rsidRPr="00020BFF">
        <w:t xml:space="preserve"> % na 4</w:t>
      </w:r>
      <w:r w:rsidR="00066BE1">
        <w:t>3,</w:t>
      </w:r>
      <w:r w:rsidR="00F0737F">
        <w:t>4</w:t>
      </w:r>
      <w:r w:rsidR="00066BE1" w:rsidRPr="00020BFF">
        <w:t xml:space="preserve"> % </w:t>
      </w:r>
      <w:r w:rsidRPr="00020BFF">
        <w:t>HDP</w:t>
      </w:r>
      <w:r w:rsidRPr="00EF5A70">
        <w:t xml:space="preserve">, </w:t>
      </w:r>
      <w:r>
        <w:t xml:space="preserve">vliv nominální změny dluhu </w:t>
      </w:r>
      <w:r w:rsidRPr="00020BFF">
        <w:t>činil</w:t>
      </w:r>
      <w:r>
        <w:t xml:space="preserve"> + </w:t>
      </w:r>
      <w:r w:rsidR="00F0737F">
        <w:t>2,5</w:t>
      </w:r>
      <w:r w:rsidRPr="00020BFF">
        <w:t xml:space="preserve"> p.</w:t>
      </w:r>
      <w:r>
        <w:t xml:space="preserve"> </w:t>
      </w:r>
      <w:r w:rsidRPr="00020BFF">
        <w:t>b</w:t>
      </w:r>
      <w:r>
        <w:t>.,</w:t>
      </w:r>
      <w:r w:rsidRPr="00EF5A70">
        <w:t xml:space="preserve"> přičemž </w:t>
      </w:r>
      <w:r>
        <w:t>rostoucí</w:t>
      </w:r>
      <w:r w:rsidRPr="004627B6">
        <w:t xml:space="preserve"> nominální HDP přispěl k </w:t>
      </w:r>
      <w:r>
        <w:t>poklesu</w:t>
      </w:r>
      <w:r w:rsidRPr="004627B6">
        <w:t xml:space="preserve"> zadlužení </w:t>
      </w:r>
      <w:r w:rsidRPr="00020BFF">
        <w:t>o</w:t>
      </w:r>
      <w:r>
        <w:t> </w:t>
      </w:r>
      <w:r w:rsidR="00C566AC">
        <w:t>- 2,</w:t>
      </w:r>
      <w:r w:rsidR="00F0737F">
        <w:t>2</w:t>
      </w:r>
      <w:r>
        <w:t> p. b.</w:t>
      </w:r>
      <w:r w:rsidRPr="004627B6">
        <w:t xml:space="preserve"> </w:t>
      </w:r>
      <w:proofErr w:type="spellStart"/>
      <w:r>
        <w:t>M</w:t>
      </w:r>
      <w:r w:rsidRPr="004627B6">
        <w:t>ezičtvrtletně</w:t>
      </w:r>
      <w:proofErr w:type="spellEnd"/>
      <w:r>
        <w:t xml:space="preserve"> dluh </w:t>
      </w:r>
      <w:r w:rsidR="00066BE1">
        <w:t>stoupl</w:t>
      </w:r>
      <w:r>
        <w:t xml:space="preserve"> </w:t>
      </w:r>
      <w:r w:rsidRPr="00020BFF">
        <w:t xml:space="preserve">o </w:t>
      </w:r>
      <w:r w:rsidR="00C45F93">
        <w:t>4</w:t>
      </w:r>
      <w:r w:rsidR="00F0737F">
        <w:t>7</w:t>
      </w:r>
      <w:r w:rsidR="00C45F93">
        <w:t>,</w:t>
      </w:r>
      <w:r w:rsidR="00F0737F">
        <w:t>2</w:t>
      </w:r>
      <w:r w:rsidRPr="00020BFF">
        <w:t xml:space="preserve"> mld. Kč</w:t>
      </w:r>
      <w:r>
        <w:t>, nominální změna dluhu činila</w:t>
      </w:r>
      <w:r w:rsidR="00066BE1">
        <w:t xml:space="preserve"> +</w:t>
      </w:r>
      <w:r w:rsidR="00095764">
        <w:t> </w:t>
      </w:r>
      <w:r w:rsidR="00C45F93">
        <w:t>0</w:t>
      </w:r>
      <w:r>
        <w:t>,</w:t>
      </w:r>
      <w:r w:rsidR="00F0737F">
        <w:t>6</w:t>
      </w:r>
      <w:r>
        <w:t xml:space="preserve"> p. b., zatímco růst nominálního </w:t>
      </w:r>
      <w:r w:rsidRPr="004627B6">
        <w:t xml:space="preserve">HDP </w:t>
      </w:r>
      <w:r>
        <w:t>přispěl k poklesu zadlužení o</w:t>
      </w:r>
      <w:r w:rsidRPr="004627B6">
        <w:t xml:space="preserve"> </w:t>
      </w:r>
      <w:r>
        <w:t>- 0,</w:t>
      </w:r>
      <w:r w:rsidR="00F0737F">
        <w:t>5</w:t>
      </w:r>
      <w:r w:rsidRPr="003316B5">
        <w:t xml:space="preserve"> p.</w:t>
      </w:r>
      <w:r>
        <w:t xml:space="preserve"> </w:t>
      </w:r>
      <w:r w:rsidRPr="003316B5">
        <w:t>b.</w:t>
      </w:r>
      <w:r>
        <w:t xml:space="preserve">, což ve výsledku </w:t>
      </w:r>
      <w:proofErr w:type="spellStart"/>
      <w:r>
        <w:t>mezičtvrtletně</w:t>
      </w:r>
      <w:proofErr w:type="spellEnd"/>
      <w:r>
        <w:t xml:space="preserve"> vedlo ke </w:t>
      </w:r>
      <w:r w:rsidR="004A408A">
        <w:t>zvýšení</w:t>
      </w:r>
      <w:r w:rsidR="00B0582A">
        <w:t xml:space="preserve"> </w:t>
      </w:r>
      <w:r w:rsidRPr="004627B6">
        <w:t xml:space="preserve">míry zadlužení </w:t>
      </w:r>
      <w:r w:rsidRPr="00020BFF">
        <w:t>o</w:t>
      </w:r>
      <w:r>
        <w:t> </w:t>
      </w:r>
      <w:r w:rsidR="0023352E">
        <w:t>0,</w:t>
      </w:r>
      <w:r w:rsidR="00C45F93">
        <w:t>1</w:t>
      </w:r>
      <w:r>
        <w:t xml:space="preserve"> </w:t>
      </w:r>
      <w:r w:rsidRPr="00020BFF">
        <w:t>p.</w:t>
      </w:r>
      <w:r>
        <w:t xml:space="preserve"> </w:t>
      </w:r>
      <w:r w:rsidRPr="00020BFF">
        <w:t>b</w:t>
      </w:r>
      <w:r w:rsidRPr="004627B6">
        <w:t>.</w:t>
      </w:r>
    </w:p>
    <w:p w14:paraId="050AEA43" w14:textId="77777777" w:rsidR="00585D47" w:rsidRDefault="00585D47" w:rsidP="00585D47"/>
    <w:p w14:paraId="72388EF5" w14:textId="2739D24E" w:rsidR="00585D47" w:rsidRDefault="00585D47" w:rsidP="00585D47">
      <w:r w:rsidRPr="006330B1">
        <w:t>Z hlediska jednotlivých komponent dluhu byl meziroční nárůst zaznamenán především u</w:t>
      </w:r>
      <w:r>
        <w:t> </w:t>
      </w:r>
      <w:r w:rsidRPr="00B77751">
        <w:t>emitovaných cenných papírů (+</w:t>
      </w:r>
      <w:r w:rsidR="00F0737F">
        <w:t>144,7</w:t>
      </w:r>
      <w:r w:rsidRPr="00B77751">
        <w:t xml:space="preserve"> mld. Kč)</w:t>
      </w:r>
      <w:r w:rsidRPr="006330B1">
        <w:t xml:space="preserve">. </w:t>
      </w:r>
    </w:p>
    <w:p w14:paraId="7ED145B6" w14:textId="77777777" w:rsidR="00585D47" w:rsidRPr="00270F84" w:rsidRDefault="00585D47" w:rsidP="00585D47"/>
    <w:p w14:paraId="3D6C48EF" w14:textId="1A7D107E" w:rsidR="00585D47" w:rsidRPr="00270F84" w:rsidRDefault="00585D47" w:rsidP="00585D47">
      <w:pPr>
        <w:pStyle w:val="TabulkaGraf"/>
      </w:pPr>
      <w:r w:rsidRPr="00270F84">
        <w:t xml:space="preserve">Dluh sektoru vládních institucí, </w:t>
      </w:r>
      <w:r w:rsidR="00372530">
        <w:t>1</w:t>
      </w:r>
      <w:r w:rsidRPr="00270F84">
        <w:t>. čtvrtletí 20</w:t>
      </w:r>
      <w:r>
        <w:t>2</w:t>
      </w:r>
      <w:r w:rsidR="00372530">
        <w:t>3</w:t>
      </w:r>
      <w:r w:rsidRPr="00270F84">
        <w:t xml:space="preserve"> – </w:t>
      </w:r>
      <w:r w:rsidR="00372530">
        <w:t>1</w:t>
      </w:r>
      <w:r w:rsidRPr="00270F84">
        <w:t xml:space="preserve">. čtvrtletí </w:t>
      </w:r>
      <w:r>
        <w:t>202</w:t>
      </w:r>
      <w:r w:rsidR="00372530">
        <w:t>5</w:t>
      </w:r>
    </w:p>
    <w:p w14:paraId="7E36CF5D" w14:textId="3C01608D" w:rsidR="00585D47" w:rsidRDefault="00585D47" w:rsidP="00585D47"/>
    <w:p w14:paraId="17BE1B1F" w14:textId="738DAE76" w:rsidR="00585D47" w:rsidRDefault="00372530" w:rsidP="00585D47">
      <w:r>
        <w:rPr>
          <w:noProof/>
          <w:lang w:eastAsia="cs-CZ"/>
        </w:rPr>
        <w:drawing>
          <wp:inline distT="0" distB="0" distL="0" distR="0" wp14:anchorId="1D6ACEBE" wp14:editId="38E9D189">
            <wp:extent cx="5381625" cy="3267075"/>
            <wp:effectExtent l="0" t="0" r="9525" b="9525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652761" w14:textId="77777777" w:rsidR="00EF752D" w:rsidRDefault="00EF752D" w:rsidP="00585D47"/>
    <w:p w14:paraId="7323434F" w14:textId="3092C59E" w:rsidR="00585D47" w:rsidRDefault="000E7ECA" w:rsidP="00585D47">
      <w:r>
        <w:rPr>
          <w:noProof/>
          <w:lang w:eastAsia="cs-CZ"/>
        </w:rPr>
        <w:drawing>
          <wp:inline distT="0" distB="0" distL="0" distR="0" wp14:anchorId="09B402D0" wp14:editId="40423027">
            <wp:extent cx="5400040" cy="1908810"/>
            <wp:effectExtent l="0" t="0" r="10160" b="15240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DA1FBE" w14:textId="77777777" w:rsidR="00585D47" w:rsidRDefault="00585D47" w:rsidP="00585D47"/>
    <w:p w14:paraId="0D008130" w14:textId="22CE579D" w:rsidR="00585D47" w:rsidRDefault="00585D47" w:rsidP="00585D47">
      <w:r w:rsidRPr="00FF18D0">
        <w:t xml:space="preserve">Saldo hospodaření vládních institucí po očištění o sezónní a kalendářní vlivy skončilo v deficitu </w:t>
      </w:r>
      <w:r w:rsidR="003A69E4">
        <w:t>46,4</w:t>
      </w:r>
      <w:r w:rsidRPr="00FF18D0">
        <w:t xml:space="preserve"> mld. Kč, který odpovídal </w:t>
      </w:r>
      <w:r w:rsidR="003A69E4">
        <w:t>2,2</w:t>
      </w:r>
      <w:r w:rsidR="00376621">
        <w:t xml:space="preserve"> </w:t>
      </w:r>
      <w:r w:rsidRPr="00FF18D0">
        <w:t xml:space="preserve">% HDP. </w:t>
      </w:r>
      <w:proofErr w:type="spellStart"/>
      <w:r w:rsidRPr="00FF18D0">
        <w:t>Mezičtvrtletně</w:t>
      </w:r>
      <w:proofErr w:type="spellEnd"/>
      <w:r w:rsidRPr="00FF18D0">
        <w:t xml:space="preserve"> se saldo hospodaření </w:t>
      </w:r>
      <w:r w:rsidR="003A69E4">
        <w:t>zhoršilo</w:t>
      </w:r>
      <w:r w:rsidR="0049000A">
        <w:t xml:space="preserve"> </w:t>
      </w:r>
      <w:r w:rsidRPr="00FF18D0">
        <w:t>o </w:t>
      </w:r>
      <w:r w:rsidR="003A69E4">
        <w:t>6,8</w:t>
      </w:r>
      <w:r w:rsidRPr="00FF18D0">
        <w:t> mld.</w:t>
      </w:r>
      <w:r w:rsidR="009703DF">
        <w:t> </w:t>
      </w:r>
      <w:r w:rsidRPr="00FF18D0">
        <w:t>Kč. Vývoj salda hospodaření vládních institucí očištěného o sezónní a kalendářní vlivy ilustruje následující graf.</w:t>
      </w:r>
    </w:p>
    <w:p w14:paraId="6768B4A6" w14:textId="77777777" w:rsidR="00585D47" w:rsidRDefault="00585D47" w:rsidP="00585D47"/>
    <w:p w14:paraId="36E73692" w14:textId="730C178F" w:rsidR="00585D47" w:rsidRPr="00706DBC" w:rsidRDefault="00585D47" w:rsidP="00585D47">
      <w:pPr>
        <w:pStyle w:val="TabulkaGraf"/>
        <w:keepNext/>
      </w:pPr>
      <w:r w:rsidRPr="00FF18D0">
        <w:lastRenderedPageBreak/>
        <w:t xml:space="preserve">Sezónně očištěné saldo hospodaření vládních institucí, </w:t>
      </w:r>
      <w:r w:rsidR="00372530">
        <w:t>1</w:t>
      </w:r>
      <w:r w:rsidRPr="00FF18D0">
        <w:t>. čtvrtletí 202</w:t>
      </w:r>
      <w:r w:rsidR="00372530">
        <w:t>3</w:t>
      </w:r>
      <w:r w:rsidRPr="00FF18D0">
        <w:t xml:space="preserve"> – </w:t>
      </w:r>
      <w:r w:rsidR="00372530">
        <w:t>1</w:t>
      </w:r>
      <w:r w:rsidRPr="00FF18D0">
        <w:t>. čtvrtletí 202</w:t>
      </w:r>
      <w:r w:rsidR="00372530">
        <w:t>5</w:t>
      </w:r>
    </w:p>
    <w:p w14:paraId="5F2558F4" w14:textId="2A711394" w:rsidR="00B632CC" w:rsidRPr="00CD618A" w:rsidRDefault="00372530" w:rsidP="00585D47">
      <w:r>
        <w:rPr>
          <w:noProof/>
          <w:lang w:eastAsia="cs-CZ"/>
        </w:rPr>
        <w:drawing>
          <wp:inline distT="0" distB="0" distL="0" distR="0" wp14:anchorId="4F08DA73" wp14:editId="618A6725">
            <wp:extent cx="5400040" cy="1858645"/>
            <wp:effectExtent l="0" t="0" r="10160" b="8255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6D26148" w14:textId="77777777" w:rsidR="00D209A7" w:rsidRDefault="00D209A7" w:rsidP="00D209A7">
      <w:pPr>
        <w:pStyle w:val="Poznmky0"/>
      </w:pPr>
      <w:r w:rsidRPr="00CD618A">
        <w:t>Poznámky</w:t>
      </w:r>
      <w:r w:rsidR="007A2048" w:rsidRPr="00CD618A">
        <w:t>:</w:t>
      </w:r>
    </w:p>
    <w:p w14:paraId="3FEADC6D" w14:textId="18E83588" w:rsidR="00585D47" w:rsidRPr="002C1411" w:rsidRDefault="00585D47" w:rsidP="00585D47">
      <w:pPr>
        <w:rPr>
          <w:i/>
          <w:sz w:val="18"/>
          <w:szCs w:val="18"/>
        </w:rPr>
      </w:pPr>
      <w:r w:rsidRPr="002C1411">
        <w:rPr>
          <w:rFonts w:cs="Arial"/>
          <w:i/>
          <w:sz w:val="18"/>
          <w:szCs w:val="18"/>
        </w:rPr>
        <w:t>Kvantifikace fiskálních ukazatelů je založena na metodice Evropského systému národních účtů (ESA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2010). </w:t>
      </w:r>
      <w:r w:rsidRPr="002C1411">
        <w:rPr>
          <w:i/>
          <w:sz w:val="18"/>
          <w:szCs w:val="18"/>
        </w:rPr>
        <w:t xml:space="preserve">Uvedené údaje jsou v metodickém souladu s údaji sloužícími pro účely </w:t>
      </w:r>
      <w:r>
        <w:rPr>
          <w:i/>
          <w:sz w:val="18"/>
          <w:szCs w:val="18"/>
        </w:rPr>
        <w:t>statistiky nadměrného schodku (</w:t>
      </w:r>
      <w:r w:rsidRPr="002C1411">
        <w:rPr>
          <w:i/>
          <w:sz w:val="18"/>
          <w:szCs w:val="18"/>
        </w:rPr>
        <w:t>EDP</w:t>
      </w:r>
      <w:r w:rsidRPr="00AD1C8A">
        <w:rPr>
          <w:i/>
          <w:sz w:val="18"/>
          <w:szCs w:val="18"/>
        </w:rPr>
        <w:t xml:space="preserve">, </w:t>
      </w:r>
      <w:proofErr w:type="spellStart"/>
      <w:r w:rsidR="00CA5C86">
        <w:rPr>
          <w:i/>
          <w:sz w:val="18"/>
          <w:szCs w:val="18"/>
        </w:rPr>
        <w:t>E</w:t>
      </w:r>
      <w:r w:rsidRPr="00AD1C8A">
        <w:rPr>
          <w:i/>
          <w:sz w:val="18"/>
          <w:szCs w:val="18"/>
        </w:rPr>
        <w:t>xcessive</w:t>
      </w:r>
      <w:proofErr w:type="spellEnd"/>
      <w:r w:rsidRPr="00AD1C8A">
        <w:rPr>
          <w:i/>
          <w:sz w:val="18"/>
          <w:szCs w:val="18"/>
        </w:rPr>
        <w:t xml:space="preserve"> </w:t>
      </w:r>
      <w:r w:rsidR="00CA5C86">
        <w:rPr>
          <w:i/>
          <w:sz w:val="18"/>
          <w:szCs w:val="18"/>
        </w:rPr>
        <w:t>D</w:t>
      </w:r>
      <w:r w:rsidRPr="00AD1C8A">
        <w:rPr>
          <w:i/>
          <w:sz w:val="18"/>
          <w:szCs w:val="18"/>
        </w:rPr>
        <w:t xml:space="preserve">eficit </w:t>
      </w:r>
      <w:proofErr w:type="spellStart"/>
      <w:r w:rsidR="00CA5C86">
        <w:rPr>
          <w:i/>
          <w:sz w:val="18"/>
          <w:szCs w:val="18"/>
        </w:rPr>
        <w:t>P</w:t>
      </w:r>
      <w:bookmarkStart w:id="0" w:name="_GoBack"/>
      <w:bookmarkEnd w:id="0"/>
      <w:r w:rsidRPr="00AD1C8A">
        <w:rPr>
          <w:i/>
          <w:sz w:val="18"/>
          <w:szCs w:val="18"/>
        </w:rPr>
        <w:t>rocedure</w:t>
      </w:r>
      <w:proofErr w:type="spellEnd"/>
      <w:r>
        <w:rPr>
          <w:i/>
          <w:sz w:val="18"/>
          <w:szCs w:val="18"/>
        </w:rPr>
        <w:t>)</w:t>
      </w:r>
      <w:r w:rsidRPr="002C1411">
        <w:rPr>
          <w:i/>
          <w:sz w:val="18"/>
          <w:szCs w:val="18"/>
        </w:rPr>
        <w:t xml:space="preserve"> a pro hodnocení plnění maastrichtských konvergenčních kritérií.  </w:t>
      </w:r>
    </w:p>
    <w:p w14:paraId="30171033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FD53CC1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Přebytek/deficit vládních institucí je výše čis</w:t>
      </w:r>
      <w:r>
        <w:rPr>
          <w:rFonts w:cs="Arial"/>
          <w:i/>
          <w:sz w:val="18"/>
          <w:szCs w:val="18"/>
        </w:rPr>
        <w:t>tých půjček (+) nebo výpůjček (−</w:t>
      </w:r>
      <w:r w:rsidRPr="00CF2071">
        <w:rPr>
          <w:rFonts w:cs="Arial"/>
          <w:i/>
          <w:sz w:val="18"/>
          <w:szCs w:val="18"/>
        </w:rPr>
        <w:t>) v systému národního účetnictví. Ukazatel vyjadřuje schopnost sektoru v daném období financovat (+) jiné sektory ekonomiky nebo potřebu tohoto sektoru být</w:t>
      </w:r>
      <w:r>
        <w:rPr>
          <w:rFonts w:cs="Arial"/>
          <w:i/>
          <w:sz w:val="18"/>
          <w:szCs w:val="18"/>
        </w:rPr>
        <w:t xml:space="preserve"> ostatními sektory financován (−</w:t>
      </w:r>
      <w:r w:rsidRPr="00CF2071">
        <w:rPr>
          <w:rFonts w:cs="Arial"/>
          <w:i/>
          <w:sz w:val="18"/>
          <w:szCs w:val="18"/>
        </w:rPr>
        <w:t>).</w:t>
      </w:r>
    </w:p>
    <w:p w14:paraId="3288BC37" w14:textId="77777777" w:rsidR="00585D47" w:rsidRPr="002009DA" w:rsidRDefault="00585D47" w:rsidP="00585D47">
      <w:pPr>
        <w:rPr>
          <w:rFonts w:cs="Arial"/>
          <w:i/>
          <w:sz w:val="18"/>
          <w:szCs w:val="18"/>
        </w:rPr>
      </w:pPr>
    </w:p>
    <w:p w14:paraId="42A94673" w14:textId="77777777" w:rsidR="00585D47" w:rsidRPr="002C1411" w:rsidRDefault="00585D47" w:rsidP="00585D47">
      <w:pPr>
        <w:rPr>
          <w:rFonts w:cs="Arial"/>
          <w:i/>
          <w:sz w:val="18"/>
          <w:szCs w:val="18"/>
        </w:rPr>
      </w:pPr>
      <w:r w:rsidRPr="00CF2071">
        <w:rPr>
          <w:rFonts w:cs="Arial"/>
          <w:i/>
          <w:sz w:val="18"/>
          <w:szCs w:val="18"/>
        </w:rPr>
        <w:t>Dluh vládních institucí</w:t>
      </w:r>
      <w:r w:rsidRPr="002C1411">
        <w:rPr>
          <w:rFonts w:cs="Arial"/>
          <w:i/>
          <w:sz w:val="18"/>
          <w:szCs w:val="18"/>
        </w:rPr>
        <w:t xml:space="preserve"> představuje výši konsolidovaných závazků sektoru vládních institucí vyplývající z</w:t>
      </w:r>
      <w:r>
        <w:rPr>
          <w:rFonts w:cs="Arial"/>
          <w:i/>
          <w:sz w:val="18"/>
          <w:szCs w:val="18"/>
        </w:rPr>
        <w:t> </w:t>
      </w:r>
      <w:r w:rsidRPr="002C1411">
        <w:rPr>
          <w:rFonts w:cs="Arial"/>
          <w:i/>
          <w:sz w:val="18"/>
          <w:szCs w:val="18"/>
        </w:rPr>
        <w:t xml:space="preserve">přijatých vkladů, emitovaných dluhových cenných papírů a přijatých půjček. U </w:t>
      </w:r>
      <w:proofErr w:type="spellStart"/>
      <w:r w:rsidRPr="002C1411">
        <w:rPr>
          <w:rFonts w:cs="Arial"/>
          <w:i/>
          <w:sz w:val="18"/>
          <w:szCs w:val="18"/>
        </w:rPr>
        <w:t>cizoměnových</w:t>
      </w:r>
      <w:proofErr w:type="spellEnd"/>
      <w:r w:rsidRPr="002C1411">
        <w:rPr>
          <w:rFonts w:cs="Arial"/>
          <w:i/>
          <w:sz w:val="18"/>
          <w:szCs w:val="18"/>
        </w:rPr>
        <w:t xml:space="preserve"> dluhových nástrojů zajištěných proti měnovému riziku je ocenění provedeno na bázi smluvního kurzu.</w:t>
      </w:r>
    </w:p>
    <w:p w14:paraId="730073A7" w14:textId="77777777" w:rsidR="00585D47" w:rsidRPr="002C1411" w:rsidRDefault="00585D47" w:rsidP="00585D47">
      <w:pPr>
        <w:rPr>
          <w:i/>
          <w:sz w:val="18"/>
          <w:szCs w:val="18"/>
        </w:rPr>
      </w:pPr>
    </w:p>
    <w:p w14:paraId="7361D19D" w14:textId="77777777" w:rsidR="00585D47" w:rsidRDefault="00585D47" w:rsidP="00585D47">
      <w:pPr>
        <w:rPr>
          <w:i/>
          <w:sz w:val="18"/>
          <w:szCs w:val="18"/>
        </w:rPr>
      </w:pPr>
      <w:r w:rsidRPr="002C1411">
        <w:rPr>
          <w:i/>
          <w:sz w:val="18"/>
          <w:szCs w:val="18"/>
        </w:rPr>
        <w:t xml:space="preserve">Saldo hospodaření je porovnáno s výší HDP v daném čtvrtletí v běžných cenách. Výše konsolidovaného dluhu vládních institucí je porovnána se součtem </w:t>
      </w:r>
      <w:r>
        <w:rPr>
          <w:i/>
          <w:sz w:val="18"/>
          <w:szCs w:val="18"/>
        </w:rPr>
        <w:t xml:space="preserve">posledních čtyř čtvrtletních </w:t>
      </w:r>
      <w:r w:rsidRPr="002C1411">
        <w:rPr>
          <w:i/>
          <w:sz w:val="18"/>
          <w:szCs w:val="18"/>
        </w:rPr>
        <w:t>HDP v běžných cenách</w:t>
      </w:r>
      <w:r>
        <w:rPr>
          <w:i/>
          <w:sz w:val="18"/>
          <w:szCs w:val="18"/>
        </w:rPr>
        <w:t>. Podrobné údaje v časových řadách o</w:t>
      </w:r>
      <w:r w:rsidRPr="002C1411">
        <w:rPr>
          <w:i/>
          <w:sz w:val="18"/>
          <w:szCs w:val="18"/>
        </w:rPr>
        <w:t xml:space="preserve"> saldu hospodaření a dluhu vládních institucí jsou součástí tabulek Transmisního programu (tabulka 25 a</w:t>
      </w:r>
      <w:r>
        <w:rPr>
          <w:i/>
          <w:sz w:val="18"/>
          <w:szCs w:val="18"/>
        </w:rPr>
        <w:t> </w:t>
      </w:r>
      <w:r w:rsidRPr="002C1411">
        <w:rPr>
          <w:i/>
          <w:sz w:val="18"/>
          <w:szCs w:val="18"/>
        </w:rPr>
        <w:t>tabulka 28) publikovaných na stránkách ČSÚ v sekci „HDP, Národní účty“.(</w:t>
      </w:r>
      <w:hyperlink r:id="rId13" w:history="1">
        <w:r>
          <w:rPr>
            <w:rStyle w:val="Hypertextovodkaz"/>
            <w:i/>
            <w:sz w:val="18"/>
            <w:szCs w:val="18"/>
          </w:rPr>
          <w:t>Sektor vládních institucí</w:t>
        </w:r>
      </w:hyperlink>
      <w:r w:rsidRPr="002C1411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. Pokud není uvedeno jinak, data nejsou očištěna o sezónní a kalendářní vlivy. </w:t>
      </w:r>
      <w:r w:rsidRPr="009C4851">
        <w:rPr>
          <w:i/>
          <w:sz w:val="18"/>
          <w:szCs w:val="18"/>
        </w:rPr>
        <w:t>Časová řada</w:t>
      </w:r>
      <w:r>
        <w:rPr>
          <w:i/>
          <w:sz w:val="18"/>
          <w:szCs w:val="18"/>
        </w:rPr>
        <w:t xml:space="preserve"> sezónně očištěného salda vládních institucí (položka </w:t>
      </w:r>
      <w:r w:rsidRPr="009C4851">
        <w:rPr>
          <w:i/>
          <w:sz w:val="18"/>
          <w:szCs w:val="18"/>
        </w:rPr>
        <w:t>Čisté půjčky/ výpůjčky</w:t>
      </w:r>
      <w:r>
        <w:rPr>
          <w:i/>
          <w:sz w:val="18"/>
          <w:szCs w:val="18"/>
        </w:rPr>
        <w:t xml:space="preserve">) </w:t>
      </w:r>
      <w:hyperlink r:id="rId14" w:history="1">
        <w:r>
          <w:rPr>
            <w:rStyle w:val="Hypertextovodkaz"/>
            <w:i/>
            <w:sz w:val="18"/>
            <w:szCs w:val="18"/>
          </w:rPr>
          <w:t xml:space="preserve">Časová řada sezónně očištěných účtů za </w:t>
        </w:r>
        <w:proofErr w:type="gramStart"/>
        <w:r>
          <w:rPr>
            <w:rStyle w:val="Hypertextovodkaz"/>
            <w:i/>
            <w:sz w:val="18"/>
            <w:szCs w:val="18"/>
          </w:rPr>
          <w:t>S.13</w:t>
        </w:r>
        <w:proofErr w:type="gramEnd"/>
        <w:r>
          <w:rPr>
            <w:rStyle w:val="Hypertextovodkaz"/>
            <w:i/>
            <w:sz w:val="18"/>
            <w:szCs w:val="18"/>
          </w:rPr>
          <w:t xml:space="preserve"> </w:t>
        </w:r>
      </w:hyperlink>
      <w:r>
        <w:rPr>
          <w:i/>
          <w:sz w:val="18"/>
          <w:szCs w:val="18"/>
        </w:rPr>
        <w:t>.</w:t>
      </w:r>
    </w:p>
    <w:p w14:paraId="0AB36F4C" w14:textId="77777777" w:rsidR="00585D47" w:rsidRDefault="00585D47" w:rsidP="00585D47">
      <w:pPr>
        <w:rPr>
          <w:i/>
          <w:sz w:val="18"/>
          <w:szCs w:val="18"/>
        </w:rPr>
      </w:pPr>
    </w:p>
    <w:p w14:paraId="20C16272" w14:textId="77777777" w:rsidR="00585D47" w:rsidRPr="002C1411" w:rsidRDefault="00585D47" w:rsidP="00585D47">
      <w:pPr>
        <w:pStyle w:val="Poznmky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5201"/>
      </w:tblGrid>
      <w:tr w:rsidR="00585D47" w14:paraId="6994F52B" w14:textId="77777777" w:rsidTr="00770676">
        <w:tc>
          <w:tcPr>
            <w:tcW w:w="3369" w:type="dxa"/>
          </w:tcPr>
          <w:p w14:paraId="35EA6CDB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Zodpovědný vedoucí pracovník ČSÚ:</w:t>
            </w:r>
          </w:p>
        </w:tc>
        <w:tc>
          <w:tcPr>
            <w:tcW w:w="5275" w:type="dxa"/>
          </w:tcPr>
          <w:p w14:paraId="7D5EE54C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Ing.</w:t>
            </w:r>
            <w:r>
              <w:rPr>
                <w:i/>
                <w:iCs/>
                <w:sz w:val="18"/>
                <w:szCs w:val="18"/>
              </w:rPr>
              <w:t xml:space="preserve"> Helena Houžvičková</w:t>
            </w:r>
            <w:r w:rsidRPr="002C1411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 xml:space="preserve"> ředitelka odboru vládních a finančních účtů, </w:t>
            </w:r>
          </w:p>
          <w:p w14:paraId="3C8F8959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tel.: 704 688 734</w:t>
            </w:r>
            <w:r w:rsidRPr="002C1411">
              <w:rPr>
                <w:i/>
                <w:iCs/>
                <w:sz w:val="18"/>
                <w:szCs w:val="18"/>
              </w:rPr>
              <w:t xml:space="preserve">, e-mail: </w:t>
            </w:r>
            <w:hyperlink r:id="rId15" w:history="1">
              <w:r w:rsidRPr="006D1562">
                <w:rPr>
                  <w:rStyle w:val="Hypertextovodkaz"/>
                  <w:sz w:val="18"/>
                </w:rPr>
                <w:t>helena.houzvickova@csu.gov.cz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D152B9F" w14:textId="77777777" w:rsidTr="00770676">
        <w:tc>
          <w:tcPr>
            <w:tcW w:w="3369" w:type="dxa"/>
          </w:tcPr>
          <w:p w14:paraId="128E6AA9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Kontaktní osoba:</w:t>
            </w:r>
          </w:p>
        </w:tc>
        <w:tc>
          <w:tcPr>
            <w:tcW w:w="5275" w:type="dxa"/>
          </w:tcPr>
          <w:p w14:paraId="7C9E886B" w14:textId="77777777" w:rsidR="00585D47" w:rsidRDefault="00585D47" w:rsidP="00770676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 xml:space="preserve">Ing. Jaroslav Kahoun, </w:t>
            </w:r>
            <w:r>
              <w:rPr>
                <w:i/>
                <w:iCs/>
                <w:sz w:val="18"/>
                <w:szCs w:val="18"/>
              </w:rPr>
              <w:t xml:space="preserve">vedoucí oddělení vládních účtů, </w:t>
            </w:r>
          </w:p>
          <w:p w14:paraId="68E46575" w14:textId="77777777" w:rsidR="00585D47" w:rsidRDefault="00585D47" w:rsidP="00585D47">
            <w:pPr>
              <w:jc w:val="left"/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tel.: 274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002C1411">
              <w:rPr>
                <w:i/>
                <w:iCs/>
                <w:sz w:val="18"/>
                <w:szCs w:val="18"/>
              </w:rPr>
              <w:t>054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2C1411">
              <w:rPr>
                <w:i/>
                <w:iCs/>
                <w:sz w:val="18"/>
                <w:szCs w:val="18"/>
              </w:rPr>
              <w:t xml:space="preserve">232, e-mail: </w:t>
            </w:r>
            <w:hyperlink r:id="rId16" w:history="1">
              <w:r w:rsidRPr="006D1562">
                <w:rPr>
                  <w:rStyle w:val="Hypertextovodkaz"/>
                  <w:sz w:val="18"/>
                </w:rPr>
                <w:t>jaroslav.kahoun@csu.gov.cz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85D47" w14:paraId="1CD0DE05" w14:textId="77777777" w:rsidTr="00770676">
        <w:tc>
          <w:tcPr>
            <w:tcW w:w="3369" w:type="dxa"/>
          </w:tcPr>
          <w:p w14:paraId="50373EBD" w14:textId="77777777" w:rsidR="00585D47" w:rsidRDefault="00585D47" w:rsidP="00770676">
            <w:pPr>
              <w:rPr>
                <w:i/>
                <w:iCs/>
                <w:sz w:val="18"/>
                <w:szCs w:val="18"/>
              </w:rPr>
            </w:pPr>
            <w:r w:rsidRPr="002C1411">
              <w:rPr>
                <w:i/>
                <w:iCs/>
                <w:sz w:val="18"/>
                <w:szCs w:val="18"/>
              </w:rPr>
              <w:t>Termín zveřejnění další RI:</w:t>
            </w:r>
          </w:p>
        </w:tc>
        <w:tc>
          <w:tcPr>
            <w:tcW w:w="5275" w:type="dxa"/>
          </w:tcPr>
          <w:p w14:paraId="726EB98A" w14:textId="298523C6" w:rsidR="00585D47" w:rsidRPr="007F7CB9" w:rsidRDefault="00126554" w:rsidP="003E1D99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 w:rsidR="00585D47" w:rsidRPr="00F829FF">
              <w:rPr>
                <w:i/>
                <w:iCs/>
                <w:sz w:val="18"/>
                <w:szCs w:val="18"/>
              </w:rPr>
              <w:t xml:space="preserve">. </w:t>
            </w:r>
            <w:r w:rsidR="003E1D99">
              <w:rPr>
                <w:i/>
                <w:iCs/>
                <w:sz w:val="18"/>
                <w:szCs w:val="18"/>
              </w:rPr>
              <w:t>10</w:t>
            </w:r>
            <w:r w:rsidR="00585D47" w:rsidRPr="00F829FF">
              <w:rPr>
                <w:i/>
                <w:iCs/>
                <w:sz w:val="18"/>
                <w:szCs w:val="18"/>
              </w:rPr>
              <w:t>. 202</w:t>
            </w:r>
            <w:r w:rsidR="00BA154F">
              <w:rPr>
                <w:i/>
                <w:iCs/>
                <w:sz w:val="18"/>
                <w:szCs w:val="18"/>
              </w:rPr>
              <w:t>5</w:t>
            </w:r>
          </w:p>
        </w:tc>
      </w:tr>
    </w:tbl>
    <w:p w14:paraId="13E21519" w14:textId="77777777" w:rsidR="00585D47" w:rsidRPr="00585D47" w:rsidRDefault="00585D47" w:rsidP="00585D47"/>
    <w:sectPr w:rsidR="00585D47" w:rsidRPr="00585D47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7A3B" w14:textId="77777777" w:rsidR="00021E92" w:rsidRDefault="00021E92" w:rsidP="00BA6370">
      <w:r>
        <w:separator/>
      </w:r>
    </w:p>
  </w:endnote>
  <w:endnote w:type="continuationSeparator" w:id="0">
    <w:p w14:paraId="50CFDE49" w14:textId="77777777" w:rsidR="00021E92" w:rsidRDefault="00021E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7428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A2AD95" wp14:editId="7BE9D13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A0904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258B0A6" w14:textId="6F6EA564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A5C86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2AD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A9A0904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258B0A6" w14:textId="6F6EA564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A5C86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D267E" wp14:editId="178A959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E729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77D8" w14:textId="77777777" w:rsidR="00021E92" w:rsidRDefault="00021E92" w:rsidP="00BA6370">
      <w:r>
        <w:separator/>
      </w:r>
    </w:p>
  </w:footnote>
  <w:footnote w:type="continuationSeparator" w:id="0">
    <w:p w14:paraId="1548653C" w14:textId="77777777" w:rsidR="00021E92" w:rsidRDefault="00021E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DA94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615E21D" wp14:editId="4090734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1A206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C"/>
    <w:rsid w:val="00006234"/>
    <w:rsid w:val="00021E92"/>
    <w:rsid w:val="00043BF4"/>
    <w:rsid w:val="0004411E"/>
    <w:rsid w:val="000458C3"/>
    <w:rsid w:val="00054340"/>
    <w:rsid w:val="00062643"/>
    <w:rsid w:val="00066BE1"/>
    <w:rsid w:val="000843A5"/>
    <w:rsid w:val="00087807"/>
    <w:rsid w:val="000910DA"/>
    <w:rsid w:val="00095764"/>
    <w:rsid w:val="00096D6C"/>
    <w:rsid w:val="0009770D"/>
    <w:rsid w:val="000B144A"/>
    <w:rsid w:val="000B2E8F"/>
    <w:rsid w:val="000B6F63"/>
    <w:rsid w:val="000C0AAD"/>
    <w:rsid w:val="000C74ED"/>
    <w:rsid w:val="000D06CB"/>
    <w:rsid w:val="000D093F"/>
    <w:rsid w:val="000E43CC"/>
    <w:rsid w:val="000E7ECA"/>
    <w:rsid w:val="00115E24"/>
    <w:rsid w:val="00117D23"/>
    <w:rsid w:val="001244EC"/>
    <w:rsid w:val="00126554"/>
    <w:rsid w:val="00130D21"/>
    <w:rsid w:val="00134F31"/>
    <w:rsid w:val="001404AB"/>
    <w:rsid w:val="00140C3C"/>
    <w:rsid w:val="001467F3"/>
    <w:rsid w:val="001511B3"/>
    <w:rsid w:val="00166BA3"/>
    <w:rsid w:val="0017231D"/>
    <w:rsid w:val="001810DC"/>
    <w:rsid w:val="001B264A"/>
    <w:rsid w:val="001B607F"/>
    <w:rsid w:val="001D369A"/>
    <w:rsid w:val="001E2745"/>
    <w:rsid w:val="001E4CBE"/>
    <w:rsid w:val="001F08B3"/>
    <w:rsid w:val="001F0BA5"/>
    <w:rsid w:val="001F2FE0"/>
    <w:rsid w:val="00200854"/>
    <w:rsid w:val="002070FB"/>
    <w:rsid w:val="00213729"/>
    <w:rsid w:val="002176CD"/>
    <w:rsid w:val="0023352E"/>
    <w:rsid w:val="002406FA"/>
    <w:rsid w:val="00243FCB"/>
    <w:rsid w:val="00244F1B"/>
    <w:rsid w:val="0026107B"/>
    <w:rsid w:val="00275DF8"/>
    <w:rsid w:val="00282B9A"/>
    <w:rsid w:val="00290430"/>
    <w:rsid w:val="002A5957"/>
    <w:rsid w:val="002B2E47"/>
    <w:rsid w:val="002D0113"/>
    <w:rsid w:val="002D7F4F"/>
    <w:rsid w:val="002E35F8"/>
    <w:rsid w:val="002F6016"/>
    <w:rsid w:val="002F7E26"/>
    <w:rsid w:val="0030261B"/>
    <w:rsid w:val="00305EF1"/>
    <w:rsid w:val="003209B6"/>
    <w:rsid w:val="003278E4"/>
    <w:rsid w:val="003301A3"/>
    <w:rsid w:val="00337B10"/>
    <w:rsid w:val="003433B9"/>
    <w:rsid w:val="0036777B"/>
    <w:rsid w:val="00372530"/>
    <w:rsid w:val="00376621"/>
    <w:rsid w:val="0038282A"/>
    <w:rsid w:val="00397580"/>
    <w:rsid w:val="003A45C8"/>
    <w:rsid w:val="003A69E4"/>
    <w:rsid w:val="003C2DCF"/>
    <w:rsid w:val="003C4F7B"/>
    <w:rsid w:val="003C7FE7"/>
    <w:rsid w:val="003D0499"/>
    <w:rsid w:val="003D07D5"/>
    <w:rsid w:val="003D3576"/>
    <w:rsid w:val="003E1D99"/>
    <w:rsid w:val="003F526A"/>
    <w:rsid w:val="00405244"/>
    <w:rsid w:val="004154C7"/>
    <w:rsid w:val="004436EE"/>
    <w:rsid w:val="0045547F"/>
    <w:rsid w:val="00471DEF"/>
    <w:rsid w:val="00472310"/>
    <w:rsid w:val="00474207"/>
    <w:rsid w:val="0048193E"/>
    <w:rsid w:val="0049000A"/>
    <w:rsid w:val="004920AD"/>
    <w:rsid w:val="004A408A"/>
    <w:rsid w:val="004B1361"/>
    <w:rsid w:val="004C6932"/>
    <w:rsid w:val="004D05B3"/>
    <w:rsid w:val="004D318A"/>
    <w:rsid w:val="004E479E"/>
    <w:rsid w:val="004F686C"/>
    <w:rsid w:val="004F78E6"/>
    <w:rsid w:val="0050420E"/>
    <w:rsid w:val="00512D99"/>
    <w:rsid w:val="005318D7"/>
    <w:rsid w:val="00531DBB"/>
    <w:rsid w:val="00573072"/>
    <w:rsid w:val="00573994"/>
    <w:rsid w:val="005763E3"/>
    <w:rsid w:val="00585D47"/>
    <w:rsid w:val="005A2649"/>
    <w:rsid w:val="005E0274"/>
    <w:rsid w:val="005E156C"/>
    <w:rsid w:val="005F79FB"/>
    <w:rsid w:val="00604406"/>
    <w:rsid w:val="00605F4A"/>
    <w:rsid w:val="00607822"/>
    <w:rsid w:val="006103AA"/>
    <w:rsid w:val="00613BBF"/>
    <w:rsid w:val="00622B80"/>
    <w:rsid w:val="006336BA"/>
    <w:rsid w:val="00633BA0"/>
    <w:rsid w:val="0064139A"/>
    <w:rsid w:val="006450AA"/>
    <w:rsid w:val="0064667D"/>
    <w:rsid w:val="00655289"/>
    <w:rsid w:val="006640B4"/>
    <w:rsid w:val="00692211"/>
    <w:rsid w:val="006931CF"/>
    <w:rsid w:val="006C3CC8"/>
    <w:rsid w:val="006C58FE"/>
    <w:rsid w:val="006D21EB"/>
    <w:rsid w:val="006E024F"/>
    <w:rsid w:val="006E4E81"/>
    <w:rsid w:val="00707F7D"/>
    <w:rsid w:val="00717EC5"/>
    <w:rsid w:val="00723078"/>
    <w:rsid w:val="00727C3F"/>
    <w:rsid w:val="00751E21"/>
    <w:rsid w:val="00754C20"/>
    <w:rsid w:val="00772775"/>
    <w:rsid w:val="007813EA"/>
    <w:rsid w:val="007A2048"/>
    <w:rsid w:val="007A57F2"/>
    <w:rsid w:val="007B1333"/>
    <w:rsid w:val="007F2FF6"/>
    <w:rsid w:val="007F4AEB"/>
    <w:rsid w:val="007F75B2"/>
    <w:rsid w:val="00803993"/>
    <w:rsid w:val="008043C4"/>
    <w:rsid w:val="00814DED"/>
    <w:rsid w:val="00831B1B"/>
    <w:rsid w:val="008429D1"/>
    <w:rsid w:val="00855FB3"/>
    <w:rsid w:val="00861D0E"/>
    <w:rsid w:val="008662BB"/>
    <w:rsid w:val="00867569"/>
    <w:rsid w:val="008A750A"/>
    <w:rsid w:val="008B3970"/>
    <w:rsid w:val="008B410F"/>
    <w:rsid w:val="008C384C"/>
    <w:rsid w:val="008D0F11"/>
    <w:rsid w:val="008F218E"/>
    <w:rsid w:val="008F73B4"/>
    <w:rsid w:val="009130CB"/>
    <w:rsid w:val="00934174"/>
    <w:rsid w:val="00970318"/>
    <w:rsid w:val="009703DF"/>
    <w:rsid w:val="00981C83"/>
    <w:rsid w:val="00985692"/>
    <w:rsid w:val="00986DD7"/>
    <w:rsid w:val="00987BA6"/>
    <w:rsid w:val="009B55B1"/>
    <w:rsid w:val="009B62A7"/>
    <w:rsid w:val="009F3ECD"/>
    <w:rsid w:val="009F6DA0"/>
    <w:rsid w:val="00A06146"/>
    <w:rsid w:val="00A0762A"/>
    <w:rsid w:val="00A1095E"/>
    <w:rsid w:val="00A41DDD"/>
    <w:rsid w:val="00A4343D"/>
    <w:rsid w:val="00A47E87"/>
    <w:rsid w:val="00A502F1"/>
    <w:rsid w:val="00A70A83"/>
    <w:rsid w:val="00A81EB3"/>
    <w:rsid w:val="00A955BC"/>
    <w:rsid w:val="00AB3410"/>
    <w:rsid w:val="00AD1C8A"/>
    <w:rsid w:val="00AE05EA"/>
    <w:rsid w:val="00AE0860"/>
    <w:rsid w:val="00B00C1D"/>
    <w:rsid w:val="00B0582A"/>
    <w:rsid w:val="00B25FE9"/>
    <w:rsid w:val="00B314D0"/>
    <w:rsid w:val="00B55375"/>
    <w:rsid w:val="00B632CC"/>
    <w:rsid w:val="00BA12F1"/>
    <w:rsid w:val="00BA154F"/>
    <w:rsid w:val="00BA439F"/>
    <w:rsid w:val="00BA6370"/>
    <w:rsid w:val="00BA6DF0"/>
    <w:rsid w:val="00C00896"/>
    <w:rsid w:val="00C10F11"/>
    <w:rsid w:val="00C269D4"/>
    <w:rsid w:val="00C35900"/>
    <w:rsid w:val="00C37ADB"/>
    <w:rsid w:val="00C4160D"/>
    <w:rsid w:val="00C45F93"/>
    <w:rsid w:val="00C566AC"/>
    <w:rsid w:val="00C60263"/>
    <w:rsid w:val="00C65E6C"/>
    <w:rsid w:val="00C8406E"/>
    <w:rsid w:val="00CA5C86"/>
    <w:rsid w:val="00CB2709"/>
    <w:rsid w:val="00CB6F89"/>
    <w:rsid w:val="00CC0AE9"/>
    <w:rsid w:val="00CC317B"/>
    <w:rsid w:val="00CD618A"/>
    <w:rsid w:val="00CE13A2"/>
    <w:rsid w:val="00CE228C"/>
    <w:rsid w:val="00CE71D9"/>
    <w:rsid w:val="00CF545B"/>
    <w:rsid w:val="00D209A7"/>
    <w:rsid w:val="00D27D69"/>
    <w:rsid w:val="00D33658"/>
    <w:rsid w:val="00D3597A"/>
    <w:rsid w:val="00D36D50"/>
    <w:rsid w:val="00D448C2"/>
    <w:rsid w:val="00D44A26"/>
    <w:rsid w:val="00D666C3"/>
    <w:rsid w:val="00D67AAE"/>
    <w:rsid w:val="00D9189F"/>
    <w:rsid w:val="00DC0BEC"/>
    <w:rsid w:val="00DD55FF"/>
    <w:rsid w:val="00DE552F"/>
    <w:rsid w:val="00DE74CA"/>
    <w:rsid w:val="00DF47FE"/>
    <w:rsid w:val="00E0156A"/>
    <w:rsid w:val="00E26704"/>
    <w:rsid w:val="00E31980"/>
    <w:rsid w:val="00E3206A"/>
    <w:rsid w:val="00E6423C"/>
    <w:rsid w:val="00E93830"/>
    <w:rsid w:val="00E93E0E"/>
    <w:rsid w:val="00EA5EE6"/>
    <w:rsid w:val="00EB0A28"/>
    <w:rsid w:val="00EB1ED3"/>
    <w:rsid w:val="00EB6D1B"/>
    <w:rsid w:val="00EF752D"/>
    <w:rsid w:val="00F0737F"/>
    <w:rsid w:val="00F75F2A"/>
    <w:rsid w:val="00FA4585"/>
    <w:rsid w:val="00FB687C"/>
    <w:rsid w:val="00FD6ECD"/>
    <w:rsid w:val="00FE4B0A"/>
    <w:rsid w:val="00FF633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2A2CCCA4"/>
  <w15:docId w15:val="{A902F339-120F-473E-A74F-0013780F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58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341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17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17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74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12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pl.czso.cz/pll/rocenka/rocenka.indexnu_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oslav.kahoun@csu.g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yperlink" Target="mailto:helena.houzvickova@csu.gov.cz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pl.czso.cz/pll/rocenka/rocenkavyber.kvart_qs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nu\vl&#225;da\RYCHL&#193;%20INFORMACE%20-%20Q%20deficit%20a%20dluh\2024%20Q1\Form_c463_Rychla%20informace_CZ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S3\BARANNU\nu\vl&#225;da\RYCHL&#193;%20INFORMACE%20-%20Q%20deficit%20a%20dluh\DATA\1Q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1Q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BFS3\BARANNU\nu\vl&#225;da\RYCHL&#193;%20INFORMACE%20-%20Q%20deficit%20a%20dluh\DATA\1Q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33573928258968"/>
          <c:y val="5.1400554097404488E-2"/>
          <c:w val="0.79323140857392815"/>
          <c:h val="0.669249416739574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graf!$B$3</c:f>
              <c:strCache>
                <c:ptCount val="1"/>
                <c:pt idx="0">
                  <c:v>mld. Kč</c:v>
                </c:pt>
              </c:strCache>
            </c:strRef>
          </c:tx>
          <c:spPr>
            <a:solidFill>
              <a:srgbClr val="0066CC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graf!$AC$2:$AK$2</c:f>
              <c:strCache>
                <c:ptCount val="9"/>
                <c:pt idx="0">
                  <c:v>1.Q 2023</c:v>
                </c:pt>
                <c:pt idx="1">
                  <c:v>2.Q 2023</c:v>
                </c:pt>
                <c:pt idx="2">
                  <c:v>3.Q 2023</c:v>
                </c:pt>
                <c:pt idx="3">
                  <c:v>4.Q 2023</c:v>
                </c:pt>
                <c:pt idx="4">
                  <c:v>1.Q 2024</c:v>
                </c:pt>
                <c:pt idx="5">
                  <c:v>2.Q 2024</c:v>
                </c:pt>
                <c:pt idx="6">
                  <c:v>3.Q 2024</c:v>
                </c:pt>
                <c:pt idx="7">
                  <c:v>4.Q 2024</c:v>
                </c:pt>
                <c:pt idx="8">
                  <c:v>1.Q 2025</c:v>
                </c:pt>
              </c:strCache>
            </c:strRef>
          </c:cat>
          <c:val>
            <c:numRef>
              <c:f>graf!$AC$3:$AK$3</c:f>
              <c:numCache>
                <c:formatCode>#,##0</c:formatCode>
                <c:ptCount val="9"/>
                <c:pt idx="0">
                  <c:v>3099.4589999999998</c:v>
                </c:pt>
                <c:pt idx="1">
                  <c:v>3150.74</c:v>
                </c:pt>
                <c:pt idx="2">
                  <c:v>3214.174</c:v>
                </c:pt>
                <c:pt idx="3">
                  <c:v>3234.0770000000002</c:v>
                </c:pt>
                <c:pt idx="4">
                  <c:v>3337.0749999999998</c:v>
                </c:pt>
                <c:pt idx="5">
                  <c:v>3320.799</c:v>
                </c:pt>
                <c:pt idx="6">
                  <c:v>3449.3519999999999</c:v>
                </c:pt>
                <c:pt idx="7">
                  <c:v>3491.9079999999999</c:v>
                </c:pt>
                <c:pt idx="8">
                  <c:v>3539.076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11-4657-9AB3-2E679618F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axId val="199040384"/>
        <c:axId val="199062656"/>
      </c:barChart>
      <c:scatterChart>
        <c:scatterStyle val="lineMarker"/>
        <c:varyColors val="0"/>
        <c:ser>
          <c:idx val="1"/>
          <c:order val="1"/>
          <c:tx>
            <c:strRef>
              <c:f>graf!$B$4</c:f>
              <c:strCache>
                <c:ptCount val="1"/>
                <c:pt idx="0">
                  <c:v>% HDP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8"/>
              <c:layout>
                <c:manualLayout>
                  <c:x val="-4.6496379859362273E-2"/>
                  <c:y val="-6.1481085584000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A11-4657-9AB3-2E679618FB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xVal>
            <c:strRef>
              <c:f>graf!$AC$2:$AK$2</c:f>
              <c:strCache>
                <c:ptCount val="9"/>
                <c:pt idx="0">
                  <c:v>1.Q 2023</c:v>
                </c:pt>
                <c:pt idx="1">
                  <c:v>2.Q 2023</c:v>
                </c:pt>
                <c:pt idx="2">
                  <c:v>3.Q 2023</c:v>
                </c:pt>
                <c:pt idx="3">
                  <c:v>4.Q 2023</c:v>
                </c:pt>
                <c:pt idx="4">
                  <c:v>1.Q 2024</c:v>
                </c:pt>
                <c:pt idx="5">
                  <c:v>2.Q 2024</c:v>
                </c:pt>
                <c:pt idx="6">
                  <c:v>3.Q 2024</c:v>
                </c:pt>
                <c:pt idx="7">
                  <c:v>4.Q 2024</c:v>
                </c:pt>
                <c:pt idx="8">
                  <c:v>1.Q 2025</c:v>
                </c:pt>
              </c:strCache>
            </c:strRef>
          </c:xVal>
          <c:yVal>
            <c:numRef>
              <c:f>graf!$AC$4:$AK$4</c:f>
              <c:numCache>
                <c:formatCode>0.0</c:formatCode>
                <c:ptCount val="9"/>
                <c:pt idx="0">
                  <c:v>42.8</c:v>
                </c:pt>
                <c:pt idx="1">
                  <c:v>42.5</c:v>
                </c:pt>
                <c:pt idx="2">
                  <c:v>42.7</c:v>
                </c:pt>
                <c:pt idx="3">
                  <c:v>42.2</c:v>
                </c:pt>
                <c:pt idx="4">
                  <c:v>43.1</c:v>
                </c:pt>
                <c:pt idx="5">
                  <c:v>42.4</c:v>
                </c:pt>
                <c:pt idx="6">
                  <c:v>43.4</c:v>
                </c:pt>
                <c:pt idx="7">
                  <c:v>43.3</c:v>
                </c:pt>
                <c:pt idx="8">
                  <c:v>43.4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A11-4657-9AB3-2E679618FB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9066752"/>
        <c:axId val="199064576"/>
      </c:scatterChart>
      <c:catAx>
        <c:axId val="199040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9062656"/>
        <c:crosses val="autoZero"/>
        <c:auto val="1"/>
        <c:lblAlgn val="ctr"/>
        <c:lblOffset val="100"/>
        <c:noMultiLvlLbl val="0"/>
      </c:catAx>
      <c:valAx>
        <c:axId val="19906265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cs-CZ" b="0"/>
                  <a:t>mld. Kč</a:t>
                </a:r>
                <a:endParaRPr lang="en-US" b="0"/>
              </a:p>
            </c:rich>
          </c:tx>
          <c:layout>
            <c:manualLayout>
              <c:xMode val="edge"/>
              <c:yMode val="edge"/>
              <c:x val="5.5555555555555558E-3"/>
              <c:y val="0.3148447069116360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199040384"/>
        <c:crosses val="autoZero"/>
        <c:crossBetween val="between"/>
      </c:valAx>
      <c:valAx>
        <c:axId val="199064576"/>
        <c:scaling>
          <c:orientation val="minMax"/>
          <c:max val="5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cs-CZ" b="0"/>
                  <a:t>%</a:t>
                </a:r>
                <a:r>
                  <a:rPr lang="cs-CZ" b="0" baseline="0"/>
                  <a:t> H</a:t>
                </a:r>
                <a:r>
                  <a:rPr lang="cs-CZ" b="0"/>
                  <a:t>DP</a:t>
                </a:r>
                <a:endParaRPr lang="en-US" b="0"/>
              </a:p>
            </c:rich>
          </c:tx>
          <c:layout/>
          <c:overlay val="0"/>
        </c:title>
        <c:numFmt formatCode="0" sourceLinked="0"/>
        <c:majorTickMark val="out"/>
        <c:minorTickMark val="none"/>
        <c:tickLblPos val="high"/>
        <c:crossAx val="199066752"/>
        <c:crosses val="max"/>
        <c:crossBetween val="midCat"/>
      </c:valAx>
      <c:valAx>
        <c:axId val="199066752"/>
        <c:scaling>
          <c:orientation val="minMax"/>
        </c:scaling>
        <c:delete val="1"/>
        <c:axPos val="b"/>
        <c:majorTickMark val="out"/>
        <c:minorTickMark val="none"/>
        <c:tickLblPos val="nextTo"/>
        <c:crossAx val="199064576"/>
        <c:crossesAt val="0"/>
        <c:crossBetween val="midCat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baseline="0">
                <a:solidFill>
                  <a:sysClr val="windowText" lastClr="000000"/>
                </a:solidFill>
              </a:rPr>
              <a:t>Meziroční relativní změna zadlužení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327443169977992"/>
          <c:y val="0.17835633326795464"/>
          <c:w val="0.85717001152802641"/>
          <c:h val="0.60008852633563825"/>
        </c:manualLayout>
      </c:layout>
      <c:barChart>
        <c:barDir val="col"/>
        <c:grouping val="stacked"/>
        <c:varyColors val="0"/>
        <c:ser>
          <c:idx val="2"/>
          <c:order val="1"/>
          <c:tx>
            <c:strRef>
              <c:f>dluh!$B$19</c:f>
              <c:strCache>
                <c:ptCount val="1"/>
                <c:pt idx="0">
                  <c:v>vliv změny HDP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dluh!$CV$3:$DD$3</c:f>
              <c:strCache>
                <c:ptCount val="9"/>
                <c:pt idx="0">
                  <c:v>1.Q 2023</c:v>
                </c:pt>
                <c:pt idx="1">
                  <c:v>2.Q 2023</c:v>
                </c:pt>
                <c:pt idx="2">
                  <c:v>3.Q 2023</c:v>
                </c:pt>
                <c:pt idx="3">
                  <c:v>4.Q 2023</c:v>
                </c:pt>
                <c:pt idx="4">
                  <c:v>1.Q 2024</c:v>
                </c:pt>
                <c:pt idx="5">
                  <c:v>2.Q 2024</c:v>
                </c:pt>
                <c:pt idx="6">
                  <c:v>3.Q 2024</c:v>
                </c:pt>
                <c:pt idx="7">
                  <c:v>4.Q 2024</c:v>
                </c:pt>
                <c:pt idx="8">
                  <c:v>1.Q 2025</c:v>
                </c:pt>
              </c:strCache>
            </c:strRef>
          </c:cat>
          <c:val>
            <c:numRef>
              <c:f>dluh!$CV$19:$DD$19</c:f>
              <c:numCache>
                <c:formatCode>0.0</c:formatCode>
                <c:ptCount val="9"/>
                <c:pt idx="0">
                  <c:v>-4.2605108987800264</c:v>
                </c:pt>
                <c:pt idx="1">
                  <c:v>-4.1900203013160748</c:v>
                </c:pt>
                <c:pt idx="2">
                  <c:v>-3.9013228322627143</c:v>
                </c:pt>
                <c:pt idx="3">
                  <c:v>-3.3850351915128059</c:v>
                </c:pt>
                <c:pt idx="4">
                  <c:v>-2.7373854219271436</c:v>
                </c:pt>
                <c:pt idx="5">
                  <c:v>-2.2429057466729247</c:v>
                </c:pt>
                <c:pt idx="6">
                  <c:v>-2.2668325083182879</c:v>
                </c:pt>
                <c:pt idx="7">
                  <c:v>-2.0601941757212785</c:v>
                </c:pt>
                <c:pt idx="8">
                  <c:v>-2.2057860642219609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B4-4A95-8E18-D6BD6B9AF616}"/>
            </c:ext>
          </c:extLst>
        </c:ser>
        <c:ser>
          <c:idx val="3"/>
          <c:order val="2"/>
          <c:tx>
            <c:strRef>
              <c:f>dluh!$B$20</c:f>
              <c:strCache>
                <c:ptCount val="1"/>
                <c:pt idx="0">
                  <c:v>vliv změny dluhu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dluh!$CV$3:$DD$3</c:f>
              <c:strCache>
                <c:ptCount val="9"/>
                <c:pt idx="0">
                  <c:v>1.Q 2023</c:v>
                </c:pt>
                <c:pt idx="1">
                  <c:v>2.Q 2023</c:v>
                </c:pt>
                <c:pt idx="2">
                  <c:v>3.Q 2023</c:v>
                </c:pt>
                <c:pt idx="3">
                  <c:v>4.Q 2023</c:v>
                </c:pt>
                <c:pt idx="4">
                  <c:v>1.Q 2024</c:v>
                </c:pt>
                <c:pt idx="5">
                  <c:v>2.Q 2024</c:v>
                </c:pt>
                <c:pt idx="6">
                  <c:v>3.Q 2024</c:v>
                </c:pt>
                <c:pt idx="7">
                  <c:v>4.Q 2024</c:v>
                </c:pt>
                <c:pt idx="8">
                  <c:v>1.Q 2025</c:v>
                </c:pt>
              </c:strCache>
            </c:strRef>
          </c:cat>
          <c:val>
            <c:numRef>
              <c:f>dluh!$CV$20:$DD$20</c:f>
              <c:numCache>
                <c:formatCode>0.0</c:formatCode>
                <c:ptCount val="9"/>
                <c:pt idx="0">
                  <c:v>5.6605108987800268</c:v>
                </c:pt>
                <c:pt idx="1">
                  <c:v>4.7900203013160745</c:v>
                </c:pt>
                <c:pt idx="2">
                  <c:v>3.1013228322627144</c:v>
                </c:pt>
                <c:pt idx="3">
                  <c:v>3.085035191512806</c:v>
                </c:pt>
                <c:pt idx="4">
                  <c:v>3.0373854219271434</c:v>
                </c:pt>
                <c:pt idx="5">
                  <c:v>2.1429057466729247</c:v>
                </c:pt>
                <c:pt idx="6">
                  <c:v>2.966832508318288</c:v>
                </c:pt>
                <c:pt idx="7">
                  <c:v>3.1601941757212786</c:v>
                </c:pt>
                <c:pt idx="8">
                  <c:v>2.5057860642219607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B4-4A95-8E18-D6BD6B9AF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515520352"/>
        <c:axId val="1515512032"/>
      </c:barChart>
      <c:scatterChart>
        <c:scatterStyle val="lineMarker"/>
        <c:varyColors val="0"/>
        <c:ser>
          <c:idx val="1"/>
          <c:order val="0"/>
          <c:tx>
            <c:strRef>
              <c:f>dluh!$B$18</c:f>
              <c:strCache>
                <c:ptCount val="1"/>
                <c:pt idx="0">
                  <c:v>celková změna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25400">
                <a:solidFill>
                  <a:srgbClr val="FF0000"/>
                </a:solidFill>
              </a:ln>
              <a:effectLst/>
            </c:spPr>
          </c:marker>
          <c:dPt>
            <c:idx val="3"/>
            <c:marker>
              <c:symbol val="circle"/>
              <c:size val="5"/>
              <c:spPr>
                <a:solidFill>
                  <a:srgbClr val="FF0000"/>
                </a:solidFill>
                <a:ln w="25400">
                  <a:solidFill>
                    <a:srgbClr val="FF0000"/>
                  </a:solidFill>
                </a:ln>
                <a:effectLst>
                  <a:outerShdw blurRad="88900" dist="76200" dir="8400000" sx="103000" sy="103000" algn="ctr" rotWithShape="0">
                    <a:srgbClr val="000000">
                      <a:alpha val="43137"/>
                    </a:srgbClr>
                  </a:outerShdw>
                </a:effectLst>
              </c:spPr>
            </c:marker>
            <c:bubble3D val="0"/>
            <c:spPr>
              <a:ln w="25400" cap="rnd">
                <a:noFill/>
                <a:round/>
              </a:ln>
              <a:effectLst>
                <a:outerShdw blurRad="88900" dist="76200" dir="8400000" sx="103000" sy="103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7B4-4A95-8E18-D6BD6B9AF616}"/>
              </c:ext>
            </c:extLst>
          </c:dPt>
          <c:dLbls>
            <c:dLbl>
              <c:idx val="0"/>
              <c:layout>
                <c:manualLayout>
                  <c:x val="-3.1758468455789217E-2"/>
                  <c:y val="8.0829941167533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7B4-4A95-8E18-D6BD6B9AF616}"/>
                </c:ext>
              </c:extLst>
            </c:dLbl>
            <c:dLbl>
              <c:idx val="1"/>
              <c:layout>
                <c:manualLayout>
                  <c:x val="-3.1119954667002465E-2"/>
                  <c:y val="8.4571015449416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7B4-4A95-8E18-D6BD6B9AF616}"/>
                </c:ext>
              </c:extLst>
            </c:dLbl>
            <c:dLbl>
              <c:idx val="2"/>
              <c:layout>
                <c:manualLayout>
                  <c:x val="-3.7880460144739669E-2"/>
                  <c:y val="7.606885965601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7B4-4A95-8E18-D6BD6B9AF616}"/>
                </c:ext>
              </c:extLst>
            </c:dLbl>
            <c:dLbl>
              <c:idx val="3"/>
              <c:layout>
                <c:manualLayout>
                  <c:x val="-3.6025844253005618E-2"/>
                  <c:y val="9.6206013170509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7B4-4A95-8E18-D6BD6B9AF616}"/>
                </c:ext>
              </c:extLst>
            </c:dLbl>
            <c:dLbl>
              <c:idx val="4"/>
              <c:layout>
                <c:manualLayout>
                  <c:x val="-3.3401419248746393E-2"/>
                  <c:y val="8.2431986420859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7B4-4A95-8E18-D6BD6B9AF616}"/>
                </c:ext>
              </c:extLst>
            </c:dLbl>
            <c:dLbl>
              <c:idx val="5"/>
              <c:layout>
                <c:manualLayout>
                  <c:x val="-3.5540477477944692E-2"/>
                  <c:y val="6.4874450573917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7B4-4A95-8E18-D6BD6B9AF616}"/>
                </c:ext>
              </c:extLst>
            </c:dLbl>
            <c:dLbl>
              <c:idx val="6"/>
              <c:layout>
                <c:manualLayout>
                  <c:x val="-3.4483633454567092E-2"/>
                  <c:y val="8.372808189395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7B4-4A95-8E18-D6BD6B9AF616}"/>
                </c:ext>
              </c:extLst>
            </c:dLbl>
            <c:dLbl>
              <c:idx val="7"/>
              <c:layout>
                <c:manualLayout>
                  <c:x val="-3.4761964726187214E-2"/>
                  <c:y val="7.818117046746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7B4-4A95-8E18-D6BD6B9AF616}"/>
                </c:ext>
              </c:extLst>
            </c:dLbl>
            <c:dLbl>
              <c:idx val="8"/>
              <c:layout>
                <c:manualLayout>
                  <c:x val="-3.6048251494433546E-2"/>
                  <c:y val="6.2471906580539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7B4-4A95-8E18-D6BD6B9AF61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yVal>
            <c:numRef>
              <c:f>dluh!$CV$18:$DD$18</c:f>
              <c:numCache>
                <c:formatCode>0.0</c:formatCode>
                <c:ptCount val="9"/>
                <c:pt idx="0">
                  <c:v>1.4</c:v>
                </c:pt>
                <c:pt idx="1">
                  <c:v>0.6</c:v>
                </c:pt>
                <c:pt idx="2">
                  <c:v>-0.8</c:v>
                </c:pt>
                <c:pt idx="3">
                  <c:v>-0.3</c:v>
                </c:pt>
                <c:pt idx="4">
                  <c:v>0.3</c:v>
                </c:pt>
                <c:pt idx="5">
                  <c:v>-0.1</c:v>
                </c:pt>
                <c:pt idx="6">
                  <c:v>0.7</c:v>
                </c:pt>
                <c:pt idx="7">
                  <c:v>1.1000000000000001</c:v>
                </c:pt>
                <c:pt idx="8">
                  <c:v>0.3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A7B4-4A95-8E18-D6BD6B9AF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5520352"/>
        <c:axId val="1515512032"/>
      </c:scatterChart>
      <c:catAx>
        <c:axId val="151552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15512032"/>
        <c:crosses val="autoZero"/>
        <c:auto val="1"/>
        <c:lblAlgn val="ctr"/>
        <c:lblOffset val="100"/>
        <c:noMultiLvlLbl val="0"/>
      </c:catAx>
      <c:valAx>
        <c:axId val="151551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aseline="0">
                    <a:solidFill>
                      <a:sysClr val="windowText" lastClr="000000"/>
                    </a:solidFill>
                  </a:rPr>
                  <a:t>p. b.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155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10798642542496E-2"/>
          <c:y val="3.9331753660506064E-2"/>
          <c:w val="0.90350569010863835"/>
          <c:h val="0.93476979790929948"/>
        </c:manualLayout>
      </c:layout>
      <c:lineChart>
        <c:grouping val="standard"/>
        <c:varyColors val="0"/>
        <c:ser>
          <c:idx val="0"/>
          <c:order val="0"/>
          <c:tx>
            <c:strRef>
              <c:f>SEZ!$E$2</c:f>
              <c:strCache>
                <c:ptCount val="1"/>
                <c:pt idx="0">
                  <c:v>% HDP</c:v>
                </c:pt>
              </c:strCache>
            </c:strRef>
          </c:tx>
          <c:spPr>
            <a:ln w="28575" cap="rnd">
              <a:solidFill>
                <a:srgbClr val="0066CC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66CC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237534805866178E-2"/>
                  <c:y val="5.749403514505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ABC-41F4-9911-C1B3C84A9B6E}"/>
                </c:ext>
              </c:extLst>
            </c:dLbl>
            <c:dLbl>
              <c:idx val="1"/>
              <c:layout>
                <c:manualLayout>
                  <c:x val="-3.6903126835172967E-2"/>
                  <c:y val="6.2362233190566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ABC-41F4-9911-C1B3C84A9B6E}"/>
                </c:ext>
              </c:extLst>
            </c:dLbl>
            <c:dLbl>
              <c:idx val="2"/>
              <c:layout>
                <c:manualLayout>
                  <c:x val="-3.5440663402493272E-2"/>
                  <c:y val="6.9966023635497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ABC-41F4-9911-C1B3C84A9B6E}"/>
                </c:ext>
              </c:extLst>
            </c:dLbl>
            <c:dLbl>
              <c:idx val="3"/>
              <c:layout>
                <c:manualLayout>
                  <c:x val="-5.111832504944408E-2"/>
                  <c:y val="0.104259016649225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294945963363236E-2"/>
                      <c:h val="9.37026704938274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ABC-41F4-9911-C1B3C84A9B6E}"/>
                </c:ext>
              </c:extLst>
            </c:dLbl>
            <c:dLbl>
              <c:idx val="4"/>
              <c:layout>
                <c:manualLayout>
                  <c:x val="-3.3488270457255956E-2"/>
                  <c:y val="0.10217335747278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ABC-41F4-9911-C1B3C84A9B6E}"/>
                </c:ext>
              </c:extLst>
            </c:dLbl>
            <c:dLbl>
              <c:idx val="5"/>
              <c:layout>
                <c:manualLayout>
                  <c:x val="-3.3840610106385026E-2"/>
                  <c:y val="6.2787658467492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ABC-41F4-9911-C1B3C84A9B6E}"/>
                </c:ext>
              </c:extLst>
            </c:dLbl>
            <c:dLbl>
              <c:idx val="6"/>
              <c:layout>
                <c:manualLayout>
                  <c:x val="-3.20425700212131E-2"/>
                  <c:y val="6.7087557725690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ABC-41F4-9911-C1B3C84A9B6E}"/>
                </c:ext>
              </c:extLst>
            </c:dLbl>
            <c:dLbl>
              <c:idx val="7"/>
              <c:layout>
                <c:manualLayout>
                  <c:x val="-3.1117343208811227E-2"/>
                  <c:y val="5.1831588191983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ABC-41F4-9911-C1B3C84A9B6E}"/>
                </c:ext>
              </c:extLst>
            </c:dLbl>
            <c:dLbl>
              <c:idx val="8"/>
              <c:layout>
                <c:manualLayout>
                  <c:x val="-2.7337815649756108E-2"/>
                  <c:y val="6.2681302148260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ABC-41F4-9911-C1B3C84A9B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SEZ!$A$87:$A$95</c:f>
              <c:strCache>
                <c:ptCount val="9"/>
                <c:pt idx="0">
                  <c:v>1.Q 2023</c:v>
                </c:pt>
                <c:pt idx="1">
                  <c:v>2.Q 2023</c:v>
                </c:pt>
                <c:pt idx="2">
                  <c:v>3.Q 2023</c:v>
                </c:pt>
                <c:pt idx="3">
                  <c:v>4.Q 2023</c:v>
                </c:pt>
                <c:pt idx="4">
                  <c:v>1.Q 2024</c:v>
                </c:pt>
                <c:pt idx="5">
                  <c:v>2.Q 2024</c:v>
                </c:pt>
                <c:pt idx="6">
                  <c:v>3.Q 2024</c:v>
                </c:pt>
                <c:pt idx="7">
                  <c:v>4.Q 2024</c:v>
                </c:pt>
                <c:pt idx="8">
                  <c:v>1.Q 2025</c:v>
                </c:pt>
              </c:strCache>
            </c:strRef>
          </c:cat>
          <c:val>
            <c:numRef>
              <c:f>SEZ!$E$87:$E$95</c:f>
              <c:numCache>
                <c:formatCode>0.0</c:formatCode>
                <c:ptCount val="9"/>
                <c:pt idx="0">
                  <c:v>-4.1061065977435929</c:v>
                </c:pt>
                <c:pt idx="1">
                  <c:v>-3.5721808149016305</c:v>
                </c:pt>
                <c:pt idx="2">
                  <c:v>-3.557766932855476</c:v>
                </c:pt>
                <c:pt idx="3">
                  <c:v>-3.7298042595353396</c:v>
                </c:pt>
                <c:pt idx="4">
                  <c:v>-1.7268787480192342</c:v>
                </c:pt>
                <c:pt idx="5">
                  <c:v>-2.5068251677812108</c:v>
                </c:pt>
                <c:pt idx="6">
                  <c:v>-2.6185964808400195</c:v>
                </c:pt>
                <c:pt idx="7">
                  <c:v>-1.9325687360062553</c:v>
                </c:pt>
                <c:pt idx="8">
                  <c:v>-2.2269629237501478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ABC-41F4-9911-C1B3C84A9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997200"/>
        <c:axId val="333288000"/>
      </c:lineChart>
      <c:catAx>
        <c:axId val="54899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33288000"/>
        <c:crosses val="autoZero"/>
        <c:auto val="1"/>
        <c:lblAlgn val="ctr"/>
        <c:lblOffset val="100"/>
        <c:noMultiLvlLbl val="0"/>
      </c:catAx>
      <c:valAx>
        <c:axId val="333288000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  <a:r>
                  <a:rPr lang="cs-CZ" sz="800" baseline="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HDP</a:t>
                </a:r>
                <a:endParaRPr lang="cs-CZ" sz="800">
                  <a:solidFill>
                    <a:schemeClr val="tx1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8.3594580109196247E-3"/>
              <c:y val="0.341689536492804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.0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48997200"/>
        <c:crosses val="autoZero"/>
        <c:crossBetween val="between"/>
        <c:majorUnit val="1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documentManagement/types"/>
    <ds:schemaRef ds:uri="8675fb2b-b414-4bad-b4c4-d9349268b5a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406a38fe-c53c-4047-b0f8-c641386931a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AC65AC-5461-454D-A60D-19D288153347}"/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84794-6664-4EDC-A7E8-C14A10C0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53</TotalTime>
  <Pages>3</Pages>
  <Words>741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Hospodaření vládních institucí skončilo v deficitu</vt:lpstr>
      <vt:lpstr>Deficit a dluh vládních institucí – 1. čtvrtletí 2025</vt:lpstr>
    </vt:vector>
  </TitlesOfParts>
  <Company>ČSÚ</Company>
  <LinksUpToDate>false</LinksUpToDate>
  <CharactersWithSpaces>5107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Houžvičková</dc:creator>
  <cp:lastModifiedBy>Houžvičková Helena</cp:lastModifiedBy>
  <cp:revision>4</cp:revision>
  <cp:lastPrinted>2025-06-30T06:50:00Z</cp:lastPrinted>
  <dcterms:created xsi:type="dcterms:W3CDTF">2025-06-26T13:03:00Z</dcterms:created>
  <dcterms:modified xsi:type="dcterms:W3CDTF">2025-06-30T07:40:00Z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