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1BA3" w14:textId="520B5ABA" w:rsidR="002E7D74" w:rsidRPr="005240F2" w:rsidRDefault="00FC20E4" w:rsidP="002E7D74">
      <w:pPr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31</w:t>
      </w:r>
      <w:r w:rsidR="007A66A3">
        <w:rPr>
          <w:rFonts w:cs="Arial"/>
          <w:b/>
          <w:sz w:val="18"/>
        </w:rPr>
        <w:t>. 0</w:t>
      </w:r>
      <w:r>
        <w:rPr>
          <w:rFonts w:cs="Arial"/>
          <w:b/>
          <w:sz w:val="18"/>
        </w:rPr>
        <w:t>3</w:t>
      </w:r>
      <w:r w:rsidR="007A66A3">
        <w:rPr>
          <w:rFonts w:cs="Arial"/>
          <w:b/>
          <w:sz w:val="18"/>
        </w:rPr>
        <w:t>.</w:t>
      </w:r>
      <w:r w:rsidR="002E7D74">
        <w:rPr>
          <w:rFonts w:cs="Arial"/>
          <w:b/>
          <w:sz w:val="18"/>
        </w:rPr>
        <w:t xml:space="preserve"> 202</w:t>
      </w:r>
      <w:r w:rsidR="00200914">
        <w:rPr>
          <w:rFonts w:cs="Arial"/>
          <w:b/>
          <w:sz w:val="18"/>
        </w:rPr>
        <w:t>6</w:t>
      </w:r>
    </w:p>
    <w:p w14:paraId="0EC826C6" w14:textId="350B4293" w:rsidR="006E3A34" w:rsidRPr="005240F2" w:rsidRDefault="006E3A34" w:rsidP="006E3A34">
      <w:pPr>
        <w:spacing w:before="280" w:line="320" w:lineRule="exact"/>
        <w:jc w:val="lef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Příjmy</w:t>
      </w:r>
      <w:r w:rsidRPr="005240F2">
        <w:rPr>
          <w:rFonts w:eastAsia="Times New Roman"/>
          <w:b/>
          <w:bCs/>
          <w:color w:val="BD1B21"/>
          <w:sz w:val="32"/>
          <w:szCs w:val="32"/>
        </w:rPr>
        <w:t> domácno</w:t>
      </w:r>
      <w:r>
        <w:rPr>
          <w:rFonts w:eastAsia="Times New Roman"/>
          <w:b/>
          <w:bCs/>
          <w:color w:val="BD1B21"/>
          <w:sz w:val="32"/>
          <w:szCs w:val="32"/>
        </w:rPr>
        <w:t>stí v loňském roce stouply reálně o 1,</w:t>
      </w:r>
      <w:r w:rsidR="002E6750">
        <w:rPr>
          <w:rFonts w:eastAsia="Times New Roman"/>
          <w:b/>
          <w:bCs/>
          <w:color w:val="BD1B21"/>
          <w:sz w:val="32"/>
          <w:szCs w:val="32"/>
        </w:rPr>
        <w:t>1</w:t>
      </w:r>
      <w:r w:rsidRPr="005240F2">
        <w:rPr>
          <w:rFonts w:eastAsia="Times New Roman"/>
          <w:b/>
          <w:bCs/>
          <w:color w:val="BD1B21"/>
          <w:sz w:val="32"/>
          <w:szCs w:val="32"/>
        </w:rPr>
        <w:t> %</w:t>
      </w:r>
    </w:p>
    <w:p w14:paraId="2F84241E" w14:textId="136F8A37" w:rsidR="006E3A34" w:rsidRPr="005240F2" w:rsidRDefault="006E3A34" w:rsidP="006E3A34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Čtvrtletní sektorové účty – 4</w:t>
      </w:r>
      <w:r w:rsidRPr="005240F2">
        <w:rPr>
          <w:rFonts w:eastAsia="Times New Roman"/>
          <w:b/>
          <w:bCs/>
          <w:sz w:val="28"/>
          <w:szCs w:val="28"/>
        </w:rPr>
        <w:t>. čtvrtletí 202</w:t>
      </w:r>
      <w:r>
        <w:rPr>
          <w:rFonts w:eastAsia="Times New Roman"/>
          <w:b/>
          <w:bCs/>
          <w:sz w:val="28"/>
          <w:szCs w:val="28"/>
        </w:rPr>
        <w:t>5</w:t>
      </w:r>
    </w:p>
    <w:p w14:paraId="7B6A507C" w14:textId="7FE6D578" w:rsidR="006E3A34" w:rsidRPr="005240F2" w:rsidRDefault="006E3A34" w:rsidP="006E3A34">
      <w:pPr>
        <w:autoSpaceDE w:val="0"/>
        <w:autoSpaceDN w:val="0"/>
        <w:adjustRightInd w:val="0"/>
        <w:spacing w:after="280"/>
        <w:rPr>
          <w:rFonts w:cs="Arial"/>
          <w:b/>
          <w:color w:val="000000"/>
          <w:szCs w:val="18"/>
        </w:rPr>
      </w:pPr>
      <w:r w:rsidRPr="003B0ED7">
        <w:rPr>
          <w:rFonts w:cs="Arial"/>
          <w:b/>
          <w:color w:val="000000"/>
          <w:szCs w:val="18"/>
        </w:rPr>
        <w:t>Úhrn peněžních a nepeněžní</w:t>
      </w:r>
      <w:r>
        <w:rPr>
          <w:rFonts w:cs="Arial"/>
          <w:b/>
          <w:color w:val="000000"/>
          <w:szCs w:val="18"/>
        </w:rPr>
        <w:t>ch příjmů domácností v roce 2025 stoupl reálně o 1</w:t>
      </w:r>
      <w:r w:rsidRPr="003B0ED7">
        <w:rPr>
          <w:rFonts w:cs="Arial"/>
          <w:b/>
          <w:color w:val="000000"/>
          <w:szCs w:val="18"/>
        </w:rPr>
        <w:t>,</w:t>
      </w:r>
      <w:r w:rsidR="002E6750">
        <w:rPr>
          <w:rFonts w:cs="Arial"/>
          <w:b/>
          <w:color w:val="000000"/>
          <w:szCs w:val="18"/>
        </w:rPr>
        <w:t>1</w:t>
      </w:r>
      <w:r w:rsidRPr="003B0ED7">
        <w:rPr>
          <w:rFonts w:cs="Arial"/>
          <w:b/>
          <w:color w:val="000000"/>
          <w:szCs w:val="18"/>
        </w:rPr>
        <w:t xml:space="preserve"> % a reálná spotřeba na obyv</w:t>
      </w:r>
      <w:r>
        <w:rPr>
          <w:rFonts w:cs="Arial"/>
          <w:b/>
          <w:color w:val="000000"/>
          <w:szCs w:val="18"/>
        </w:rPr>
        <w:t xml:space="preserve">atele se meziročně zvýšila o </w:t>
      </w:r>
      <w:r w:rsidR="002E6750">
        <w:rPr>
          <w:rFonts w:cs="Arial"/>
          <w:b/>
          <w:color w:val="000000"/>
          <w:szCs w:val="18"/>
        </w:rPr>
        <w:t>3,0</w:t>
      </w:r>
      <w:r w:rsidRPr="003B0ED7">
        <w:rPr>
          <w:rFonts w:cs="Arial"/>
          <w:b/>
          <w:color w:val="000000"/>
          <w:szCs w:val="18"/>
        </w:rPr>
        <w:t xml:space="preserve"> %. Míra úspor </w:t>
      </w:r>
      <w:r>
        <w:rPr>
          <w:rFonts w:cs="Arial"/>
          <w:b/>
          <w:color w:val="000000"/>
          <w:szCs w:val="18"/>
        </w:rPr>
        <w:t xml:space="preserve">klesla proti roku 2024 o </w:t>
      </w:r>
      <w:r w:rsidR="002E6750">
        <w:rPr>
          <w:rFonts w:cs="Arial"/>
          <w:b/>
          <w:color w:val="000000"/>
          <w:szCs w:val="18"/>
        </w:rPr>
        <w:t>1,2</w:t>
      </w:r>
      <w:r>
        <w:rPr>
          <w:rFonts w:cs="Arial"/>
          <w:b/>
          <w:color w:val="000000"/>
          <w:szCs w:val="18"/>
        </w:rPr>
        <w:t xml:space="preserve"> p. b. na 1</w:t>
      </w:r>
      <w:r w:rsidR="002E6750">
        <w:rPr>
          <w:rFonts w:cs="Arial"/>
          <w:b/>
          <w:color w:val="000000"/>
          <w:szCs w:val="18"/>
        </w:rPr>
        <w:t>9,1</w:t>
      </w:r>
      <w:r w:rsidRPr="003B0ED7">
        <w:rPr>
          <w:rFonts w:cs="Arial"/>
          <w:b/>
          <w:color w:val="000000"/>
          <w:szCs w:val="18"/>
        </w:rPr>
        <w:t xml:space="preserve"> %. Zisky náležící zahraničním vlastníkům korporací dosáhly v loňském </w:t>
      </w:r>
      <w:r w:rsidRPr="00E52A1F">
        <w:rPr>
          <w:rFonts w:cs="Arial"/>
          <w:b/>
          <w:szCs w:val="18"/>
        </w:rPr>
        <w:t xml:space="preserve">roce </w:t>
      </w:r>
      <w:r w:rsidR="005933AE">
        <w:rPr>
          <w:rFonts w:cs="Arial"/>
          <w:b/>
          <w:szCs w:val="18"/>
        </w:rPr>
        <w:t>7,0</w:t>
      </w:r>
      <w:r w:rsidRPr="00E52A1F">
        <w:rPr>
          <w:rFonts w:cs="Arial"/>
          <w:b/>
          <w:szCs w:val="18"/>
        </w:rPr>
        <w:t xml:space="preserve"> % </w:t>
      </w:r>
      <w:r w:rsidRPr="003B0ED7">
        <w:rPr>
          <w:rFonts w:cs="Arial"/>
          <w:b/>
          <w:color w:val="000000"/>
          <w:szCs w:val="18"/>
        </w:rPr>
        <w:t>HDP.</w:t>
      </w:r>
    </w:p>
    <w:p w14:paraId="389EB117" w14:textId="77777777" w:rsidR="006E3A34" w:rsidRPr="005240F2" w:rsidRDefault="006E3A34" w:rsidP="006E3A34">
      <w:pPr>
        <w:autoSpaceDE w:val="0"/>
        <w:autoSpaceDN w:val="0"/>
        <w:adjustRightInd w:val="0"/>
        <w:rPr>
          <w:rFonts w:cs="Arial"/>
          <w:b/>
          <w:color w:val="000000"/>
          <w:szCs w:val="18"/>
        </w:rPr>
      </w:pPr>
      <w:r>
        <w:rPr>
          <w:rFonts w:cs="Arial"/>
          <w:b/>
          <w:color w:val="000000"/>
          <w:szCs w:val="18"/>
        </w:rPr>
        <w:t>Nefinanční podniky: míra</w:t>
      </w:r>
      <w:r w:rsidRPr="005240F2">
        <w:rPr>
          <w:rFonts w:cs="Arial"/>
          <w:b/>
          <w:color w:val="000000"/>
          <w:szCs w:val="18"/>
        </w:rPr>
        <w:t xml:space="preserve"> zisku</w:t>
      </w:r>
      <w:r>
        <w:rPr>
          <w:rFonts w:cs="Arial"/>
          <w:b/>
          <w:color w:val="000000"/>
          <w:szCs w:val="18"/>
        </w:rPr>
        <w:t xml:space="preserve"> klesla</w:t>
      </w:r>
    </w:p>
    <w:p w14:paraId="626921E6" w14:textId="77777777" w:rsidR="002F330B" w:rsidRDefault="006E3A34" w:rsidP="006E3A34">
      <w:r w:rsidRPr="005240F2">
        <w:rPr>
          <w:b/>
          <w:i/>
        </w:rPr>
        <w:t>Míra zisku</w:t>
      </w:r>
      <w:r>
        <w:t xml:space="preserve"> ve 4. čtvrtletí byla </w:t>
      </w:r>
      <w:r w:rsidR="007B3593">
        <w:t>42,7</w:t>
      </w:r>
      <w:r>
        <w:t xml:space="preserve"> %, což je o </w:t>
      </w:r>
      <w:r w:rsidR="007B3593">
        <w:t>0,3</w:t>
      </w:r>
      <w:r w:rsidRPr="005240F2">
        <w:t xml:space="preserve"> procentního bodu (p. b.)</w:t>
      </w:r>
      <w:r w:rsidRPr="005240F2">
        <w:rPr>
          <w:vertAlign w:val="superscript"/>
        </w:rPr>
        <w:t xml:space="preserve"> </w:t>
      </w:r>
      <w:r>
        <w:t>méně</w:t>
      </w:r>
      <w:r w:rsidRPr="005240F2">
        <w:t xml:space="preserve"> n</w:t>
      </w:r>
      <w:r>
        <w:t xml:space="preserve">ež v předchozím čtvrtletí a o </w:t>
      </w:r>
      <w:r w:rsidR="007B3593">
        <w:t>1,1</w:t>
      </w:r>
      <w:r w:rsidRPr="005240F2">
        <w:t xml:space="preserve"> p. b.</w:t>
      </w:r>
      <w:r w:rsidRPr="005240F2">
        <w:rPr>
          <w:vertAlign w:val="superscript"/>
        </w:rPr>
        <w:t xml:space="preserve">1 </w:t>
      </w:r>
      <w:r w:rsidRPr="005240F2">
        <w:t>méně než před rokem. Celkové mzdové náklady nefinančních</w:t>
      </w:r>
      <w:r>
        <w:t xml:space="preserve"> podniků meziročně stouply o </w:t>
      </w:r>
      <w:r w:rsidR="007B3593">
        <w:t>7,8</w:t>
      </w:r>
      <w:r w:rsidRPr="005240F2">
        <w:t xml:space="preserve"> %</w:t>
      </w:r>
      <w:r w:rsidRPr="005240F2">
        <w:rPr>
          <w:vertAlign w:val="superscript"/>
        </w:rPr>
        <w:t>1</w:t>
      </w:r>
      <w:r w:rsidRPr="005240F2">
        <w:t xml:space="preserve">. </w:t>
      </w:r>
    </w:p>
    <w:p w14:paraId="3AFC8590" w14:textId="37620C1D" w:rsidR="006E3A34" w:rsidRPr="005240F2" w:rsidRDefault="006E3A34" w:rsidP="006E3A34">
      <w:r w:rsidRPr="005240F2">
        <w:rPr>
          <w:b/>
          <w:i/>
        </w:rPr>
        <w:t>Míra investic</w:t>
      </w:r>
      <w:r w:rsidRPr="005240F2">
        <w:t xml:space="preserve"> </w:t>
      </w:r>
      <w:r w:rsidR="007B3593">
        <w:t xml:space="preserve">se </w:t>
      </w:r>
      <w:r>
        <w:t xml:space="preserve">mezičtvrtletně </w:t>
      </w:r>
      <w:r w:rsidR="007B3593">
        <w:t>zvýšila o 0,1 p. b.</w:t>
      </w:r>
      <w:r>
        <w:t xml:space="preserve"> a dosáhla 26,9 %. Meziročně se snížila o</w:t>
      </w:r>
      <w:r w:rsidR="00785F4E">
        <w:t> </w:t>
      </w:r>
      <w:r w:rsidR="007B3593">
        <w:t>0,9</w:t>
      </w:r>
      <w:r w:rsidR="00785F4E">
        <w:t> </w:t>
      </w:r>
      <w:r w:rsidRPr="005240F2">
        <w:t>p.b.</w:t>
      </w:r>
      <w:r w:rsidRPr="005240F2">
        <w:rPr>
          <w:vertAlign w:val="superscript"/>
        </w:rPr>
        <w:t>1</w:t>
      </w:r>
    </w:p>
    <w:p w14:paraId="049CC6B9" w14:textId="77777777" w:rsidR="006E3A34" w:rsidRPr="005240F2" w:rsidRDefault="006E3A34" w:rsidP="006E3A34"/>
    <w:p w14:paraId="0D805FC8" w14:textId="77777777" w:rsidR="006E3A34" w:rsidRPr="005240F2" w:rsidRDefault="006E3A34" w:rsidP="006E3A34">
      <w:pPr>
        <w:autoSpaceDE w:val="0"/>
        <w:autoSpaceDN w:val="0"/>
        <w:adjustRightInd w:val="0"/>
        <w:jc w:val="left"/>
        <w:rPr>
          <w:rFonts w:cs="Arial"/>
          <w:color w:val="000000"/>
          <w:szCs w:val="18"/>
        </w:rPr>
      </w:pPr>
      <w:r w:rsidRPr="005240F2">
        <w:rPr>
          <w:rFonts w:cs="Arial"/>
          <w:b/>
          <w:color w:val="000000" w:themeColor="text1"/>
          <w:szCs w:val="18"/>
        </w:rPr>
        <w:t>Domácnosti:</w:t>
      </w:r>
      <w:r w:rsidRPr="005240F2">
        <w:rPr>
          <w:rFonts w:cs="Arial"/>
          <w:color w:val="000000" w:themeColor="text1"/>
          <w:szCs w:val="18"/>
        </w:rPr>
        <w:t xml:space="preserve"> </w:t>
      </w:r>
      <w:r>
        <w:rPr>
          <w:rFonts w:cs="Arial"/>
          <w:b/>
          <w:color w:val="000000" w:themeColor="text1"/>
          <w:szCs w:val="18"/>
        </w:rPr>
        <w:t>příjmy i spotřeba stouply</w:t>
      </w:r>
    </w:p>
    <w:p w14:paraId="10E73475" w14:textId="3D6C84E2" w:rsidR="006E3A34" w:rsidRPr="005240F2" w:rsidRDefault="006E3A34" w:rsidP="006E3A34">
      <w:pPr>
        <w:autoSpaceDE w:val="0"/>
        <w:autoSpaceDN w:val="0"/>
        <w:adjustRightInd w:val="0"/>
        <w:rPr>
          <w:rFonts w:cs="Arial"/>
          <w:color w:val="000000" w:themeColor="text1"/>
          <w:szCs w:val="18"/>
        </w:rPr>
      </w:pPr>
      <w:r w:rsidRPr="005240F2">
        <w:rPr>
          <w:rFonts w:cs="Arial"/>
          <w:color w:val="000000" w:themeColor="text1"/>
          <w:szCs w:val="18"/>
        </w:rPr>
        <w:t xml:space="preserve">Úhrn </w:t>
      </w:r>
      <w:r w:rsidRPr="005240F2">
        <w:rPr>
          <w:rFonts w:cs="Arial"/>
          <w:b/>
          <w:bCs/>
          <w:color w:val="000000" w:themeColor="text1"/>
          <w:szCs w:val="18"/>
        </w:rPr>
        <w:t>reálných peněžních a nepeněžních příjmů domácností na obyvatele</w:t>
      </w:r>
      <w:r>
        <w:rPr>
          <w:rFonts w:cs="Arial"/>
          <w:color w:val="000000" w:themeColor="text1"/>
          <w:szCs w:val="18"/>
        </w:rPr>
        <w:t xml:space="preserve"> ve 4</w:t>
      </w:r>
      <w:r w:rsidRPr="005240F2">
        <w:rPr>
          <w:rFonts w:cs="Arial"/>
          <w:color w:val="000000" w:themeColor="text1"/>
          <w:szCs w:val="18"/>
        </w:rPr>
        <w:t xml:space="preserve">. čtvrtletí proti předchozímu čtvrtletí </w:t>
      </w:r>
      <w:r>
        <w:rPr>
          <w:rFonts w:cs="Arial"/>
          <w:color w:val="000000" w:themeColor="text1"/>
          <w:szCs w:val="18"/>
        </w:rPr>
        <w:t xml:space="preserve">stoupl o </w:t>
      </w:r>
      <w:r w:rsidR="007B3593">
        <w:rPr>
          <w:rFonts w:cs="Arial"/>
          <w:color w:val="000000" w:themeColor="text1"/>
          <w:szCs w:val="18"/>
        </w:rPr>
        <w:t>1,4</w:t>
      </w:r>
      <w:r>
        <w:rPr>
          <w:rFonts w:cs="Arial"/>
          <w:color w:val="000000" w:themeColor="text1"/>
          <w:szCs w:val="18"/>
        </w:rPr>
        <w:t xml:space="preserve"> %</w:t>
      </w:r>
      <w:r w:rsidRPr="005240F2">
        <w:rPr>
          <w:rFonts w:cs="Arial"/>
          <w:color w:val="000000" w:themeColor="text1"/>
          <w:szCs w:val="18"/>
        </w:rPr>
        <w:t xml:space="preserve">, meziročně </w:t>
      </w:r>
      <w:r>
        <w:rPr>
          <w:rFonts w:cs="Arial"/>
          <w:color w:val="000000" w:themeColor="text1"/>
          <w:szCs w:val="18"/>
        </w:rPr>
        <w:t xml:space="preserve">stoupl o </w:t>
      </w:r>
      <w:r w:rsidR="007B3593">
        <w:rPr>
          <w:rFonts w:cs="Arial"/>
          <w:color w:val="000000" w:themeColor="text1"/>
          <w:szCs w:val="18"/>
        </w:rPr>
        <w:t>2,9</w:t>
      </w:r>
      <w:r w:rsidRPr="005240F2">
        <w:rPr>
          <w:rFonts w:cs="Arial"/>
          <w:color w:val="000000" w:themeColor="text1"/>
          <w:szCs w:val="18"/>
        </w:rPr>
        <w:t> %</w:t>
      </w:r>
      <w:r w:rsidRPr="005240F2">
        <w:rPr>
          <w:rFonts w:cs="Arial"/>
          <w:color w:val="000000" w:themeColor="text1"/>
          <w:szCs w:val="18"/>
          <w:vertAlign w:val="superscript"/>
        </w:rPr>
        <w:t>1</w:t>
      </w:r>
      <w:r w:rsidRPr="005240F2">
        <w:rPr>
          <w:rFonts w:cs="Arial"/>
          <w:color w:val="000000" w:themeColor="text1"/>
          <w:szCs w:val="18"/>
        </w:rPr>
        <w:t>.</w:t>
      </w:r>
    </w:p>
    <w:p w14:paraId="10D413D8" w14:textId="77777777" w:rsidR="006E3A34" w:rsidRPr="005240F2" w:rsidRDefault="006E3A34" w:rsidP="006E3A34"/>
    <w:p w14:paraId="330A06CF" w14:textId="4F395A95" w:rsidR="006E3A34" w:rsidRPr="005240F2" w:rsidRDefault="006E3A34" w:rsidP="006E3A34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5240F2">
        <w:rPr>
          <w:rFonts w:cs="Arial"/>
          <w:b/>
          <w:i/>
          <w:color w:val="000000"/>
          <w:szCs w:val="18"/>
        </w:rPr>
        <w:t>Reálná spotřeba domácností na obyvatele</w:t>
      </w:r>
      <w:r>
        <w:rPr>
          <w:rFonts w:cs="Arial"/>
          <w:color w:val="000000"/>
          <w:szCs w:val="18"/>
        </w:rPr>
        <w:t xml:space="preserve"> stoupla mezičtvrtletně o 1,</w:t>
      </w:r>
      <w:r w:rsidR="007B3593">
        <w:rPr>
          <w:rFonts w:cs="Arial"/>
          <w:color w:val="000000"/>
          <w:szCs w:val="18"/>
        </w:rPr>
        <w:t>4</w:t>
      </w:r>
      <w:r>
        <w:rPr>
          <w:rFonts w:cs="Arial"/>
          <w:color w:val="000000"/>
          <w:szCs w:val="18"/>
        </w:rPr>
        <w:t> % a meziročně se</w:t>
      </w:r>
      <w:r w:rsidR="00785F4E">
        <w:rPr>
          <w:rFonts w:cs="Arial"/>
          <w:color w:val="000000"/>
          <w:szCs w:val="18"/>
        </w:rPr>
        <w:t> </w:t>
      </w:r>
      <w:r>
        <w:rPr>
          <w:rFonts w:cs="Arial"/>
          <w:color w:val="000000"/>
          <w:szCs w:val="18"/>
        </w:rPr>
        <w:t>zvýšila o 3,</w:t>
      </w:r>
      <w:r w:rsidR="007B3593">
        <w:rPr>
          <w:rFonts w:cs="Arial"/>
          <w:color w:val="000000"/>
          <w:szCs w:val="18"/>
        </w:rPr>
        <w:t>1</w:t>
      </w:r>
      <w:r w:rsidRPr="005240F2">
        <w:rPr>
          <w:rFonts w:cs="Arial"/>
          <w:color w:val="000000"/>
          <w:szCs w:val="18"/>
        </w:rPr>
        <w:t xml:space="preserve"> %</w:t>
      </w:r>
      <w:r w:rsidRPr="005240F2">
        <w:rPr>
          <w:rFonts w:cs="Arial"/>
          <w:color w:val="000000"/>
          <w:szCs w:val="18"/>
          <w:vertAlign w:val="superscript"/>
        </w:rPr>
        <w:t>1</w:t>
      </w:r>
      <w:r w:rsidRPr="005240F2">
        <w:rPr>
          <w:rFonts w:cs="Arial"/>
          <w:color w:val="000000"/>
          <w:szCs w:val="18"/>
        </w:rPr>
        <w:t>.</w:t>
      </w:r>
    </w:p>
    <w:p w14:paraId="22B3F5AA" w14:textId="77777777" w:rsidR="006E3A34" w:rsidRPr="005240F2" w:rsidRDefault="006E3A34" w:rsidP="006E3A34"/>
    <w:p w14:paraId="6CE432A7" w14:textId="007C119C" w:rsidR="006E3A34" w:rsidRPr="005240F2" w:rsidRDefault="006E3A34" w:rsidP="006E3A34">
      <w:pPr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/>
          <w:bCs/>
          <w:i/>
          <w:color w:val="000000"/>
          <w:szCs w:val="28"/>
        </w:rPr>
        <w:t>Průměrný měsíční příjem ze zaměstnání</w:t>
      </w:r>
      <w:r>
        <w:rPr>
          <w:rFonts w:eastAsia="Times New Roman"/>
          <w:bCs/>
          <w:color w:val="000000"/>
          <w:szCs w:val="28"/>
        </w:rPr>
        <w:t xml:space="preserve"> dosáhl ve 4</w:t>
      </w:r>
      <w:r w:rsidRPr="005240F2">
        <w:rPr>
          <w:rFonts w:eastAsia="Times New Roman"/>
          <w:bCs/>
          <w:color w:val="000000"/>
          <w:szCs w:val="28"/>
        </w:rPr>
        <w:t xml:space="preserve">. </w:t>
      </w:r>
      <w:r>
        <w:rPr>
          <w:rFonts w:eastAsia="Times New Roman"/>
          <w:bCs/>
          <w:color w:val="000000"/>
          <w:szCs w:val="28"/>
        </w:rPr>
        <w:t>čtvrtletí hodnoty 5</w:t>
      </w:r>
      <w:r w:rsidR="007B3593">
        <w:rPr>
          <w:rFonts w:eastAsia="Times New Roman"/>
          <w:bCs/>
          <w:color w:val="000000"/>
          <w:szCs w:val="28"/>
        </w:rPr>
        <w:t>6</w:t>
      </w:r>
      <w:r>
        <w:rPr>
          <w:rFonts w:eastAsia="Times New Roman"/>
          <w:bCs/>
          <w:color w:val="000000"/>
          <w:szCs w:val="28"/>
        </w:rPr>
        <w:t xml:space="preserve"> </w:t>
      </w:r>
      <w:r w:rsidR="007B3593">
        <w:rPr>
          <w:rFonts w:eastAsia="Times New Roman"/>
          <w:bCs/>
          <w:color w:val="000000"/>
          <w:szCs w:val="28"/>
        </w:rPr>
        <w:t>543</w:t>
      </w:r>
      <w:r w:rsidRPr="005240F2">
        <w:rPr>
          <w:rFonts w:eastAsia="Times New Roman"/>
          <w:bCs/>
          <w:color w:val="000000"/>
          <w:szCs w:val="28"/>
        </w:rPr>
        <w:t xml:space="preserve"> Kč</w:t>
      </w:r>
      <w:r w:rsidRPr="005240F2">
        <w:rPr>
          <w:rFonts w:eastAsia="Times New Roman"/>
          <w:bCs/>
          <w:color w:val="000000"/>
          <w:szCs w:val="28"/>
          <w:vertAlign w:val="superscript"/>
        </w:rPr>
        <w:t>1</w:t>
      </w:r>
      <w:r w:rsidRPr="005240F2">
        <w:rPr>
          <w:rFonts w:eastAsia="Times New Roman"/>
          <w:bCs/>
          <w:color w:val="000000"/>
          <w:szCs w:val="28"/>
        </w:rPr>
        <w:t xml:space="preserve">. Oproti předchozímu </w:t>
      </w:r>
      <w:r>
        <w:rPr>
          <w:rFonts w:eastAsia="Times New Roman"/>
          <w:bCs/>
          <w:color w:val="000000"/>
          <w:szCs w:val="28"/>
        </w:rPr>
        <w:t xml:space="preserve">čtvrtletí se reálně zvýšil o </w:t>
      </w:r>
      <w:r w:rsidR="007B3593">
        <w:rPr>
          <w:rFonts w:eastAsia="Times New Roman"/>
          <w:bCs/>
          <w:color w:val="000000"/>
          <w:szCs w:val="28"/>
        </w:rPr>
        <w:t>1,8</w:t>
      </w:r>
      <w:r>
        <w:rPr>
          <w:rFonts w:eastAsia="Times New Roman"/>
          <w:bCs/>
          <w:color w:val="000000"/>
          <w:szCs w:val="28"/>
        </w:rPr>
        <w:t xml:space="preserve"> % a meziročně o </w:t>
      </w:r>
      <w:r w:rsidR="007B3593">
        <w:rPr>
          <w:rFonts w:eastAsia="Times New Roman"/>
          <w:bCs/>
          <w:color w:val="000000"/>
          <w:szCs w:val="28"/>
        </w:rPr>
        <w:t>5,7</w:t>
      </w:r>
      <w:r w:rsidRPr="005240F2">
        <w:rPr>
          <w:rFonts w:eastAsia="Times New Roman"/>
          <w:bCs/>
          <w:color w:val="000000"/>
          <w:szCs w:val="28"/>
        </w:rPr>
        <w:t> %</w:t>
      </w:r>
      <w:r w:rsidRPr="005240F2">
        <w:rPr>
          <w:rFonts w:eastAsia="Times New Roman"/>
          <w:bCs/>
          <w:color w:val="000000"/>
          <w:szCs w:val="28"/>
          <w:vertAlign w:val="superscript"/>
        </w:rPr>
        <w:t>1</w:t>
      </w:r>
      <w:r w:rsidRPr="005240F2">
        <w:rPr>
          <w:rFonts w:eastAsia="Times New Roman"/>
          <w:bCs/>
          <w:color w:val="000000"/>
          <w:szCs w:val="28"/>
        </w:rPr>
        <w:t>.</w:t>
      </w:r>
    </w:p>
    <w:p w14:paraId="09781DD8" w14:textId="77777777" w:rsidR="006E3A34" w:rsidRPr="005240F2" w:rsidRDefault="006E3A34" w:rsidP="006E3A34">
      <w:pPr>
        <w:rPr>
          <w:rFonts w:eastAsia="Times New Roman"/>
          <w:bCs/>
          <w:color w:val="000000"/>
          <w:szCs w:val="28"/>
        </w:rPr>
      </w:pPr>
    </w:p>
    <w:p w14:paraId="601D8D9B" w14:textId="1C8E0E68" w:rsidR="006E3A34" w:rsidRPr="005240F2" w:rsidRDefault="006E3A34" w:rsidP="006E3A34">
      <w:pPr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/>
          <w:bCs/>
          <w:i/>
          <w:color w:val="000000"/>
          <w:szCs w:val="28"/>
        </w:rPr>
        <w:t xml:space="preserve">Míra úspor domácností </w:t>
      </w:r>
      <w:r w:rsidRPr="005240F2">
        <w:rPr>
          <w:rFonts w:eastAsia="Times New Roman"/>
          <w:bCs/>
          <w:color w:val="000000"/>
          <w:szCs w:val="28"/>
        </w:rPr>
        <w:t>v</w:t>
      </w:r>
      <w:r>
        <w:rPr>
          <w:rFonts w:eastAsia="Times New Roman"/>
          <w:bCs/>
          <w:color w:val="000000"/>
          <w:szCs w:val="28"/>
        </w:rPr>
        <w:t>e</w:t>
      </w:r>
      <w:r w:rsidRPr="005240F2">
        <w:rPr>
          <w:rFonts w:eastAsia="Times New Roman"/>
          <w:bCs/>
          <w:color w:val="000000"/>
          <w:szCs w:val="28"/>
        </w:rPr>
        <w:t> </w:t>
      </w:r>
      <w:r>
        <w:rPr>
          <w:rFonts w:eastAsia="Times New Roman"/>
          <w:bCs/>
          <w:color w:val="000000"/>
          <w:szCs w:val="28"/>
        </w:rPr>
        <w:t>4. čtvrtletí byla 1</w:t>
      </w:r>
      <w:r w:rsidR="007B3593">
        <w:rPr>
          <w:rFonts w:eastAsia="Times New Roman"/>
          <w:bCs/>
          <w:color w:val="000000"/>
          <w:szCs w:val="28"/>
        </w:rPr>
        <w:t>9,7</w:t>
      </w:r>
      <w:r>
        <w:rPr>
          <w:rFonts w:eastAsia="Times New Roman"/>
          <w:bCs/>
          <w:color w:val="000000"/>
          <w:szCs w:val="28"/>
        </w:rPr>
        <w:t> %, což je o 0,</w:t>
      </w:r>
      <w:r w:rsidR="007B3593">
        <w:rPr>
          <w:rFonts w:eastAsia="Times New Roman"/>
          <w:bCs/>
          <w:color w:val="000000"/>
          <w:szCs w:val="28"/>
        </w:rPr>
        <w:t>7</w:t>
      </w:r>
      <w:r w:rsidRPr="005240F2">
        <w:rPr>
          <w:rFonts w:eastAsia="Times New Roman"/>
          <w:bCs/>
          <w:color w:val="000000"/>
          <w:szCs w:val="28"/>
        </w:rPr>
        <w:t xml:space="preserve"> p. b. </w:t>
      </w:r>
      <w:r w:rsidR="007B3593">
        <w:rPr>
          <w:rFonts w:eastAsia="Times New Roman"/>
          <w:bCs/>
          <w:color w:val="000000"/>
          <w:szCs w:val="28"/>
        </w:rPr>
        <w:t>více</w:t>
      </w:r>
      <w:r w:rsidRPr="005240F2">
        <w:rPr>
          <w:rFonts w:eastAsia="Times New Roman"/>
          <w:bCs/>
          <w:color w:val="000000"/>
          <w:szCs w:val="28"/>
        </w:rPr>
        <w:t xml:space="preserve"> opro</w:t>
      </w:r>
      <w:r>
        <w:rPr>
          <w:rFonts w:eastAsia="Times New Roman"/>
          <w:bCs/>
          <w:color w:val="000000"/>
          <w:szCs w:val="28"/>
        </w:rPr>
        <w:t>ti předchozímu čtvrtletí</w:t>
      </w:r>
      <w:r w:rsidR="007B3593">
        <w:rPr>
          <w:rFonts w:eastAsia="Times New Roman"/>
          <w:bCs/>
          <w:color w:val="000000"/>
          <w:szCs w:val="28"/>
        </w:rPr>
        <w:t>. Meziročně míra úspor stagnovala.</w:t>
      </w:r>
    </w:p>
    <w:p w14:paraId="68CE5E9B" w14:textId="77777777" w:rsidR="006E3A34" w:rsidRPr="005240F2" w:rsidRDefault="006E3A34" w:rsidP="006E3A34">
      <w:pPr>
        <w:rPr>
          <w:rFonts w:eastAsia="Times New Roman"/>
          <w:bCs/>
          <w:color w:val="000000"/>
          <w:szCs w:val="28"/>
        </w:rPr>
      </w:pPr>
    </w:p>
    <w:p w14:paraId="50103E58" w14:textId="49DA0416" w:rsidR="006E3A34" w:rsidRDefault="006E3A34" w:rsidP="006E3A34">
      <w:pPr>
        <w:rPr>
          <w:rFonts w:eastAsia="Times New Roman"/>
          <w:bCs/>
          <w:color w:val="000000"/>
          <w:szCs w:val="28"/>
          <w:vertAlign w:val="superscript"/>
        </w:rPr>
      </w:pPr>
      <w:r w:rsidRPr="005240F2">
        <w:rPr>
          <w:rFonts w:eastAsia="Times New Roman"/>
          <w:b/>
          <w:bCs/>
          <w:i/>
          <w:color w:val="000000"/>
          <w:szCs w:val="28"/>
        </w:rPr>
        <w:t>Míra investic</w:t>
      </w:r>
      <w:r w:rsidRPr="005240F2">
        <w:rPr>
          <w:rFonts w:eastAsia="Times New Roman"/>
          <w:bCs/>
          <w:color w:val="000000"/>
          <w:szCs w:val="28"/>
        </w:rPr>
        <w:t xml:space="preserve"> v sektoru domácností mezičtvrtletně </w:t>
      </w:r>
      <w:r>
        <w:rPr>
          <w:rFonts w:eastAsia="Times New Roman"/>
          <w:bCs/>
          <w:color w:val="000000"/>
          <w:szCs w:val="28"/>
        </w:rPr>
        <w:t>klesla o 0,</w:t>
      </w:r>
      <w:r w:rsidR="007B3593">
        <w:rPr>
          <w:rFonts w:eastAsia="Times New Roman"/>
          <w:bCs/>
          <w:color w:val="000000"/>
          <w:szCs w:val="28"/>
        </w:rPr>
        <w:t>4</w:t>
      </w:r>
      <w:r>
        <w:rPr>
          <w:rFonts w:eastAsia="Times New Roman"/>
          <w:bCs/>
          <w:color w:val="000000"/>
          <w:szCs w:val="28"/>
        </w:rPr>
        <w:t xml:space="preserve"> p. b. a dosáhla 10,</w:t>
      </w:r>
      <w:r w:rsidR="007B3593">
        <w:rPr>
          <w:rFonts w:eastAsia="Times New Roman"/>
          <w:bCs/>
          <w:color w:val="000000"/>
          <w:szCs w:val="28"/>
        </w:rPr>
        <w:t>4</w:t>
      </w:r>
      <w:r w:rsidRPr="005240F2">
        <w:rPr>
          <w:rFonts w:eastAsia="Times New Roman"/>
          <w:bCs/>
          <w:color w:val="000000"/>
          <w:szCs w:val="28"/>
        </w:rPr>
        <w:t> %.</w:t>
      </w:r>
      <w:r w:rsidRPr="005240F2">
        <w:rPr>
          <w:color w:val="000000"/>
        </w:rPr>
        <w:t xml:space="preserve"> Meziročně </w:t>
      </w:r>
      <w:r>
        <w:rPr>
          <w:color w:val="000000"/>
        </w:rPr>
        <w:t xml:space="preserve">se míra </w:t>
      </w:r>
      <w:r w:rsidRPr="005240F2">
        <w:rPr>
          <w:color w:val="000000"/>
        </w:rPr>
        <w:t xml:space="preserve">investic domácností </w:t>
      </w:r>
      <w:r w:rsidR="007B3593">
        <w:rPr>
          <w:color w:val="000000"/>
        </w:rPr>
        <w:t>zvýšila</w:t>
      </w:r>
      <w:r>
        <w:rPr>
          <w:color w:val="000000"/>
        </w:rPr>
        <w:t xml:space="preserve"> o 0,4 p. b</w:t>
      </w:r>
      <w:r w:rsidRPr="005240F2">
        <w:rPr>
          <w:color w:val="000000"/>
        </w:rPr>
        <w:t>.</w:t>
      </w:r>
      <w:r w:rsidRPr="005240F2">
        <w:rPr>
          <w:rFonts w:eastAsia="Times New Roman"/>
          <w:bCs/>
          <w:color w:val="000000"/>
          <w:szCs w:val="28"/>
          <w:vertAlign w:val="superscript"/>
        </w:rPr>
        <w:t>1</w:t>
      </w:r>
    </w:p>
    <w:p w14:paraId="1A348E3D" w14:textId="77777777" w:rsidR="006E3A34" w:rsidRDefault="006E3A34" w:rsidP="006E3A34">
      <w:pPr>
        <w:rPr>
          <w:rFonts w:eastAsia="Times New Roman"/>
          <w:bCs/>
          <w:color w:val="000000"/>
          <w:szCs w:val="28"/>
          <w:vertAlign w:val="superscript"/>
        </w:rPr>
      </w:pPr>
    </w:p>
    <w:p w14:paraId="6D416C96" w14:textId="77777777" w:rsidR="006E3A34" w:rsidRDefault="006E3A34" w:rsidP="006E3A34">
      <w:pPr>
        <w:rPr>
          <w:rFonts w:eastAsia="Times New Roman"/>
          <w:bCs/>
          <w:color w:val="000000"/>
          <w:szCs w:val="28"/>
          <w:vertAlign w:val="superscript"/>
        </w:rPr>
      </w:pPr>
    </w:p>
    <w:p w14:paraId="01EF99B4" w14:textId="04873722" w:rsidR="006E3A34" w:rsidRDefault="006E3A34" w:rsidP="006E3A34">
      <w:pPr>
        <w:jc w:val="left"/>
        <w:rPr>
          <w:b/>
        </w:rPr>
      </w:pPr>
      <w:r>
        <w:rPr>
          <w:b/>
        </w:rPr>
        <w:t>Rok 2025</w:t>
      </w:r>
    </w:p>
    <w:p w14:paraId="5FE82E62" w14:textId="77777777" w:rsidR="006E3A34" w:rsidRDefault="006E3A34" w:rsidP="006E3A34">
      <w:pPr>
        <w:jc w:val="left"/>
        <w:rPr>
          <w:b/>
        </w:rPr>
      </w:pPr>
    </w:p>
    <w:p w14:paraId="694854F2" w14:textId="77777777" w:rsidR="006E3A34" w:rsidRPr="00085F90" w:rsidRDefault="006E3A34" w:rsidP="006E3A34">
      <w:pPr>
        <w:jc w:val="left"/>
        <w:rPr>
          <w:b/>
        </w:rPr>
      </w:pPr>
      <w:r w:rsidRPr="00085F90">
        <w:rPr>
          <w:b/>
        </w:rPr>
        <w:t>Nefinanční podniky</w:t>
      </w:r>
      <w:r>
        <w:rPr>
          <w:b/>
        </w:rPr>
        <w:t>: pokles míry zisku i investic</w:t>
      </w:r>
    </w:p>
    <w:p w14:paraId="23F3A63B" w14:textId="77777777" w:rsidR="002F330B" w:rsidRDefault="006E3A34" w:rsidP="006E3A34">
      <w:r w:rsidRPr="00085F90">
        <w:rPr>
          <w:b/>
          <w:i/>
        </w:rPr>
        <w:t>Míra zisku</w:t>
      </w:r>
      <w:r>
        <w:t xml:space="preserve"> v roce 2025 dosáhla 4</w:t>
      </w:r>
      <w:r w:rsidR="008F4FC0">
        <w:t>3,0</w:t>
      </w:r>
      <w:r>
        <w:t xml:space="preserve"> %, což bylo o 1,</w:t>
      </w:r>
      <w:r w:rsidR="008F4FC0">
        <w:t>3</w:t>
      </w:r>
      <w:r>
        <w:t xml:space="preserve"> p. b.</w:t>
      </w:r>
      <w:r w:rsidRPr="00085F90">
        <w:rPr>
          <w:vertAlign w:val="superscript"/>
        </w:rPr>
        <w:t>1</w:t>
      </w:r>
      <w:r>
        <w:t xml:space="preserve"> méně než před rokem. Míra zisku v ČR zůstala nad průměrem Evropské unie, kde dosahuje přibližně 40 %. V nominálním vyjádření zisky meziročně stouply, navzdory růstu mzdových nákladů, které stouply meziročně o </w:t>
      </w:r>
      <w:r w:rsidR="008F4FC0">
        <w:t>7,6</w:t>
      </w:r>
      <w:r>
        <w:t xml:space="preserve"> %</w:t>
      </w:r>
      <w:r w:rsidRPr="00085F90">
        <w:rPr>
          <w:vertAlign w:val="superscript"/>
        </w:rPr>
        <w:t>1</w:t>
      </w:r>
      <w:r>
        <w:t xml:space="preserve">. </w:t>
      </w:r>
    </w:p>
    <w:p w14:paraId="16EFB59D" w14:textId="754CF22D" w:rsidR="006E3A34" w:rsidRDefault="006E3A34" w:rsidP="006E3A34">
      <w:r w:rsidRPr="00085F90">
        <w:rPr>
          <w:b/>
          <w:i/>
        </w:rPr>
        <w:t>Míra investic</w:t>
      </w:r>
      <w:r>
        <w:t xml:space="preserve"> se proti roku 2024 snížila o 1,</w:t>
      </w:r>
      <w:r w:rsidR="008F4FC0">
        <w:t>0</w:t>
      </w:r>
      <w:r>
        <w:t xml:space="preserve"> p. b.</w:t>
      </w:r>
      <w:r w:rsidRPr="00085F90">
        <w:rPr>
          <w:vertAlign w:val="superscript"/>
        </w:rPr>
        <w:t>1</w:t>
      </w:r>
      <w:r>
        <w:t xml:space="preserve"> a dosáhla 26,</w:t>
      </w:r>
      <w:r w:rsidR="008F4FC0">
        <w:t>6</w:t>
      </w:r>
      <w:r>
        <w:t xml:space="preserve"> %.</w:t>
      </w:r>
    </w:p>
    <w:p w14:paraId="0516F885" w14:textId="77777777" w:rsidR="006E3A34" w:rsidRDefault="006E3A34" w:rsidP="006E3A34"/>
    <w:p w14:paraId="5D48A76F" w14:textId="77777777" w:rsidR="006E3A34" w:rsidRDefault="006E3A34" w:rsidP="006E3A34"/>
    <w:p w14:paraId="474C321A" w14:textId="77777777" w:rsidR="006E3A34" w:rsidRDefault="006E3A34" w:rsidP="006E3A34"/>
    <w:p w14:paraId="512AF50C" w14:textId="77777777" w:rsidR="006E3A34" w:rsidRPr="00085F90" w:rsidRDefault="006E3A34" w:rsidP="006E3A34">
      <w:pPr>
        <w:jc w:val="left"/>
        <w:rPr>
          <w:color w:val="000000"/>
        </w:rPr>
      </w:pPr>
      <w:r w:rsidRPr="00085F90">
        <w:rPr>
          <w:b/>
          <w:color w:val="000000"/>
        </w:rPr>
        <w:t>Míra zisku</w:t>
      </w:r>
      <w:r w:rsidRPr="00085F90">
        <w:rPr>
          <w:color w:val="000000"/>
        </w:rPr>
        <w:t xml:space="preserve"> </w:t>
      </w:r>
      <w:r w:rsidRPr="00085F90">
        <w:rPr>
          <w:b/>
          <w:color w:val="000000"/>
        </w:rPr>
        <w:t>a investic</w:t>
      </w:r>
      <w:r w:rsidRPr="00085F90">
        <w:rPr>
          <w:color w:val="000000"/>
        </w:rPr>
        <w:t xml:space="preserve"> nefinančních podniků v %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134"/>
        <w:gridCol w:w="1221"/>
        <w:gridCol w:w="1293"/>
        <w:gridCol w:w="1293"/>
        <w:gridCol w:w="1154"/>
      </w:tblGrid>
      <w:tr w:rsidR="006E3A34" w:rsidRPr="00085F90" w14:paraId="2BD19310" w14:textId="77777777" w:rsidTr="00ED072F">
        <w:tc>
          <w:tcPr>
            <w:tcW w:w="2410" w:type="dxa"/>
            <w:shd w:val="clear" w:color="auto" w:fill="DBE5F1"/>
            <w:vAlign w:val="center"/>
          </w:tcPr>
          <w:p w14:paraId="7807B2E2" w14:textId="77777777" w:rsidR="006E3A34" w:rsidRPr="00085F90" w:rsidRDefault="006E3A34" w:rsidP="00ED072F">
            <w:pPr>
              <w:autoSpaceDE w:val="0"/>
              <w:autoSpaceDN w:val="0"/>
              <w:adjustRightInd w:val="0"/>
              <w:ind w:firstLine="34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/>
            <w:vAlign w:val="center"/>
          </w:tcPr>
          <w:p w14:paraId="5A668D06" w14:textId="77777777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85F90">
              <w:rPr>
                <w:rFonts w:cs="Arial"/>
                <w:color w:val="000000"/>
                <w:sz w:val="18"/>
                <w:szCs w:val="18"/>
              </w:rPr>
              <w:t>1. čtvrtletí</w:t>
            </w:r>
          </w:p>
        </w:tc>
        <w:tc>
          <w:tcPr>
            <w:tcW w:w="1221" w:type="dxa"/>
            <w:shd w:val="clear" w:color="auto" w:fill="DBE5F1"/>
            <w:vAlign w:val="center"/>
          </w:tcPr>
          <w:p w14:paraId="2B3D0203" w14:textId="77777777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85F90">
              <w:rPr>
                <w:rFonts w:cs="Arial"/>
                <w:color w:val="000000"/>
                <w:sz w:val="18"/>
                <w:szCs w:val="18"/>
              </w:rPr>
              <w:t>2. čtvrtletí</w:t>
            </w:r>
          </w:p>
        </w:tc>
        <w:tc>
          <w:tcPr>
            <w:tcW w:w="1293" w:type="dxa"/>
            <w:shd w:val="clear" w:color="auto" w:fill="DBE5F1"/>
            <w:vAlign w:val="center"/>
          </w:tcPr>
          <w:p w14:paraId="5E82F6F8" w14:textId="77777777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85F90">
              <w:rPr>
                <w:rFonts w:cs="Arial"/>
                <w:color w:val="000000"/>
                <w:sz w:val="18"/>
                <w:szCs w:val="18"/>
              </w:rPr>
              <w:t>3. čtvrtletí</w:t>
            </w:r>
          </w:p>
        </w:tc>
        <w:tc>
          <w:tcPr>
            <w:tcW w:w="1293" w:type="dxa"/>
            <w:shd w:val="clear" w:color="auto" w:fill="DBE5F1"/>
            <w:vAlign w:val="center"/>
          </w:tcPr>
          <w:p w14:paraId="614965AD" w14:textId="77777777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085F90">
              <w:rPr>
                <w:rFonts w:cs="Arial"/>
                <w:b/>
                <w:color w:val="000000"/>
                <w:sz w:val="18"/>
                <w:szCs w:val="18"/>
              </w:rPr>
              <w:t>4. čtvrtletí</w:t>
            </w:r>
          </w:p>
        </w:tc>
        <w:tc>
          <w:tcPr>
            <w:tcW w:w="1154" w:type="dxa"/>
            <w:shd w:val="clear" w:color="auto" w:fill="DBE5F1"/>
            <w:vAlign w:val="center"/>
          </w:tcPr>
          <w:p w14:paraId="57CE9907" w14:textId="5CE91FA5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Rok 202</w:t>
            </w:r>
            <w:r w:rsidR="006B2B6B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6E3A34" w:rsidRPr="00085F90" w14:paraId="218BFE26" w14:textId="77777777" w:rsidTr="00ED072F">
        <w:tc>
          <w:tcPr>
            <w:tcW w:w="2410" w:type="dxa"/>
            <w:vAlign w:val="center"/>
          </w:tcPr>
          <w:p w14:paraId="22038769" w14:textId="77777777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85F90">
              <w:rPr>
                <w:rFonts w:cs="Arial"/>
                <w:color w:val="000000"/>
                <w:sz w:val="18"/>
                <w:szCs w:val="18"/>
              </w:rPr>
              <w:t>Míra zisku</w:t>
            </w:r>
          </w:p>
        </w:tc>
        <w:tc>
          <w:tcPr>
            <w:tcW w:w="1134" w:type="dxa"/>
          </w:tcPr>
          <w:p w14:paraId="7C6E7C44" w14:textId="352D6255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B3593">
              <w:rPr>
                <w:sz w:val="18"/>
                <w:szCs w:val="18"/>
              </w:rPr>
              <w:t>4</w:t>
            </w:r>
            <w:r w:rsidR="007B3593" w:rsidRPr="007B3593">
              <w:rPr>
                <w:sz w:val="18"/>
                <w:szCs w:val="18"/>
              </w:rPr>
              <w:t>3,3</w:t>
            </w:r>
          </w:p>
        </w:tc>
        <w:tc>
          <w:tcPr>
            <w:tcW w:w="1221" w:type="dxa"/>
          </w:tcPr>
          <w:p w14:paraId="35A23497" w14:textId="3A2112A2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B3593">
              <w:rPr>
                <w:sz w:val="18"/>
                <w:szCs w:val="18"/>
              </w:rPr>
              <w:t>4</w:t>
            </w:r>
            <w:r w:rsidR="007B3593" w:rsidRPr="007B3593">
              <w:rPr>
                <w:sz w:val="18"/>
                <w:szCs w:val="18"/>
              </w:rPr>
              <w:t>3,2</w:t>
            </w:r>
          </w:p>
        </w:tc>
        <w:tc>
          <w:tcPr>
            <w:tcW w:w="1293" w:type="dxa"/>
          </w:tcPr>
          <w:p w14:paraId="2AC8504F" w14:textId="734DD4C8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B3593">
              <w:rPr>
                <w:sz w:val="18"/>
                <w:szCs w:val="18"/>
              </w:rPr>
              <w:t>4</w:t>
            </w:r>
            <w:r w:rsidR="007B3593" w:rsidRPr="007B3593">
              <w:rPr>
                <w:sz w:val="18"/>
                <w:szCs w:val="18"/>
              </w:rPr>
              <w:t>3,0</w:t>
            </w:r>
          </w:p>
        </w:tc>
        <w:tc>
          <w:tcPr>
            <w:tcW w:w="1293" w:type="dxa"/>
          </w:tcPr>
          <w:p w14:paraId="61BDBD2A" w14:textId="013195E5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B3593">
              <w:rPr>
                <w:b/>
                <w:sz w:val="18"/>
                <w:szCs w:val="18"/>
              </w:rPr>
              <w:t>4</w:t>
            </w:r>
            <w:r w:rsidR="007B3593" w:rsidRPr="007B3593">
              <w:rPr>
                <w:b/>
                <w:sz w:val="18"/>
                <w:szCs w:val="18"/>
              </w:rPr>
              <w:t>2,7</w:t>
            </w:r>
          </w:p>
        </w:tc>
        <w:tc>
          <w:tcPr>
            <w:tcW w:w="1154" w:type="dxa"/>
            <w:shd w:val="clear" w:color="auto" w:fill="DBE5F1"/>
            <w:vAlign w:val="center"/>
          </w:tcPr>
          <w:p w14:paraId="470EE5A0" w14:textId="1F4C3FAD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  <w:r w:rsidR="008F4FC0">
              <w:rPr>
                <w:rFonts w:cs="Arial"/>
                <w:b/>
                <w:color w:val="000000"/>
                <w:sz w:val="18"/>
                <w:szCs w:val="18"/>
              </w:rPr>
              <w:t>3,0</w:t>
            </w:r>
          </w:p>
        </w:tc>
      </w:tr>
      <w:tr w:rsidR="006E3A34" w:rsidRPr="00085F90" w14:paraId="2BE256AB" w14:textId="77777777" w:rsidTr="00ED072F">
        <w:tc>
          <w:tcPr>
            <w:tcW w:w="2410" w:type="dxa"/>
            <w:vAlign w:val="center"/>
          </w:tcPr>
          <w:p w14:paraId="12A1B52D" w14:textId="77777777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85F90">
              <w:rPr>
                <w:rFonts w:cs="Arial"/>
                <w:color w:val="000000"/>
                <w:sz w:val="18"/>
                <w:szCs w:val="18"/>
              </w:rPr>
              <w:t>Míra investic</w:t>
            </w:r>
          </w:p>
        </w:tc>
        <w:tc>
          <w:tcPr>
            <w:tcW w:w="1134" w:type="dxa"/>
          </w:tcPr>
          <w:p w14:paraId="60B029C1" w14:textId="56397FE9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B3593">
              <w:rPr>
                <w:sz w:val="18"/>
                <w:szCs w:val="18"/>
              </w:rPr>
              <w:t>2</w:t>
            </w:r>
            <w:r w:rsidR="007B3593" w:rsidRPr="007B3593">
              <w:rPr>
                <w:sz w:val="18"/>
                <w:szCs w:val="18"/>
              </w:rPr>
              <w:t>6,2</w:t>
            </w:r>
          </w:p>
        </w:tc>
        <w:tc>
          <w:tcPr>
            <w:tcW w:w="1221" w:type="dxa"/>
          </w:tcPr>
          <w:p w14:paraId="613EC9F9" w14:textId="794E33A8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B3593">
              <w:rPr>
                <w:sz w:val="18"/>
                <w:szCs w:val="18"/>
              </w:rPr>
              <w:t>26,</w:t>
            </w:r>
            <w:r w:rsidR="007B3593" w:rsidRPr="007B3593">
              <w:rPr>
                <w:sz w:val="18"/>
                <w:szCs w:val="18"/>
              </w:rPr>
              <w:t>5</w:t>
            </w:r>
          </w:p>
        </w:tc>
        <w:tc>
          <w:tcPr>
            <w:tcW w:w="1293" w:type="dxa"/>
          </w:tcPr>
          <w:p w14:paraId="40D72EC6" w14:textId="2764CDEE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B3593">
              <w:rPr>
                <w:sz w:val="18"/>
                <w:szCs w:val="18"/>
              </w:rPr>
              <w:t>26,</w:t>
            </w:r>
            <w:r w:rsidR="007B3593" w:rsidRPr="007B3593">
              <w:rPr>
                <w:sz w:val="18"/>
                <w:szCs w:val="18"/>
              </w:rPr>
              <w:t>8</w:t>
            </w:r>
          </w:p>
        </w:tc>
        <w:tc>
          <w:tcPr>
            <w:tcW w:w="1293" w:type="dxa"/>
          </w:tcPr>
          <w:p w14:paraId="1A2A2930" w14:textId="77777777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B3593">
              <w:rPr>
                <w:b/>
                <w:sz w:val="18"/>
                <w:szCs w:val="18"/>
              </w:rPr>
              <w:t>26,9</w:t>
            </w:r>
          </w:p>
        </w:tc>
        <w:tc>
          <w:tcPr>
            <w:tcW w:w="1154" w:type="dxa"/>
            <w:shd w:val="clear" w:color="auto" w:fill="DBE5F1"/>
            <w:vAlign w:val="center"/>
          </w:tcPr>
          <w:p w14:paraId="5E7AE64F" w14:textId="4907BEE9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26,</w:t>
            </w:r>
            <w:r w:rsidR="008F4FC0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</w:tr>
    </w:tbl>
    <w:p w14:paraId="25239C2A" w14:textId="77777777" w:rsidR="006E3A34" w:rsidRDefault="006E3A34" w:rsidP="006E3A34">
      <w:pPr>
        <w:autoSpaceDE w:val="0"/>
        <w:autoSpaceDN w:val="0"/>
        <w:adjustRightInd w:val="0"/>
        <w:jc w:val="left"/>
        <w:rPr>
          <w:rFonts w:cs="Arial"/>
          <w:b/>
          <w:color w:val="000000"/>
          <w:szCs w:val="18"/>
        </w:rPr>
      </w:pPr>
    </w:p>
    <w:p w14:paraId="622ABA04" w14:textId="77777777" w:rsidR="006E3A34" w:rsidRDefault="006E3A34" w:rsidP="006E3A34">
      <w:pPr>
        <w:autoSpaceDE w:val="0"/>
        <w:autoSpaceDN w:val="0"/>
        <w:adjustRightInd w:val="0"/>
        <w:jc w:val="left"/>
        <w:rPr>
          <w:rFonts w:cs="Arial"/>
          <w:color w:val="000000"/>
          <w:szCs w:val="18"/>
        </w:rPr>
      </w:pPr>
      <w:r>
        <w:rPr>
          <w:rFonts w:cs="Arial"/>
          <w:b/>
          <w:color w:val="000000"/>
          <w:szCs w:val="18"/>
        </w:rPr>
        <w:t>Domácnosti</w:t>
      </w:r>
      <w:r w:rsidRPr="00085F90">
        <w:rPr>
          <w:rFonts w:cs="Arial"/>
          <w:b/>
          <w:color w:val="000000"/>
          <w:szCs w:val="18"/>
        </w:rPr>
        <w:t>:</w:t>
      </w:r>
      <w:r w:rsidRPr="00085F90">
        <w:rPr>
          <w:rFonts w:cs="Arial"/>
          <w:color w:val="000000"/>
          <w:szCs w:val="18"/>
        </w:rPr>
        <w:t xml:space="preserve"> </w:t>
      </w:r>
      <w:r>
        <w:rPr>
          <w:rFonts w:cs="Arial"/>
          <w:b/>
          <w:color w:val="000000"/>
          <w:szCs w:val="18"/>
        </w:rPr>
        <w:t>reálné příjmy i spotřeba stouply</w:t>
      </w:r>
    </w:p>
    <w:p w14:paraId="1C2F2597" w14:textId="731266AB" w:rsidR="006E3A34" w:rsidRPr="005F6F9C" w:rsidRDefault="006E3A34" w:rsidP="006E3A34">
      <w:r w:rsidRPr="005F6F9C">
        <w:t xml:space="preserve">Reálné příjmy domácností na obyvatele </w:t>
      </w:r>
      <w:r>
        <w:t>stouply</w:t>
      </w:r>
      <w:r w:rsidRPr="005F6F9C">
        <w:t xml:space="preserve"> proti roku 202</w:t>
      </w:r>
      <w:r w:rsidR="008F4FC0">
        <w:t>4</w:t>
      </w:r>
      <w:r>
        <w:t xml:space="preserve"> o 1</w:t>
      </w:r>
      <w:r w:rsidRPr="005F6F9C">
        <w:t>,</w:t>
      </w:r>
      <w:r w:rsidR="008F4FC0">
        <w:t>1</w:t>
      </w:r>
      <w:r w:rsidRPr="005F6F9C">
        <w:t xml:space="preserve"> % a reálná spotřeba domácnos</w:t>
      </w:r>
      <w:r>
        <w:t xml:space="preserve">tí na obyvatele se zvýšila o </w:t>
      </w:r>
      <w:r w:rsidR="008F4FC0">
        <w:t>3,0</w:t>
      </w:r>
      <w:r w:rsidRPr="005F6F9C">
        <w:t xml:space="preserve"> %</w:t>
      </w:r>
      <w:r>
        <w:t>.</w:t>
      </w:r>
    </w:p>
    <w:p w14:paraId="57C1C82D" w14:textId="77777777" w:rsidR="006E3A34" w:rsidRPr="00085F90" w:rsidRDefault="006E3A34" w:rsidP="006E3A34">
      <w:pPr>
        <w:rPr>
          <w:color w:val="000000"/>
        </w:rPr>
      </w:pPr>
    </w:p>
    <w:p w14:paraId="40295AA3" w14:textId="77777777" w:rsidR="006E3A34" w:rsidRPr="00085F90" w:rsidRDefault="006E3A34" w:rsidP="006E3A34">
      <w:pPr>
        <w:jc w:val="left"/>
        <w:rPr>
          <w:color w:val="000000"/>
        </w:rPr>
      </w:pPr>
      <w:r w:rsidRPr="00085F90">
        <w:rPr>
          <w:b/>
          <w:color w:val="000000"/>
        </w:rPr>
        <w:t>Reálné příjmy a výdaje domácností</w:t>
      </w:r>
      <w:r w:rsidRPr="00085F90">
        <w:rPr>
          <w:color w:val="000000"/>
        </w:rPr>
        <w:t>, meziroční změna v %</w:t>
      </w:r>
      <w:r w:rsidRPr="00085F90">
        <w:rPr>
          <w:rFonts w:eastAsia="Times New Roman"/>
          <w:bCs/>
          <w:color w:val="000000"/>
          <w:szCs w:val="28"/>
          <w:vertAlign w:val="superscript"/>
        </w:rPr>
        <w:t>1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134"/>
        <w:gridCol w:w="1221"/>
        <w:gridCol w:w="1293"/>
        <w:gridCol w:w="1293"/>
        <w:gridCol w:w="1154"/>
      </w:tblGrid>
      <w:tr w:rsidR="006E3A34" w:rsidRPr="00085F90" w14:paraId="20BEB333" w14:textId="77777777" w:rsidTr="00ED072F">
        <w:tc>
          <w:tcPr>
            <w:tcW w:w="2410" w:type="dxa"/>
            <w:shd w:val="clear" w:color="auto" w:fill="DBE5F1"/>
            <w:vAlign w:val="center"/>
          </w:tcPr>
          <w:p w14:paraId="0D86F576" w14:textId="77777777" w:rsidR="006E3A34" w:rsidRPr="00085F90" w:rsidRDefault="006E3A34" w:rsidP="00ED072F">
            <w:pPr>
              <w:autoSpaceDE w:val="0"/>
              <w:autoSpaceDN w:val="0"/>
              <w:adjustRightInd w:val="0"/>
              <w:ind w:firstLine="34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/>
            <w:vAlign w:val="center"/>
          </w:tcPr>
          <w:p w14:paraId="0D8365F8" w14:textId="77777777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85F90">
              <w:rPr>
                <w:rFonts w:cs="Arial"/>
                <w:color w:val="000000"/>
                <w:sz w:val="18"/>
                <w:szCs w:val="18"/>
              </w:rPr>
              <w:t xml:space="preserve">1. čtvrtletí </w:t>
            </w:r>
          </w:p>
        </w:tc>
        <w:tc>
          <w:tcPr>
            <w:tcW w:w="1221" w:type="dxa"/>
            <w:shd w:val="clear" w:color="auto" w:fill="DBE5F1"/>
            <w:vAlign w:val="center"/>
          </w:tcPr>
          <w:p w14:paraId="04EB941E" w14:textId="77777777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85F90">
              <w:rPr>
                <w:rFonts w:cs="Arial"/>
                <w:color w:val="000000"/>
                <w:sz w:val="18"/>
                <w:szCs w:val="18"/>
              </w:rPr>
              <w:t xml:space="preserve">2. čtvrtletí </w:t>
            </w:r>
          </w:p>
        </w:tc>
        <w:tc>
          <w:tcPr>
            <w:tcW w:w="1293" w:type="dxa"/>
            <w:shd w:val="clear" w:color="auto" w:fill="DBE5F1"/>
            <w:vAlign w:val="center"/>
          </w:tcPr>
          <w:p w14:paraId="5C9DFF24" w14:textId="77777777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85F90">
              <w:rPr>
                <w:rFonts w:cs="Arial"/>
                <w:color w:val="000000"/>
                <w:sz w:val="18"/>
                <w:szCs w:val="18"/>
              </w:rPr>
              <w:t xml:space="preserve">3. čtvrtletí </w:t>
            </w:r>
          </w:p>
        </w:tc>
        <w:tc>
          <w:tcPr>
            <w:tcW w:w="1293" w:type="dxa"/>
            <w:shd w:val="clear" w:color="auto" w:fill="DBE5F1"/>
            <w:vAlign w:val="center"/>
          </w:tcPr>
          <w:p w14:paraId="3451E36B" w14:textId="77777777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085F90">
              <w:rPr>
                <w:rFonts w:cs="Arial"/>
                <w:b/>
                <w:color w:val="000000"/>
                <w:sz w:val="18"/>
                <w:szCs w:val="18"/>
              </w:rPr>
              <w:t xml:space="preserve">4. čtvrtletí </w:t>
            </w:r>
          </w:p>
        </w:tc>
        <w:tc>
          <w:tcPr>
            <w:tcW w:w="1154" w:type="dxa"/>
            <w:shd w:val="clear" w:color="auto" w:fill="DBE5F1"/>
            <w:vAlign w:val="center"/>
          </w:tcPr>
          <w:p w14:paraId="448E4375" w14:textId="3B78895D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Rok 202</w:t>
            </w:r>
            <w:r w:rsidR="006B2B6B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6E3A34" w:rsidRPr="00085F90" w14:paraId="1DC225EF" w14:textId="77777777" w:rsidTr="00ED072F">
        <w:tc>
          <w:tcPr>
            <w:tcW w:w="2410" w:type="dxa"/>
            <w:vAlign w:val="center"/>
          </w:tcPr>
          <w:p w14:paraId="4EED813F" w14:textId="77777777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85F90">
              <w:rPr>
                <w:rFonts w:cs="Arial"/>
                <w:color w:val="000000"/>
                <w:sz w:val="18"/>
                <w:szCs w:val="18"/>
              </w:rPr>
              <w:t>Reálné příjmy</w:t>
            </w:r>
          </w:p>
        </w:tc>
        <w:tc>
          <w:tcPr>
            <w:tcW w:w="1134" w:type="dxa"/>
          </w:tcPr>
          <w:p w14:paraId="08841FF0" w14:textId="76CFF8B3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B3593">
              <w:rPr>
                <w:sz w:val="18"/>
                <w:szCs w:val="18"/>
              </w:rPr>
              <w:t>+0,</w:t>
            </w:r>
            <w:r w:rsidR="007B3593" w:rsidRPr="007B3593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14:paraId="4FC9E9B1" w14:textId="3CF08BCD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B3593">
              <w:rPr>
                <w:rFonts w:cs="Arial"/>
                <w:sz w:val="18"/>
                <w:szCs w:val="18"/>
              </w:rPr>
              <w:t>+0,</w:t>
            </w:r>
            <w:r w:rsidR="007B3593" w:rsidRPr="007B3593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293" w:type="dxa"/>
          </w:tcPr>
          <w:p w14:paraId="10170B4A" w14:textId="171A8FF8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B3593">
              <w:rPr>
                <w:sz w:val="18"/>
                <w:szCs w:val="18"/>
              </w:rPr>
              <w:t>+</w:t>
            </w:r>
            <w:r w:rsidR="007B3593" w:rsidRPr="007B3593">
              <w:rPr>
                <w:sz w:val="18"/>
                <w:szCs w:val="18"/>
              </w:rPr>
              <w:t>0,5</w:t>
            </w:r>
          </w:p>
        </w:tc>
        <w:tc>
          <w:tcPr>
            <w:tcW w:w="1293" w:type="dxa"/>
          </w:tcPr>
          <w:p w14:paraId="5F18BD25" w14:textId="113203E1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B3593">
              <w:rPr>
                <w:b/>
                <w:sz w:val="18"/>
                <w:szCs w:val="18"/>
              </w:rPr>
              <w:t>+</w:t>
            </w:r>
            <w:r w:rsidR="007B3593" w:rsidRPr="007B3593">
              <w:rPr>
                <w:b/>
                <w:sz w:val="18"/>
                <w:szCs w:val="18"/>
              </w:rPr>
              <w:t>2,9</w:t>
            </w:r>
          </w:p>
        </w:tc>
        <w:tc>
          <w:tcPr>
            <w:tcW w:w="1154" w:type="dxa"/>
            <w:shd w:val="clear" w:color="auto" w:fill="DBE5F1"/>
            <w:vAlign w:val="center"/>
          </w:tcPr>
          <w:p w14:paraId="531D152C" w14:textId="25782C4B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+1,</w:t>
            </w:r>
            <w:r w:rsidR="008F4FC0">
              <w:rPr>
                <w:rFonts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6E3A34" w:rsidRPr="00085F90" w14:paraId="2B146563" w14:textId="77777777" w:rsidTr="00ED072F">
        <w:tc>
          <w:tcPr>
            <w:tcW w:w="2410" w:type="dxa"/>
            <w:vAlign w:val="center"/>
          </w:tcPr>
          <w:p w14:paraId="3C35F959" w14:textId="77777777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85F90">
              <w:rPr>
                <w:rFonts w:cs="Arial"/>
                <w:color w:val="000000"/>
                <w:sz w:val="18"/>
                <w:szCs w:val="18"/>
              </w:rPr>
              <w:t>Reálná spotřeba (výdaje)</w:t>
            </w:r>
          </w:p>
        </w:tc>
        <w:tc>
          <w:tcPr>
            <w:tcW w:w="1134" w:type="dxa"/>
          </w:tcPr>
          <w:p w14:paraId="7DAB95A8" w14:textId="25381F5B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B3593">
              <w:rPr>
                <w:sz w:val="18"/>
                <w:szCs w:val="18"/>
              </w:rPr>
              <w:t>+</w:t>
            </w:r>
            <w:r w:rsidR="007B3593" w:rsidRPr="007B3593">
              <w:rPr>
                <w:sz w:val="18"/>
                <w:szCs w:val="18"/>
              </w:rPr>
              <w:t>2,7</w:t>
            </w:r>
          </w:p>
        </w:tc>
        <w:tc>
          <w:tcPr>
            <w:tcW w:w="1221" w:type="dxa"/>
          </w:tcPr>
          <w:p w14:paraId="3A99556D" w14:textId="12589CA6" w:rsidR="006E3A34" w:rsidRPr="007B3593" w:rsidRDefault="007B3593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B3593">
              <w:rPr>
                <w:rFonts w:cs="Arial"/>
                <w:sz w:val="18"/>
                <w:szCs w:val="18"/>
              </w:rPr>
              <w:t>+3,2</w:t>
            </w:r>
          </w:p>
        </w:tc>
        <w:tc>
          <w:tcPr>
            <w:tcW w:w="1293" w:type="dxa"/>
          </w:tcPr>
          <w:p w14:paraId="276F1921" w14:textId="4498C40E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B3593">
              <w:rPr>
                <w:sz w:val="18"/>
                <w:szCs w:val="18"/>
              </w:rPr>
              <w:t>+</w:t>
            </w:r>
            <w:r w:rsidR="007B3593" w:rsidRPr="007B3593">
              <w:rPr>
                <w:sz w:val="18"/>
                <w:szCs w:val="18"/>
              </w:rPr>
              <w:t>2,8</w:t>
            </w:r>
          </w:p>
        </w:tc>
        <w:tc>
          <w:tcPr>
            <w:tcW w:w="1293" w:type="dxa"/>
          </w:tcPr>
          <w:p w14:paraId="6C23DB5B" w14:textId="085861F6" w:rsidR="006E3A34" w:rsidRPr="007B3593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7B3593">
              <w:rPr>
                <w:b/>
                <w:sz w:val="18"/>
                <w:szCs w:val="18"/>
              </w:rPr>
              <w:t>+3,</w:t>
            </w:r>
            <w:r w:rsidR="007B3593" w:rsidRPr="007B35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4" w:type="dxa"/>
            <w:shd w:val="clear" w:color="auto" w:fill="DBE5F1"/>
            <w:vAlign w:val="center"/>
          </w:tcPr>
          <w:p w14:paraId="36A32021" w14:textId="5E6434C4" w:rsidR="006E3A34" w:rsidRPr="00085F90" w:rsidRDefault="006E3A34" w:rsidP="00ED07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+</w:t>
            </w:r>
            <w:r w:rsidR="008F4FC0">
              <w:rPr>
                <w:rFonts w:cs="Arial"/>
                <w:b/>
                <w:color w:val="000000"/>
                <w:sz w:val="18"/>
                <w:szCs w:val="18"/>
              </w:rPr>
              <w:t>3,0</w:t>
            </w:r>
          </w:p>
        </w:tc>
      </w:tr>
    </w:tbl>
    <w:p w14:paraId="488240CF" w14:textId="77777777" w:rsidR="006E3A34" w:rsidRPr="00085F90" w:rsidRDefault="006E3A34" w:rsidP="006E3A34">
      <w:pPr>
        <w:rPr>
          <w:color w:val="000000"/>
        </w:rPr>
      </w:pPr>
    </w:p>
    <w:p w14:paraId="47FD27BB" w14:textId="7A73C8FE" w:rsidR="006E3A34" w:rsidRDefault="006E3A34" w:rsidP="006E3A34">
      <w:pPr>
        <w:rPr>
          <w:rFonts w:eastAsia="Times New Roman"/>
          <w:bCs/>
          <w:color w:val="000000"/>
          <w:szCs w:val="28"/>
        </w:rPr>
      </w:pPr>
      <w:r w:rsidRPr="00085F90">
        <w:rPr>
          <w:rFonts w:eastAsia="Times New Roman"/>
          <w:b/>
          <w:bCs/>
          <w:i/>
          <w:color w:val="000000"/>
          <w:szCs w:val="28"/>
        </w:rPr>
        <w:t>Průměrný měsíční příjem ze zaměstnání</w:t>
      </w:r>
      <w:r>
        <w:rPr>
          <w:rFonts w:eastAsia="Times New Roman"/>
          <w:bCs/>
          <w:color w:val="000000"/>
          <w:szCs w:val="28"/>
        </w:rPr>
        <w:t xml:space="preserve"> dosáhl v roce 2025 hodnoty </w:t>
      </w:r>
      <w:r w:rsidR="008F4FC0">
        <w:rPr>
          <w:rFonts w:eastAsia="Times New Roman"/>
          <w:bCs/>
          <w:color w:val="000000"/>
          <w:szCs w:val="28"/>
        </w:rPr>
        <w:t>52 620</w:t>
      </w:r>
      <w:r w:rsidRPr="00085F90">
        <w:rPr>
          <w:rFonts w:eastAsia="Times New Roman"/>
          <w:bCs/>
          <w:color w:val="000000"/>
          <w:szCs w:val="28"/>
        </w:rPr>
        <w:t xml:space="preserve"> Kč</w:t>
      </w:r>
      <w:r w:rsidRPr="00085F90">
        <w:rPr>
          <w:rFonts w:eastAsia="Times New Roman"/>
          <w:bCs/>
          <w:color w:val="000000"/>
          <w:szCs w:val="28"/>
          <w:vertAlign w:val="superscript"/>
        </w:rPr>
        <w:t>1</w:t>
      </w:r>
      <w:r>
        <w:rPr>
          <w:rFonts w:eastAsia="Times New Roman"/>
          <w:bCs/>
          <w:color w:val="000000"/>
          <w:szCs w:val="28"/>
        </w:rPr>
        <w:t xml:space="preserve"> a oproti roku 2024</w:t>
      </w:r>
      <w:r w:rsidRPr="00085F90">
        <w:rPr>
          <w:rFonts w:eastAsia="Times New Roman"/>
          <w:bCs/>
          <w:color w:val="000000"/>
          <w:szCs w:val="28"/>
        </w:rPr>
        <w:t xml:space="preserve"> reálně </w:t>
      </w:r>
      <w:r>
        <w:rPr>
          <w:rFonts w:eastAsia="Times New Roman"/>
          <w:bCs/>
          <w:color w:val="000000"/>
          <w:szCs w:val="28"/>
        </w:rPr>
        <w:t xml:space="preserve">stoupl o </w:t>
      </w:r>
      <w:r w:rsidR="008F4FC0">
        <w:rPr>
          <w:rFonts w:eastAsia="Times New Roman"/>
          <w:bCs/>
          <w:color w:val="000000"/>
          <w:szCs w:val="28"/>
        </w:rPr>
        <w:t>4,1</w:t>
      </w:r>
      <w:r w:rsidRPr="00085F90">
        <w:rPr>
          <w:rFonts w:eastAsia="Times New Roman"/>
          <w:bCs/>
          <w:color w:val="000000"/>
          <w:szCs w:val="28"/>
        </w:rPr>
        <w:t xml:space="preserve"> %. </w:t>
      </w:r>
    </w:p>
    <w:p w14:paraId="55EA054D" w14:textId="77777777" w:rsidR="006E3A34" w:rsidRPr="00085F90" w:rsidRDefault="006E3A34" w:rsidP="006E3A34">
      <w:pPr>
        <w:rPr>
          <w:rFonts w:eastAsia="Times New Roman"/>
          <w:bCs/>
          <w:color w:val="000000"/>
          <w:szCs w:val="28"/>
        </w:rPr>
      </w:pPr>
    </w:p>
    <w:p w14:paraId="0DDA490C" w14:textId="4EB7802B" w:rsidR="006E3A34" w:rsidRPr="00085F90" w:rsidRDefault="006E3A34" w:rsidP="006E3A34">
      <w:pPr>
        <w:rPr>
          <w:rFonts w:eastAsia="Times New Roman"/>
          <w:bCs/>
          <w:color w:val="000000"/>
          <w:szCs w:val="28"/>
        </w:rPr>
      </w:pPr>
      <w:r w:rsidRPr="00085F90">
        <w:rPr>
          <w:rFonts w:eastAsia="Times New Roman"/>
          <w:b/>
          <w:bCs/>
          <w:i/>
          <w:color w:val="000000"/>
          <w:szCs w:val="28"/>
        </w:rPr>
        <w:t>Míra úspor</w:t>
      </w:r>
      <w:r>
        <w:rPr>
          <w:rFonts w:eastAsia="Times New Roman"/>
          <w:bCs/>
          <w:color w:val="000000"/>
          <w:szCs w:val="28"/>
        </w:rPr>
        <w:t xml:space="preserve"> v roce 2025 dosáhla </w:t>
      </w:r>
      <w:r w:rsidR="008F4FC0">
        <w:rPr>
          <w:rFonts w:eastAsia="Times New Roman"/>
          <w:bCs/>
          <w:color w:val="000000"/>
          <w:szCs w:val="28"/>
        </w:rPr>
        <w:t>19,1</w:t>
      </w:r>
      <w:r w:rsidRPr="00085F90">
        <w:rPr>
          <w:rFonts w:eastAsia="Times New Roman"/>
          <w:bCs/>
          <w:color w:val="000000"/>
          <w:szCs w:val="28"/>
        </w:rPr>
        <w:t xml:space="preserve"> % a byla o </w:t>
      </w:r>
      <w:r w:rsidR="008F4FC0">
        <w:rPr>
          <w:rFonts w:eastAsia="Times New Roman"/>
          <w:bCs/>
          <w:color w:val="000000"/>
          <w:szCs w:val="28"/>
        </w:rPr>
        <w:t>1,2</w:t>
      </w:r>
      <w:r w:rsidRPr="00085F90">
        <w:rPr>
          <w:rFonts w:eastAsia="Times New Roman"/>
          <w:bCs/>
          <w:color w:val="000000"/>
          <w:szCs w:val="28"/>
        </w:rPr>
        <w:t xml:space="preserve"> p. b.</w:t>
      </w:r>
      <w:r w:rsidRPr="00085F90">
        <w:rPr>
          <w:rFonts w:eastAsia="Times New Roman"/>
          <w:bCs/>
          <w:color w:val="000000"/>
          <w:szCs w:val="28"/>
          <w:vertAlign w:val="superscript"/>
        </w:rPr>
        <w:t>1</w:t>
      </w:r>
      <w:r w:rsidRPr="00085F90">
        <w:rPr>
          <w:rFonts w:eastAsia="Times New Roman"/>
          <w:bCs/>
          <w:color w:val="000000"/>
          <w:szCs w:val="28"/>
        </w:rPr>
        <w:t xml:space="preserve"> </w:t>
      </w:r>
      <w:r>
        <w:rPr>
          <w:rFonts w:eastAsia="Times New Roman"/>
          <w:bCs/>
          <w:color w:val="000000"/>
          <w:szCs w:val="28"/>
        </w:rPr>
        <w:t>nižší než v roce 2024</w:t>
      </w:r>
      <w:r w:rsidRPr="00085F90">
        <w:rPr>
          <w:rFonts w:eastAsia="Times New Roman"/>
          <w:bCs/>
          <w:color w:val="000000"/>
          <w:szCs w:val="28"/>
        </w:rPr>
        <w:t xml:space="preserve">. </w:t>
      </w:r>
      <w:r w:rsidRPr="00085F90">
        <w:rPr>
          <w:rFonts w:eastAsia="Times New Roman"/>
          <w:b/>
          <w:bCs/>
          <w:i/>
          <w:color w:val="000000"/>
          <w:szCs w:val="28"/>
        </w:rPr>
        <w:t>Míra investic</w:t>
      </w:r>
      <w:r>
        <w:rPr>
          <w:rFonts w:eastAsia="Times New Roman"/>
          <w:bCs/>
          <w:color w:val="000000"/>
          <w:szCs w:val="28"/>
        </w:rPr>
        <w:t xml:space="preserve"> sektoru domácností v roce 2025 dosáhla 10,</w:t>
      </w:r>
      <w:r w:rsidR="008F4FC0">
        <w:rPr>
          <w:rFonts w:eastAsia="Times New Roman"/>
          <w:bCs/>
          <w:color w:val="000000"/>
          <w:szCs w:val="28"/>
        </w:rPr>
        <w:t>7</w:t>
      </w:r>
      <w:r w:rsidRPr="00085F90">
        <w:rPr>
          <w:rFonts w:eastAsia="Times New Roman"/>
          <w:bCs/>
          <w:color w:val="000000"/>
          <w:szCs w:val="28"/>
        </w:rPr>
        <w:t xml:space="preserve"> % a </w:t>
      </w:r>
      <w:r w:rsidR="008F4FC0">
        <w:rPr>
          <w:rFonts w:eastAsia="Times New Roman"/>
          <w:bCs/>
          <w:color w:val="000000"/>
          <w:szCs w:val="28"/>
        </w:rPr>
        <w:t>stoupla</w:t>
      </w:r>
      <w:r>
        <w:rPr>
          <w:rFonts w:eastAsia="Times New Roman"/>
          <w:bCs/>
          <w:color w:val="000000"/>
          <w:szCs w:val="28"/>
        </w:rPr>
        <w:t xml:space="preserve"> tak o 0,</w:t>
      </w:r>
      <w:r w:rsidR="008F4FC0">
        <w:rPr>
          <w:rFonts w:eastAsia="Times New Roman"/>
          <w:bCs/>
          <w:color w:val="000000"/>
          <w:szCs w:val="28"/>
        </w:rPr>
        <w:t>1</w:t>
      </w:r>
      <w:r w:rsidRPr="00085F90">
        <w:rPr>
          <w:rFonts w:eastAsia="Times New Roman"/>
          <w:bCs/>
          <w:color w:val="000000"/>
          <w:szCs w:val="28"/>
        </w:rPr>
        <w:t xml:space="preserve"> p. b.</w:t>
      </w:r>
      <w:r w:rsidRPr="00085F90">
        <w:rPr>
          <w:rFonts w:eastAsia="Times New Roman"/>
          <w:bCs/>
          <w:color w:val="000000"/>
          <w:szCs w:val="28"/>
          <w:vertAlign w:val="superscript"/>
        </w:rPr>
        <w:t>1</w:t>
      </w:r>
    </w:p>
    <w:p w14:paraId="0A30FE52" w14:textId="77777777" w:rsidR="006E3A34" w:rsidRPr="00085F90" w:rsidRDefault="006E3A34" w:rsidP="006E3A34">
      <w:pPr>
        <w:rPr>
          <w:rFonts w:eastAsia="Times New Roman"/>
          <w:bCs/>
          <w:color w:val="000000"/>
          <w:szCs w:val="28"/>
        </w:rPr>
      </w:pPr>
    </w:p>
    <w:p w14:paraId="149942AB" w14:textId="1DD8C4F5" w:rsidR="006E3A34" w:rsidRPr="00085F90" w:rsidRDefault="006E3A34" w:rsidP="006E3A34">
      <w:pPr>
        <w:jc w:val="left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Vztah k zahraničí v roce 2025</w:t>
      </w:r>
      <w:r w:rsidRPr="00085F90">
        <w:rPr>
          <w:rFonts w:eastAsia="Times New Roman"/>
          <w:b/>
          <w:bCs/>
          <w:color w:val="000000"/>
          <w:szCs w:val="28"/>
        </w:rPr>
        <w:t xml:space="preserve">: zisky ze zahraničních investic dosáhly </w:t>
      </w:r>
      <w:r w:rsidR="005933AE">
        <w:rPr>
          <w:rFonts w:eastAsia="Times New Roman"/>
          <w:b/>
          <w:bCs/>
          <w:color w:val="000000"/>
          <w:szCs w:val="28"/>
        </w:rPr>
        <w:t>602</w:t>
      </w:r>
      <w:r w:rsidRPr="00085F90">
        <w:rPr>
          <w:rFonts w:eastAsia="Times New Roman"/>
          <w:b/>
          <w:bCs/>
          <w:color w:val="000000"/>
          <w:szCs w:val="28"/>
        </w:rPr>
        <w:t> mld. Kč</w:t>
      </w:r>
    </w:p>
    <w:p w14:paraId="569F5A69" w14:textId="18F1A621" w:rsidR="006E3A34" w:rsidRPr="00D13FF0" w:rsidRDefault="006E3A34" w:rsidP="006E3A34">
      <w:r>
        <w:rPr>
          <w:i/>
        </w:rPr>
        <w:t>„</w:t>
      </w:r>
      <w:r w:rsidRPr="005F6F9C">
        <w:rPr>
          <w:rFonts w:eastAsia="Times New Roman"/>
          <w:bCs/>
          <w:i/>
          <w:color w:val="000000"/>
          <w:szCs w:val="28"/>
        </w:rPr>
        <w:t>Zisky zahraničních</w:t>
      </w:r>
      <w:r>
        <w:rPr>
          <w:rFonts w:eastAsia="Times New Roman"/>
          <w:bCs/>
          <w:i/>
          <w:color w:val="000000"/>
          <w:szCs w:val="28"/>
        </w:rPr>
        <w:t xml:space="preserve"> vlastníků korporací vloni dosáhly </w:t>
      </w:r>
      <w:r w:rsidR="005933AE">
        <w:rPr>
          <w:rFonts w:eastAsia="Times New Roman"/>
          <w:bCs/>
          <w:i/>
          <w:color w:val="000000"/>
          <w:szCs w:val="28"/>
        </w:rPr>
        <w:t>7,0</w:t>
      </w:r>
      <w:r w:rsidRPr="005F6F9C">
        <w:rPr>
          <w:rFonts w:eastAsia="Times New Roman"/>
          <w:bCs/>
          <w:i/>
          <w:color w:val="000000"/>
          <w:szCs w:val="28"/>
        </w:rPr>
        <w:t xml:space="preserve"> % HDP. Ve formě dividend </w:t>
      </w:r>
      <w:r w:rsidR="0081363F" w:rsidRPr="005F6F9C">
        <w:rPr>
          <w:rFonts w:eastAsia="Times New Roman"/>
          <w:bCs/>
          <w:i/>
          <w:color w:val="000000"/>
          <w:szCs w:val="28"/>
        </w:rPr>
        <w:t>si rozdělili</w:t>
      </w:r>
      <w:r w:rsidRPr="005F6F9C">
        <w:rPr>
          <w:rFonts w:eastAsia="Times New Roman"/>
          <w:bCs/>
          <w:i/>
          <w:color w:val="000000"/>
          <w:szCs w:val="28"/>
        </w:rPr>
        <w:t xml:space="preserve"> </w:t>
      </w:r>
      <w:r w:rsidR="005933AE">
        <w:rPr>
          <w:rFonts w:eastAsia="Times New Roman"/>
          <w:bCs/>
          <w:i/>
          <w:color w:val="000000"/>
          <w:szCs w:val="28"/>
        </w:rPr>
        <w:t>téměř</w:t>
      </w:r>
      <w:r w:rsidRPr="005F6F9C">
        <w:rPr>
          <w:rFonts w:eastAsia="Times New Roman"/>
          <w:bCs/>
          <w:i/>
          <w:color w:val="000000"/>
          <w:szCs w:val="28"/>
        </w:rPr>
        <w:t xml:space="preserve"> </w:t>
      </w:r>
      <w:r>
        <w:rPr>
          <w:rFonts w:eastAsia="Times New Roman"/>
          <w:bCs/>
          <w:i/>
          <w:color w:val="000000"/>
          <w:szCs w:val="28"/>
        </w:rPr>
        <w:t>3</w:t>
      </w:r>
      <w:r w:rsidR="005933AE">
        <w:rPr>
          <w:rFonts w:eastAsia="Times New Roman"/>
          <w:bCs/>
          <w:i/>
          <w:color w:val="000000"/>
          <w:szCs w:val="28"/>
        </w:rPr>
        <w:t>4</w:t>
      </w:r>
      <w:r>
        <w:rPr>
          <w:rFonts w:eastAsia="Times New Roman"/>
          <w:bCs/>
          <w:i/>
          <w:color w:val="000000"/>
          <w:szCs w:val="28"/>
        </w:rPr>
        <w:t>0 m</w:t>
      </w:r>
      <w:r w:rsidR="0081363F">
        <w:rPr>
          <w:rFonts w:eastAsia="Times New Roman"/>
          <w:bCs/>
          <w:i/>
          <w:color w:val="000000"/>
          <w:szCs w:val="28"/>
        </w:rPr>
        <w:t>iliar</w:t>
      </w:r>
      <w:r>
        <w:rPr>
          <w:rFonts w:eastAsia="Times New Roman"/>
          <w:bCs/>
          <w:i/>
          <w:color w:val="000000"/>
          <w:szCs w:val="28"/>
        </w:rPr>
        <w:t xml:space="preserve">d. Kč a reinvestováno bylo více než </w:t>
      </w:r>
      <w:r w:rsidR="005933AE">
        <w:rPr>
          <w:rFonts w:eastAsia="Times New Roman"/>
          <w:bCs/>
          <w:i/>
          <w:color w:val="000000"/>
          <w:szCs w:val="28"/>
        </w:rPr>
        <w:t>262</w:t>
      </w:r>
      <w:r>
        <w:rPr>
          <w:rFonts w:eastAsia="Times New Roman"/>
          <w:bCs/>
          <w:i/>
          <w:color w:val="000000"/>
          <w:szCs w:val="28"/>
        </w:rPr>
        <w:t xml:space="preserve"> m</w:t>
      </w:r>
      <w:r w:rsidR="0081363F">
        <w:rPr>
          <w:rFonts w:eastAsia="Times New Roman"/>
          <w:bCs/>
          <w:i/>
          <w:color w:val="000000"/>
          <w:szCs w:val="28"/>
        </w:rPr>
        <w:t>iliard</w:t>
      </w:r>
      <w:r>
        <w:rPr>
          <w:rFonts w:eastAsia="Times New Roman"/>
          <w:bCs/>
          <w:i/>
          <w:color w:val="000000"/>
          <w:szCs w:val="28"/>
        </w:rPr>
        <w:t>. Kč</w:t>
      </w:r>
      <w:r>
        <w:rPr>
          <w:rFonts w:eastAsia="Times New Roman"/>
          <w:bCs/>
          <w:color w:val="000000"/>
          <w:szCs w:val="28"/>
        </w:rPr>
        <w:t xml:space="preserve">,“ </w:t>
      </w:r>
      <w:r w:rsidRPr="00DC788B">
        <w:t>sdělil Vladimír Kermiet, ředitel odboru národních účtů ČSÚ.</w:t>
      </w:r>
    </w:p>
    <w:p w14:paraId="3A5C4224" w14:textId="77777777" w:rsidR="006E3A34" w:rsidRPr="00085F90" w:rsidRDefault="006E3A34" w:rsidP="006E3A34">
      <w:pPr>
        <w:rPr>
          <w:rFonts w:eastAsia="Times New Roman"/>
          <w:bCs/>
          <w:color w:val="000000"/>
          <w:szCs w:val="28"/>
        </w:rPr>
      </w:pPr>
    </w:p>
    <w:p w14:paraId="00622A4F" w14:textId="4FCE6F75" w:rsidR="006E3A34" w:rsidRDefault="006E3A34" w:rsidP="006E3A34">
      <w:pPr>
        <w:rPr>
          <w:rFonts w:eastAsia="Times New Roman"/>
          <w:bCs/>
          <w:color w:val="000000"/>
          <w:szCs w:val="28"/>
        </w:rPr>
      </w:pPr>
      <w:r w:rsidRPr="00085F90">
        <w:rPr>
          <w:rFonts w:eastAsia="Times New Roman"/>
          <w:bCs/>
          <w:color w:val="000000"/>
          <w:szCs w:val="28"/>
        </w:rPr>
        <w:t xml:space="preserve">Na druhou stranu byl odliv důchodů ze zisků částečně kompenzován přílivem </w:t>
      </w:r>
      <w:r>
        <w:rPr>
          <w:rFonts w:eastAsia="Times New Roman"/>
          <w:bCs/>
          <w:color w:val="000000"/>
          <w:szCs w:val="28"/>
        </w:rPr>
        <w:t>důchodů</w:t>
      </w:r>
      <w:r w:rsidRPr="00085F90">
        <w:rPr>
          <w:rFonts w:eastAsia="Times New Roman"/>
          <w:bCs/>
          <w:color w:val="000000"/>
          <w:szCs w:val="28"/>
        </w:rPr>
        <w:t xml:space="preserve"> ze zahraničí, zejména příjmy ze zaměstnání a dotacemi. Saldo prvotních </w:t>
      </w:r>
      <w:r>
        <w:rPr>
          <w:rFonts w:eastAsia="Times New Roman"/>
          <w:bCs/>
          <w:color w:val="000000"/>
          <w:szCs w:val="28"/>
        </w:rPr>
        <w:t>důchodů</w:t>
      </w:r>
      <w:r w:rsidRPr="00085F90">
        <w:rPr>
          <w:rFonts w:eastAsia="Times New Roman"/>
          <w:bCs/>
          <w:color w:val="000000"/>
          <w:szCs w:val="28"/>
        </w:rPr>
        <w:t xml:space="preserve"> se zahran</w:t>
      </w:r>
      <w:r>
        <w:rPr>
          <w:rFonts w:eastAsia="Times New Roman"/>
          <w:bCs/>
          <w:color w:val="000000"/>
          <w:szCs w:val="28"/>
        </w:rPr>
        <w:t xml:space="preserve">ičím se meziročně </w:t>
      </w:r>
      <w:r w:rsidR="005933AE">
        <w:rPr>
          <w:rFonts w:eastAsia="Times New Roman"/>
          <w:bCs/>
          <w:color w:val="000000"/>
          <w:szCs w:val="28"/>
        </w:rPr>
        <w:t>zlepšilo</w:t>
      </w:r>
      <w:r>
        <w:rPr>
          <w:rFonts w:eastAsia="Times New Roman"/>
          <w:bCs/>
          <w:color w:val="000000"/>
          <w:szCs w:val="28"/>
        </w:rPr>
        <w:t xml:space="preserve"> o 28</w:t>
      </w:r>
      <w:r w:rsidRPr="00085F90">
        <w:rPr>
          <w:rFonts w:eastAsia="Times New Roman"/>
          <w:bCs/>
          <w:color w:val="000000"/>
          <w:szCs w:val="28"/>
        </w:rPr>
        <w:t xml:space="preserve"> mld. Kč a </w:t>
      </w:r>
      <w:r>
        <w:rPr>
          <w:rFonts w:eastAsia="Times New Roman"/>
          <w:bCs/>
          <w:color w:val="000000"/>
          <w:szCs w:val="28"/>
        </w:rPr>
        <w:t>dosáhlo -3</w:t>
      </w:r>
      <w:r w:rsidR="005933AE">
        <w:rPr>
          <w:rFonts w:eastAsia="Times New Roman"/>
          <w:bCs/>
          <w:color w:val="000000"/>
          <w:szCs w:val="28"/>
        </w:rPr>
        <w:t>63</w:t>
      </w:r>
      <w:r w:rsidRPr="00085F90">
        <w:rPr>
          <w:rFonts w:eastAsia="Times New Roman"/>
          <w:bCs/>
          <w:color w:val="000000"/>
          <w:szCs w:val="28"/>
        </w:rPr>
        <w:t> mld. Kč.</w:t>
      </w:r>
    </w:p>
    <w:p w14:paraId="50FDDA43" w14:textId="77777777" w:rsidR="006E3A34" w:rsidRPr="00085F90" w:rsidRDefault="006E3A34" w:rsidP="006E3A34">
      <w:pPr>
        <w:rPr>
          <w:rFonts w:eastAsia="Times New Roman"/>
          <w:bCs/>
          <w:color w:val="000000"/>
          <w:szCs w:val="28"/>
        </w:rPr>
      </w:pPr>
    </w:p>
    <w:p w14:paraId="35AB13B5" w14:textId="448FEB49" w:rsidR="006E3A34" w:rsidRDefault="006E3A34" w:rsidP="006E3A34">
      <w:pPr>
        <w:rPr>
          <w:rFonts w:eastAsia="Times New Roman"/>
          <w:bCs/>
          <w:color w:val="000000"/>
          <w:szCs w:val="28"/>
        </w:rPr>
      </w:pPr>
      <w:r w:rsidRPr="00085F90">
        <w:rPr>
          <w:rFonts w:eastAsia="Times New Roman"/>
          <w:bCs/>
          <w:color w:val="000000"/>
          <w:szCs w:val="28"/>
        </w:rPr>
        <w:t xml:space="preserve">V reálném vyjádření </w:t>
      </w:r>
      <w:r>
        <w:rPr>
          <w:rFonts w:eastAsia="Times New Roman"/>
          <w:bCs/>
          <w:color w:val="000000"/>
          <w:szCs w:val="28"/>
        </w:rPr>
        <w:t>se</w:t>
      </w:r>
      <w:r w:rsidRPr="00085F90">
        <w:rPr>
          <w:rFonts w:eastAsia="Times New Roman"/>
          <w:b/>
          <w:bCs/>
          <w:color w:val="000000"/>
          <w:szCs w:val="28"/>
        </w:rPr>
        <w:t xml:space="preserve"> hrubý národní důchod</w:t>
      </w:r>
      <w:r>
        <w:rPr>
          <w:rFonts w:eastAsia="Times New Roman"/>
          <w:bCs/>
          <w:color w:val="000000"/>
          <w:szCs w:val="28"/>
        </w:rPr>
        <w:t xml:space="preserve"> v roce 2025 </w:t>
      </w:r>
      <w:r w:rsidR="005933AE">
        <w:rPr>
          <w:rFonts w:eastAsia="Times New Roman"/>
          <w:bCs/>
          <w:color w:val="000000"/>
          <w:szCs w:val="28"/>
        </w:rPr>
        <w:t>zvýšil</w:t>
      </w:r>
      <w:r>
        <w:rPr>
          <w:rFonts w:eastAsia="Times New Roman"/>
          <w:bCs/>
          <w:color w:val="000000"/>
          <w:szCs w:val="28"/>
        </w:rPr>
        <w:t xml:space="preserve"> o </w:t>
      </w:r>
      <w:r w:rsidR="005933AE">
        <w:rPr>
          <w:rFonts w:eastAsia="Times New Roman"/>
          <w:bCs/>
          <w:color w:val="000000"/>
          <w:szCs w:val="28"/>
        </w:rPr>
        <w:t>1,7</w:t>
      </w:r>
      <w:r>
        <w:rPr>
          <w:rFonts w:eastAsia="Times New Roman"/>
          <w:bCs/>
          <w:color w:val="000000"/>
          <w:szCs w:val="28"/>
        </w:rPr>
        <w:t xml:space="preserve"> %</w:t>
      </w:r>
      <w:r w:rsidR="005933AE">
        <w:rPr>
          <w:rFonts w:eastAsia="Times New Roman"/>
          <w:bCs/>
          <w:color w:val="000000"/>
          <w:szCs w:val="28"/>
        </w:rPr>
        <w:t>.</w:t>
      </w:r>
    </w:p>
    <w:p w14:paraId="7F1FE709" w14:textId="77777777" w:rsidR="006E3A34" w:rsidRPr="00085F90" w:rsidRDefault="006E3A34" w:rsidP="006E3A34">
      <w:pPr>
        <w:rPr>
          <w:rFonts w:eastAsia="Times New Roman"/>
          <w:b/>
          <w:bCs/>
          <w:color w:val="000000"/>
          <w:szCs w:val="28"/>
        </w:rPr>
      </w:pPr>
    </w:p>
    <w:p w14:paraId="05EF2DC6" w14:textId="40FB01E6" w:rsidR="006E3A34" w:rsidRPr="0070434C" w:rsidRDefault="006E3A34" w:rsidP="006E3A34">
      <w:pPr>
        <w:rPr>
          <w:rFonts w:eastAsia="Times New Roman"/>
          <w:bCs/>
          <w:color w:val="000000"/>
          <w:szCs w:val="28"/>
        </w:rPr>
      </w:pPr>
      <w:r w:rsidRPr="00085F90">
        <w:rPr>
          <w:rFonts w:eastAsia="Times New Roman"/>
          <w:b/>
          <w:bCs/>
          <w:color w:val="000000"/>
          <w:szCs w:val="28"/>
        </w:rPr>
        <w:t xml:space="preserve">Hrubý disponibilní důchod </w:t>
      </w:r>
      <w:r w:rsidRPr="00085F90">
        <w:rPr>
          <w:rFonts w:eastAsia="Times New Roman"/>
          <w:bCs/>
          <w:color w:val="000000"/>
          <w:szCs w:val="28"/>
        </w:rPr>
        <w:t>za celou ekonomiku v reá</w:t>
      </w:r>
      <w:r>
        <w:rPr>
          <w:rFonts w:eastAsia="Times New Roman"/>
          <w:bCs/>
          <w:color w:val="000000"/>
          <w:szCs w:val="28"/>
        </w:rPr>
        <w:t xml:space="preserve">lném vyjádření </w:t>
      </w:r>
      <w:r w:rsidR="005933AE">
        <w:rPr>
          <w:rFonts w:eastAsia="Times New Roman"/>
          <w:bCs/>
          <w:color w:val="000000"/>
          <w:szCs w:val="28"/>
        </w:rPr>
        <w:t>stoupl</w:t>
      </w:r>
      <w:r>
        <w:rPr>
          <w:rFonts w:eastAsia="Times New Roman"/>
          <w:bCs/>
          <w:color w:val="000000"/>
          <w:szCs w:val="28"/>
        </w:rPr>
        <w:t xml:space="preserve"> v roce 2025 o </w:t>
      </w:r>
      <w:r w:rsidR="005933AE">
        <w:rPr>
          <w:rFonts w:eastAsia="Times New Roman"/>
          <w:bCs/>
          <w:color w:val="000000"/>
          <w:szCs w:val="28"/>
        </w:rPr>
        <w:t>1,4</w:t>
      </w:r>
      <w:r w:rsidRPr="00085F90">
        <w:rPr>
          <w:rFonts w:eastAsia="Times New Roman"/>
          <w:bCs/>
          <w:color w:val="000000"/>
          <w:szCs w:val="28"/>
        </w:rPr>
        <w:t> %.</w:t>
      </w:r>
    </w:p>
    <w:p w14:paraId="43BBAED1" w14:textId="77777777" w:rsidR="006E3A34" w:rsidRPr="005240F2" w:rsidRDefault="006E3A34" w:rsidP="006E3A34">
      <w:pPr>
        <w:rPr>
          <w:rFonts w:eastAsia="Times New Roman"/>
          <w:bCs/>
          <w:color w:val="000000"/>
          <w:szCs w:val="28"/>
          <w:vertAlign w:val="superscript"/>
        </w:rPr>
      </w:pPr>
    </w:p>
    <w:p w14:paraId="122E5003" w14:textId="77777777" w:rsidR="006E3A34" w:rsidRPr="005240F2" w:rsidRDefault="006E3A34" w:rsidP="006E3A34">
      <w:pPr>
        <w:keepNext/>
        <w:jc w:val="left"/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/>
          <w:bCs/>
          <w:color w:val="000000"/>
          <w:szCs w:val="28"/>
        </w:rPr>
        <w:t>Zpřesnění odhadu HDP</w:t>
      </w:r>
    </w:p>
    <w:p w14:paraId="15C02C87" w14:textId="26FE7650" w:rsidR="006E3A34" w:rsidRPr="001C1BF2" w:rsidRDefault="006E3A34" w:rsidP="006E3A34">
      <w:pPr>
        <w:spacing w:after="120"/>
        <w:rPr>
          <w:rFonts w:eastAsia="Times New Roman"/>
          <w:bCs/>
          <w:color w:val="0000FF"/>
          <w:szCs w:val="28"/>
          <w:u w:val="single"/>
        </w:rPr>
      </w:pPr>
      <w:r w:rsidRPr="002963F1">
        <w:rPr>
          <w:rFonts w:eastAsia="Times New Roman"/>
          <w:bCs/>
          <w:szCs w:val="28"/>
        </w:rPr>
        <w:t>Do sektorových účtů za 4. čtvrtletí 202</w:t>
      </w:r>
      <w:r>
        <w:rPr>
          <w:rFonts w:eastAsia="Times New Roman"/>
          <w:bCs/>
          <w:szCs w:val="28"/>
        </w:rPr>
        <w:t>5</w:t>
      </w:r>
      <w:r w:rsidRPr="002963F1">
        <w:rPr>
          <w:rFonts w:eastAsia="Times New Roman"/>
          <w:bCs/>
          <w:szCs w:val="28"/>
        </w:rPr>
        <w:t xml:space="preserve"> byly zapracovány i nové údaje za sektor vládních institucí, což vedlo ke zpřesnění odhadu temp růstu hrubého domácího produktu (HDP). </w:t>
      </w:r>
      <w:r w:rsidRPr="0026615F">
        <w:rPr>
          <w:rFonts w:eastAsia="Times New Roman"/>
          <w:bCs/>
          <w:szCs w:val="28"/>
        </w:rPr>
        <w:t>HDP v</w:t>
      </w:r>
      <w:r>
        <w:rPr>
          <w:rFonts w:eastAsia="Times New Roman"/>
          <w:bCs/>
          <w:szCs w:val="28"/>
        </w:rPr>
        <w:t>e</w:t>
      </w:r>
      <w:r w:rsidRPr="0026615F">
        <w:rPr>
          <w:rFonts w:eastAsia="Times New Roman"/>
          <w:bCs/>
          <w:szCs w:val="28"/>
        </w:rPr>
        <w:t xml:space="preserve"> </w:t>
      </w:r>
      <w:r>
        <w:rPr>
          <w:rFonts w:eastAsia="Times New Roman"/>
          <w:bCs/>
          <w:szCs w:val="28"/>
        </w:rPr>
        <w:t>4. </w:t>
      </w:r>
      <w:r w:rsidRPr="0026615F">
        <w:rPr>
          <w:rFonts w:eastAsia="Times New Roman"/>
          <w:bCs/>
          <w:szCs w:val="28"/>
        </w:rPr>
        <w:t>čtvrtletí</w:t>
      </w:r>
      <w:r>
        <w:rPr>
          <w:rFonts w:eastAsia="Times New Roman"/>
          <w:bCs/>
          <w:szCs w:val="28"/>
        </w:rPr>
        <w:t> 2025 mezičtvrtletně stoupl o 0,7 % a meziročně se zvýšil o 2,7</w:t>
      </w:r>
      <w:r w:rsidRPr="0026615F">
        <w:rPr>
          <w:rFonts w:eastAsia="Times New Roman"/>
          <w:bCs/>
          <w:szCs w:val="28"/>
        </w:rPr>
        <w:t xml:space="preserve"> %. </w:t>
      </w:r>
      <w:r>
        <w:rPr>
          <w:rFonts w:eastAsia="Times New Roman"/>
          <w:bCs/>
          <w:szCs w:val="28"/>
        </w:rPr>
        <w:t xml:space="preserve">HDP v roce 2025 stoupl o </w:t>
      </w:r>
      <w:r w:rsidR="000359B8">
        <w:rPr>
          <w:rFonts w:eastAsia="Times New Roman"/>
          <w:bCs/>
          <w:szCs w:val="28"/>
        </w:rPr>
        <w:t>2,6</w:t>
      </w:r>
      <w:r w:rsidRPr="002963F1">
        <w:rPr>
          <w:rFonts w:eastAsia="Times New Roman"/>
          <w:bCs/>
          <w:szCs w:val="28"/>
        </w:rPr>
        <w:t xml:space="preserve"> %.</w:t>
      </w:r>
      <w:r w:rsidRPr="005240F2">
        <w:rPr>
          <w:rFonts w:eastAsia="Times New Roman"/>
          <w:bCs/>
          <w:szCs w:val="28"/>
        </w:rPr>
        <w:t xml:space="preserve"> Časové řady o tvorbě a užití HDP naleznete na webových stránkách</w:t>
      </w:r>
      <w:r w:rsidRPr="005240F2">
        <w:rPr>
          <w:rFonts w:eastAsia="Times New Roman"/>
          <w:bCs/>
          <w:color w:val="000000"/>
          <w:szCs w:val="28"/>
        </w:rPr>
        <w:t xml:space="preserve">: </w:t>
      </w:r>
      <w:hyperlink r:id="rId10" w:history="1">
        <w:r w:rsidRPr="005240F2">
          <w:rPr>
            <w:color w:val="0000FF"/>
            <w:u w:val="single"/>
          </w:rPr>
          <w:t>https://csu.gov.cz/produkty/hdp_cr</w:t>
        </w:r>
      </w:hyperlink>
      <w:r w:rsidRPr="005240F2">
        <w:t xml:space="preserve"> </w:t>
      </w:r>
    </w:p>
    <w:p w14:paraId="0878FBAE" w14:textId="77777777" w:rsidR="006E3A34" w:rsidRPr="005240F2" w:rsidRDefault="006E3A34" w:rsidP="006E3A34">
      <w:pPr>
        <w:spacing w:before="120" w:after="120"/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Cs/>
          <w:color w:val="000000"/>
          <w:szCs w:val="28"/>
          <w:vertAlign w:val="superscript"/>
        </w:rPr>
        <w:t xml:space="preserve">1 </w:t>
      </w:r>
      <w:r w:rsidRPr="005240F2">
        <w:rPr>
          <w:rFonts w:eastAsia="Times New Roman"/>
          <w:bCs/>
          <w:color w:val="000000"/>
          <w:szCs w:val="28"/>
        </w:rPr>
        <w:t>Sezónně neočištěný údaj</w:t>
      </w:r>
    </w:p>
    <w:p w14:paraId="62B2914B" w14:textId="2CB869B1" w:rsidR="005240F2" w:rsidRPr="005240F2" w:rsidRDefault="005240F2" w:rsidP="005240F2">
      <w:pPr>
        <w:keepNext/>
        <w:pBdr>
          <w:top w:val="single" w:sz="4" w:space="9" w:color="auto"/>
        </w:pBdr>
        <w:spacing w:before="280"/>
        <w:rPr>
          <w:rFonts w:cs="ArialMT"/>
          <w:szCs w:val="20"/>
        </w:rPr>
      </w:pPr>
      <w:r w:rsidRPr="005240F2">
        <w:rPr>
          <w:rFonts w:cs="ArialMT"/>
          <w:szCs w:val="20"/>
        </w:rPr>
        <w:lastRenderedPageBreak/>
        <w:t xml:space="preserve">Všechny termíny jsou v pojetí národního účetnictví a vysvětlivky pojmů označených </w:t>
      </w:r>
      <w:r w:rsidRPr="005240F2">
        <w:rPr>
          <w:rFonts w:cs="ArialMT"/>
          <w:b/>
          <w:i/>
          <w:szCs w:val="20"/>
        </w:rPr>
        <w:t>tučnou kurzívou</w:t>
      </w:r>
      <w:r w:rsidRPr="005240F2">
        <w:rPr>
          <w:rFonts w:cs="ArialMT"/>
          <w:szCs w:val="20"/>
        </w:rPr>
        <w:t xml:space="preserve"> naleznete zde: </w:t>
      </w:r>
      <w:r w:rsidRPr="005240F2">
        <w:rPr>
          <w:rFonts w:eastAsia="Times New Roman"/>
          <w:bCs/>
          <w:i/>
          <w:color w:val="0000FF"/>
          <w:szCs w:val="20"/>
          <w:u w:val="single"/>
        </w:rPr>
        <w:t>https://apl.czso.cz/nufile/Definice.pdf</w:t>
      </w:r>
    </w:p>
    <w:p w14:paraId="777CD3F8" w14:textId="77777777" w:rsidR="005240F2" w:rsidRPr="005240F2" w:rsidRDefault="005240F2" w:rsidP="005240F2">
      <w:pPr>
        <w:spacing w:after="120"/>
        <w:rPr>
          <w:rFonts w:eastAsia="Times New Roman"/>
          <w:bCs/>
          <w:color w:val="000000"/>
          <w:szCs w:val="28"/>
        </w:rPr>
      </w:pPr>
    </w:p>
    <w:p w14:paraId="0ADCB640" w14:textId="77777777" w:rsidR="005240F2" w:rsidRPr="005240F2" w:rsidRDefault="005240F2" w:rsidP="005240F2">
      <w:pPr>
        <w:keepNext/>
        <w:pBdr>
          <w:top w:val="single" w:sz="4" w:space="9" w:color="auto"/>
        </w:pBdr>
        <w:tabs>
          <w:tab w:val="left" w:pos="3402"/>
        </w:tabs>
        <w:spacing w:before="280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Kontaktní osoba:</w:t>
      </w:r>
      <w:r w:rsidRPr="005240F2">
        <w:rPr>
          <w:rFonts w:cs="Arial"/>
          <w:i/>
          <w:sz w:val="18"/>
          <w:szCs w:val="18"/>
        </w:rPr>
        <w:tab/>
        <w:t>Ing. Vladimír Kermiet, ředitel Odboru národních účtů,</w:t>
      </w:r>
    </w:p>
    <w:p w14:paraId="5048711E" w14:textId="78621B02" w:rsidR="005240F2" w:rsidRPr="005240F2" w:rsidRDefault="005240F2" w:rsidP="005240F2">
      <w:pPr>
        <w:keepNext/>
        <w:pBdr>
          <w:top w:val="single" w:sz="4" w:space="9" w:color="auto"/>
        </w:pBdr>
        <w:tabs>
          <w:tab w:val="left" w:pos="3402"/>
        </w:tabs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ab/>
        <w:t xml:space="preserve">tel. 274 054 247, e-mail: </w:t>
      </w:r>
      <w:hyperlink r:id="rId11" w:history="1">
        <w:r w:rsidR="00247BD1" w:rsidRPr="002D21CA">
          <w:rPr>
            <w:rStyle w:val="Hypertextovodkaz"/>
            <w:rFonts w:cs="Arial"/>
            <w:i/>
            <w:sz w:val="18"/>
            <w:szCs w:val="18"/>
          </w:rPr>
          <w:t>vladimir.kermiet@csu.gov.cz</w:t>
        </w:r>
      </w:hyperlink>
      <w:r w:rsidR="00247BD1">
        <w:rPr>
          <w:rFonts w:cs="Arial"/>
          <w:i/>
          <w:sz w:val="18"/>
          <w:szCs w:val="18"/>
        </w:rPr>
        <w:t xml:space="preserve"> </w:t>
      </w:r>
    </w:p>
    <w:p w14:paraId="06286AC3" w14:textId="085CED60" w:rsidR="005240F2" w:rsidRPr="005240F2" w:rsidRDefault="005240F2" w:rsidP="005240F2">
      <w:pPr>
        <w:keepNext/>
        <w:pBdr>
          <w:top w:val="single" w:sz="4" w:space="9" w:color="auto"/>
        </w:pBdr>
        <w:tabs>
          <w:tab w:val="left" w:pos="3402"/>
        </w:tabs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Aktuálno</w:t>
      </w:r>
      <w:r w:rsidR="001C1BF2">
        <w:rPr>
          <w:rFonts w:cs="Arial"/>
          <w:i/>
          <w:sz w:val="18"/>
          <w:szCs w:val="18"/>
        </w:rPr>
        <w:t xml:space="preserve">st použitých datových </w:t>
      </w:r>
      <w:r w:rsidR="007A66A3">
        <w:rPr>
          <w:rFonts w:cs="Arial"/>
          <w:i/>
          <w:sz w:val="18"/>
          <w:szCs w:val="18"/>
        </w:rPr>
        <w:t>zdrojů:</w:t>
      </w:r>
      <w:r w:rsidR="007A66A3">
        <w:rPr>
          <w:rFonts w:cs="Arial"/>
          <w:i/>
          <w:sz w:val="18"/>
          <w:szCs w:val="18"/>
        </w:rPr>
        <w:tab/>
      </w:r>
      <w:r w:rsidR="006E3A34">
        <w:rPr>
          <w:rFonts w:cs="Arial"/>
          <w:i/>
          <w:sz w:val="18"/>
          <w:szCs w:val="18"/>
        </w:rPr>
        <w:t>25</w:t>
      </w:r>
      <w:r w:rsidRPr="005240F2">
        <w:rPr>
          <w:rFonts w:cs="Arial"/>
          <w:i/>
          <w:sz w:val="18"/>
          <w:szCs w:val="18"/>
        </w:rPr>
        <w:t xml:space="preserve">. </w:t>
      </w:r>
      <w:r w:rsidR="006E3A34">
        <w:rPr>
          <w:rFonts w:cs="Arial"/>
          <w:i/>
          <w:sz w:val="18"/>
          <w:szCs w:val="18"/>
        </w:rPr>
        <w:t>března</w:t>
      </w:r>
      <w:r w:rsidRPr="005240F2">
        <w:rPr>
          <w:rFonts w:cs="Arial"/>
          <w:i/>
          <w:sz w:val="18"/>
          <w:szCs w:val="18"/>
        </w:rPr>
        <w:t xml:space="preserve"> 202</w:t>
      </w:r>
      <w:r w:rsidR="006E3A34">
        <w:rPr>
          <w:rFonts w:cs="Arial"/>
          <w:i/>
          <w:sz w:val="18"/>
          <w:szCs w:val="18"/>
        </w:rPr>
        <w:t>6</w:t>
      </w:r>
    </w:p>
    <w:p w14:paraId="57946CAB" w14:textId="4EA0FE1F" w:rsidR="005240F2" w:rsidRPr="005240F2" w:rsidRDefault="005240F2" w:rsidP="005240F2">
      <w:pPr>
        <w:pBdr>
          <w:top w:val="single" w:sz="4" w:space="9" w:color="auto"/>
        </w:pBdr>
        <w:tabs>
          <w:tab w:val="left" w:pos="3402"/>
        </w:tabs>
        <w:ind w:left="3402" w:hanging="3402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Internetové stránky ČSÚ:</w:t>
      </w:r>
      <w:r w:rsidRPr="005240F2">
        <w:rPr>
          <w:rFonts w:cs="Arial"/>
          <w:i/>
          <w:sz w:val="18"/>
          <w:szCs w:val="18"/>
        </w:rPr>
        <w:tab/>
      </w:r>
      <w:hyperlink r:id="rId12" w:history="1">
        <w:r w:rsidR="00247BD1" w:rsidRPr="002D21CA">
          <w:rPr>
            <w:rStyle w:val="Hypertextovodkaz"/>
            <w:rFonts w:cs="Arial"/>
            <w:i/>
            <w:sz w:val="18"/>
            <w:szCs w:val="18"/>
          </w:rPr>
          <w:t>https://csu.gov.cz/hdp-narodni-ucty</w:t>
        </w:r>
      </w:hyperlink>
      <w:r w:rsidR="00247BD1">
        <w:rPr>
          <w:rFonts w:cs="Arial"/>
          <w:i/>
          <w:sz w:val="18"/>
          <w:szCs w:val="18"/>
        </w:rPr>
        <w:t xml:space="preserve"> </w:t>
      </w:r>
    </w:p>
    <w:p w14:paraId="7419ADF1" w14:textId="64B21614" w:rsidR="005240F2" w:rsidRPr="005240F2" w:rsidRDefault="005240F2" w:rsidP="005240F2">
      <w:pPr>
        <w:pBdr>
          <w:top w:val="single" w:sz="4" w:space="9" w:color="auto"/>
        </w:pBdr>
        <w:tabs>
          <w:tab w:val="left" w:pos="3402"/>
        </w:tabs>
        <w:spacing w:after="120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Term</w:t>
      </w:r>
      <w:r w:rsidR="00E110AD">
        <w:rPr>
          <w:rFonts w:cs="Arial"/>
          <w:i/>
          <w:sz w:val="18"/>
          <w:szCs w:val="18"/>
        </w:rPr>
        <w:t>í</w:t>
      </w:r>
      <w:r w:rsidR="002E7D74">
        <w:rPr>
          <w:rFonts w:cs="Arial"/>
          <w:i/>
          <w:sz w:val="18"/>
          <w:szCs w:val="18"/>
        </w:rPr>
        <w:t xml:space="preserve">n </w:t>
      </w:r>
      <w:r w:rsidR="007A66A3">
        <w:rPr>
          <w:rFonts w:cs="Arial"/>
          <w:i/>
          <w:sz w:val="18"/>
          <w:szCs w:val="18"/>
        </w:rPr>
        <w:t>zveřejnění další informace:</w:t>
      </w:r>
      <w:r w:rsidR="007A66A3">
        <w:rPr>
          <w:rFonts w:cs="Arial"/>
          <w:i/>
          <w:sz w:val="18"/>
          <w:szCs w:val="18"/>
        </w:rPr>
        <w:tab/>
      </w:r>
      <w:r w:rsidR="006E3A34">
        <w:rPr>
          <w:rFonts w:cs="Arial"/>
          <w:i/>
          <w:sz w:val="18"/>
          <w:szCs w:val="18"/>
        </w:rPr>
        <w:t>30</w:t>
      </w:r>
      <w:r w:rsidR="001C1BF2">
        <w:rPr>
          <w:rFonts w:cs="Arial"/>
          <w:i/>
          <w:sz w:val="18"/>
          <w:szCs w:val="18"/>
        </w:rPr>
        <w:t xml:space="preserve">. </w:t>
      </w:r>
      <w:r w:rsidR="006E3A34">
        <w:rPr>
          <w:rFonts w:cs="Arial"/>
          <w:i/>
          <w:sz w:val="18"/>
          <w:szCs w:val="18"/>
        </w:rPr>
        <w:t>června</w:t>
      </w:r>
      <w:r w:rsidR="001C1BF2">
        <w:rPr>
          <w:rFonts w:cs="Arial"/>
          <w:i/>
          <w:sz w:val="18"/>
          <w:szCs w:val="18"/>
        </w:rPr>
        <w:t xml:space="preserve"> 202</w:t>
      </w:r>
      <w:r w:rsidR="007A66A3">
        <w:rPr>
          <w:rFonts w:cs="Arial"/>
          <w:i/>
          <w:sz w:val="18"/>
          <w:szCs w:val="18"/>
        </w:rPr>
        <w:t>6</w:t>
      </w:r>
      <w:r w:rsidR="006561DE">
        <w:rPr>
          <w:rFonts w:cs="Arial"/>
          <w:i/>
          <w:sz w:val="18"/>
          <w:szCs w:val="18"/>
        </w:rPr>
        <w:t xml:space="preserve"> (Čtvrtletní sektorové účty za </w:t>
      </w:r>
      <w:r w:rsidR="006E3A34">
        <w:rPr>
          <w:rFonts w:cs="Arial"/>
          <w:i/>
          <w:sz w:val="18"/>
          <w:szCs w:val="18"/>
        </w:rPr>
        <w:t>1</w:t>
      </w:r>
      <w:r w:rsidR="00E110AD">
        <w:rPr>
          <w:rFonts w:cs="Arial"/>
          <w:i/>
          <w:sz w:val="18"/>
          <w:szCs w:val="18"/>
        </w:rPr>
        <w:t>. čtvrtletí 202</w:t>
      </w:r>
      <w:r w:rsidR="006E3A34">
        <w:rPr>
          <w:rFonts w:cs="Arial"/>
          <w:i/>
          <w:sz w:val="18"/>
          <w:szCs w:val="18"/>
        </w:rPr>
        <w:t>6</w:t>
      </w:r>
      <w:r w:rsidRPr="005240F2">
        <w:rPr>
          <w:rFonts w:cs="Arial"/>
          <w:i/>
          <w:sz w:val="18"/>
          <w:szCs w:val="18"/>
        </w:rPr>
        <w:t>)</w:t>
      </w:r>
    </w:p>
    <w:p w14:paraId="1832DDE1" w14:textId="77777777" w:rsidR="005240F2" w:rsidRPr="005240F2" w:rsidRDefault="005240F2" w:rsidP="005240F2"/>
    <w:p w14:paraId="7276C6CB" w14:textId="77777777" w:rsidR="005240F2" w:rsidRPr="005240F2" w:rsidRDefault="005240F2" w:rsidP="005240F2">
      <w:pPr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Údaje čtvrtletních sektorových účtů jsou sezónně očištěny, pokud není výslovně uvedeno jinak.</w:t>
      </w:r>
    </w:p>
    <w:p w14:paraId="51B55394" w14:textId="77777777" w:rsidR="005240F2" w:rsidRPr="005240F2" w:rsidRDefault="005240F2" w:rsidP="005240F2">
      <w:pPr>
        <w:rPr>
          <w:rFonts w:cs="Arial"/>
          <w:i/>
          <w:sz w:val="18"/>
          <w:szCs w:val="18"/>
        </w:rPr>
      </w:pPr>
    </w:p>
    <w:p w14:paraId="34543C18" w14:textId="42E84121"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 xml:space="preserve">Rychlé informace </w:t>
      </w:r>
      <w:proofErr w:type="spellStart"/>
      <w:r w:rsidRPr="005240F2">
        <w:rPr>
          <w:rFonts w:cs="Arial"/>
          <w:i/>
          <w:sz w:val="18"/>
          <w:szCs w:val="18"/>
        </w:rPr>
        <w:t>Eurostatu</w:t>
      </w:r>
      <w:proofErr w:type="spellEnd"/>
      <w:r w:rsidRPr="005240F2">
        <w:rPr>
          <w:rFonts w:cs="Arial"/>
          <w:i/>
          <w:sz w:val="18"/>
          <w:szCs w:val="18"/>
        </w:rPr>
        <w:t xml:space="preserve"> ke čtvrtletním sektorovým účtům jsou zveřejňovány později. Pos</w:t>
      </w:r>
      <w:r w:rsidR="006561DE">
        <w:rPr>
          <w:rFonts w:cs="Arial"/>
          <w:i/>
          <w:sz w:val="18"/>
          <w:szCs w:val="18"/>
        </w:rPr>
        <w:t>lední publikované inf</w:t>
      </w:r>
      <w:r w:rsidR="00E110AD">
        <w:rPr>
          <w:rFonts w:cs="Arial"/>
          <w:i/>
          <w:sz w:val="18"/>
          <w:szCs w:val="18"/>
        </w:rPr>
        <w:t xml:space="preserve">ormace za </w:t>
      </w:r>
      <w:r w:rsidR="006E3A34">
        <w:rPr>
          <w:rFonts w:cs="Arial"/>
          <w:i/>
          <w:sz w:val="18"/>
          <w:szCs w:val="18"/>
        </w:rPr>
        <w:t>3</w:t>
      </w:r>
      <w:r w:rsidR="007A66A3">
        <w:rPr>
          <w:rFonts w:cs="Arial"/>
          <w:i/>
          <w:sz w:val="18"/>
          <w:szCs w:val="18"/>
        </w:rPr>
        <w:t>. čtvrtletí roku 2025</w:t>
      </w:r>
      <w:r w:rsidRPr="005240F2">
        <w:rPr>
          <w:rFonts w:cs="Arial"/>
          <w:i/>
          <w:sz w:val="18"/>
          <w:szCs w:val="18"/>
        </w:rPr>
        <w:t xml:space="preserve"> jsou k dispozici na:</w:t>
      </w:r>
    </w:p>
    <w:p w14:paraId="1E922AB4" w14:textId="72527516" w:rsidR="005240F2" w:rsidRPr="005240F2" w:rsidRDefault="00247BD1" w:rsidP="005240F2">
      <w:pPr>
        <w:ind w:left="426"/>
        <w:jc w:val="left"/>
        <w:rPr>
          <w:rFonts w:cs="Arial"/>
          <w:sz w:val="18"/>
          <w:szCs w:val="18"/>
        </w:rPr>
      </w:pPr>
      <w:hyperlink r:id="rId13" w:history="1">
        <w:r w:rsidRPr="002D21CA">
          <w:rPr>
            <w:rStyle w:val="Hypertextovodkaz"/>
            <w:rFonts w:cs="Arial"/>
            <w:sz w:val="18"/>
            <w:szCs w:val="18"/>
          </w:rPr>
          <w:t>https://ec.europa.eu/eurostat/en/web/products-euro-indicators/w/2-28012026-ap</w:t>
        </w:r>
      </w:hyperlink>
      <w:r>
        <w:rPr>
          <w:rFonts w:cs="Arial"/>
          <w:sz w:val="18"/>
          <w:szCs w:val="18"/>
        </w:rPr>
        <w:t xml:space="preserve"> </w:t>
      </w:r>
      <w:r w:rsidR="002E7D74">
        <w:rPr>
          <w:rFonts w:cs="Arial"/>
          <w:sz w:val="18"/>
          <w:szCs w:val="18"/>
        </w:rPr>
        <w:t>,</w:t>
      </w:r>
    </w:p>
    <w:p w14:paraId="687D07E4" w14:textId="51355B2B" w:rsidR="005240F2" w:rsidRPr="005240F2" w:rsidRDefault="00247BD1" w:rsidP="005240F2">
      <w:pPr>
        <w:ind w:left="426"/>
        <w:jc w:val="left"/>
        <w:rPr>
          <w:rFonts w:cs="Arial"/>
          <w:sz w:val="18"/>
          <w:szCs w:val="18"/>
        </w:rPr>
      </w:pPr>
      <w:hyperlink r:id="rId14" w:history="1">
        <w:r w:rsidRPr="002D21CA">
          <w:rPr>
            <w:rStyle w:val="Hypertextovodkaz"/>
            <w:rFonts w:cs="Arial"/>
            <w:sz w:val="18"/>
            <w:szCs w:val="18"/>
          </w:rPr>
          <w:t>https://ec.europa.eu/eurostat/en/web/products-euro-indicators/w</w:t>
        </w:r>
        <w:r w:rsidRPr="002D21CA">
          <w:rPr>
            <w:rStyle w:val="Hypertextovodkaz"/>
          </w:rPr>
          <w:t>/</w:t>
        </w:r>
        <w:r w:rsidRPr="002D21CA">
          <w:rPr>
            <w:rStyle w:val="Hypertextovodkaz"/>
            <w:rFonts w:cs="Arial"/>
            <w:sz w:val="18"/>
            <w:szCs w:val="18"/>
          </w:rPr>
          <w:t>2-13012025-ap</w:t>
        </w:r>
      </w:hyperlink>
      <w:r w:rsidR="002E7D74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</w:p>
    <w:p w14:paraId="1FA4A121" w14:textId="77777777" w:rsidR="005240F2" w:rsidRPr="005240F2" w:rsidRDefault="005240F2" w:rsidP="005240F2">
      <w:pPr>
        <w:ind w:left="426"/>
        <w:jc w:val="left"/>
        <w:rPr>
          <w:rFonts w:cs="Arial"/>
          <w:sz w:val="18"/>
          <w:szCs w:val="18"/>
        </w:rPr>
      </w:pPr>
    </w:p>
    <w:p w14:paraId="09C626AA" w14:textId="77777777"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Údaje čtvrtletních sektorových účtů jsou publikovány na stránkách ČSÚ v tabulkách Transakce s produkty a rozdělovací transakce podle sektorů:</w:t>
      </w:r>
    </w:p>
    <w:p w14:paraId="11C5F9AA" w14:textId="77777777"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hyperlink r:id="rId15" w:history="1">
        <w:r w:rsidRPr="005240F2">
          <w:rPr>
            <w:rFonts w:cs="Arial"/>
            <w:color w:val="0000FF"/>
            <w:sz w:val="18"/>
            <w:szCs w:val="18"/>
            <w:u w:val="single"/>
          </w:rPr>
          <w:t>http://apl.czso.cz/pll/rocenka/rocenkavyber.kvart_qsa?mylang=CZ</w:t>
        </w:r>
      </w:hyperlink>
      <w:r w:rsidRPr="005240F2">
        <w:rPr>
          <w:rFonts w:cs="Arial"/>
          <w:i/>
          <w:sz w:val="18"/>
          <w:szCs w:val="18"/>
        </w:rPr>
        <w:t xml:space="preserve"> </w:t>
      </w:r>
    </w:p>
    <w:p w14:paraId="7307A12F" w14:textId="77777777"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 xml:space="preserve">a čtvrtletní nefinanční sektorové účty (běžné a kapitálové účty): </w:t>
      </w:r>
      <w:hyperlink r:id="rId16" w:history="1">
        <w:r w:rsidRPr="005240F2">
          <w:rPr>
            <w:rFonts w:cs="Arial"/>
            <w:color w:val="0000FF"/>
            <w:sz w:val="18"/>
            <w:szCs w:val="18"/>
            <w:u w:val="single"/>
          </w:rPr>
          <w:t>http://apl.czso.cz/pll/rocenka/rocenkavyber.kvart_qsa_mat?mylang=CZ</w:t>
        </w:r>
      </w:hyperlink>
      <w:r w:rsidRPr="005240F2">
        <w:rPr>
          <w:rFonts w:cs="Arial"/>
          <w:sz w:val="18"/>
          <w:szCs w:val="18"/>
        </w:rPr>
        <w:t>.</w:t>
      </w:r>
    </w:p>
    <w:p w14:paraId="06BF6B48" w14:textId="77777777" w:rsidR="005240F2" w:rsidRPr="005240F2" w:rsidRDefault="005240F2" w:rsidP="005240F2"/>
    <w:p w14:paraId="78836F83" w14:textId="77777777" w:rsidR="00D209A7" w:rsidRPr="005240F2" w:rsidRDefault="00D209A7" w:rsidP="005240F2"/>
    <w:sectPr w:rsidR="00D209A7" w:rsidRPr="005240F2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140B" w14:textId="77777777" w:rsidR="00CE123E" w:rsidRDefault="00CE123E" w:rsidP="00BA6370">
      <w:r>
        <w:separator/>
      </w:r>
    </w:p>
  </w:endnote>
  <w:endnote w:type="continuationSeparator" w:id="0">
    <w:p w14:paraId="2D09C091" w14:textId="77777777" w:rsidR="00CE123E" w:rsidRDefault="00CE123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0D05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E0A1AE" wp14:editId="41A766F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A9D8A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060AA030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D2CB9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0A1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6CA9D8A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060AA030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D2CB9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E266BB2" wp14:editId="32FE749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699DA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E765" w14:textId="77777777" w:rsidR="00CE123E" w:rsidRDefault="00CE123E" w:rsidP="00BA6370">
      <w:r>
        <w:separator/>
      </w:r>
    </w:p>
  </w:footnote>
  <w:footnote w:type="continuationSeparator" w:id="0">
    <w:p w14:paraId="05662AAB" w14:textId="77777777" w:rsidR="00CE123E" w:rsidRDefault="00CE123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CA36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24BC05" wp14:editId="0C4DDB3E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7206B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AD"/>
    <w:rsid w:val="00006B15"/>
    <w:rsid w:val="00007039"/>
    <w:rsid w:val="000359B8"/>
    <w:rsid w:val="00043BF4"/>
    <w:rsid w:val="00065E1E"/>
    <w:rsid w:val="00071458"/>
    <w:rsid w:val="000843A5"/>
    <w:rsid w:val="000910DA"/>
    <w:rsid w:val="00096D6C"/>
    <w:rsid w:val="000B6F63"/>
    <w:rsid w:val="000C0AAD"/>
    <w:rsid w:val="000D093F"/>
    <w:rsid w:val="000E268C"/>
    <w:rsid w:val="000E43CC"/>
    <w:rsid w:val="000E73C3"/>
    <w:rsid w:val="00122E82"/>
    <w:rsid w:val="00133B24"/>
    <w:rsid w:val="001404AB"/>
    <w:rsid w:val="00146227"/>
    <w:rsid w:val="001511B3"/>
    <w:rsid w:val="0017231D"/>
    <w:rsid w:val="00175FD1"/>
    <w:rsid w:val="00181058"/>
    <w:rsid w:val="001810DC"/>
    <w:rsid w:val="00184DF1"/>
    <w:rsid w:val="001A1BD7"/>
    <w:rsid w:val="001B380F"/>
    <w:rsid w:val="001B607F"/>
    <w:rsid w:val="001C1BF2"/>
    <w:rsid w:val="001D369A"/>
    <w:rsid w:val="001F08B3"/>
    <w:rsid w:val="001F2FE0"/>
    <w:rsid w:val="00200854"/>
    <w:rsid w:val="00200914"/>
    <w:rsid w:val="002070FB"/>
    <w:rsid w:val="00213729"/>
    <w:rsid w:val="002406FA"/>
    <w:rsid w:val="0024764B"/>
    <w:rsid w:val="00247BD1"/>
    <w:rsid w:val="0026107B"/>
    <w:rsid w:val="00275DF8"/>
    <w:rsid w:val="002A3DE9"/>
    <w:rsid w:val="002B2E47"/>
    <w:rsid w:val="002D5706"/>
    <w:rsid w:val="002D7F4F"/>
    <w:rsid w:val="002E6750"/>
    <w:rsid w:val="002E7D74"/>
    <w:rsid w:val="002F330B"/>
    <w:rsid w:val="003016AD"/>
    <w:rsid w:val="003301A3"/>
    <w:rsid w:val="00354ED6"/>
    <w:rsid w:val="0036777B"/>
    <w:rsid w:val="0038282A"/>
    <w:rsid w:val="00391968"/>
    <w:rsid w:val="00397580"/>
    <w:rsid w:val="003A45C8"/>
    <w:rsid w:val="003B0ED7"/>
    <w:rsid w:val="003B712E"/>
    <w:rsid w:val="003C2DCF"/>
    <w:rsid w:val="003C4F7B"/>
    <w:rsid w:val="003C7FE7"/>
    <w:rsid w:val="003D0499"/>
    <w:rsid w:val="003D3576"/>
    <w:rsid w:val="003F526A"/>
    <w:rsid w:val="003F5D64"/>
    <w:rsid w:val="00405244"/>
    <w:rsid w:val="004154C7"/>
    <w:rsid w:val="00425CCC"/>
    <w:rsid w:val="00442C8B"/>
    <w:rsid w:val="004436EE"/>
    <w:rsid w:val="0045547F"/>
    <w:rsid w:val="00471DEF"/>
    <w:rsid w:val="00472310"/>
    <w:rsid w:val="0048488D"/>
    <w:rsid w:val="00486FC1"/>
    <w:rsid w:val="004920AD"/>
    <w:rsid w:val="004973A1"/>
    <w:rsid w:val="004C3AC4"/>
    <w:rsid w:val="004D05B3"/>
    <w:rsid w:val="004E479E"/>
    <w:rsid w:val="004F686C"/>
    <w:rsid w:val="004F78E6"/>
    <w:rsid w:val="0050420E"/>
    <w:rsid w:val="00512D99"/>
    <w:rsid w:val="005240F2"/>
    <w:rsid w:val="00531DBB"/>
    <w:rsid w:val="00532E00"/>
    <w:rsid w:val="005338B4"/>
    <w:rsid w:val="005476CA"/>
    <w:rsid w:val="00573994"/>
    <w:rsid w:val="0059214B"/>
    <w:rsid w:val="005933AE"/>
    <w:rsid w:val="005B7689"/>
    <w:rsid w:val="005C3C11"/>
    <w:rsid w:val="005F79FB"/>
    <w:rsid w:val="00604406"/>
    <w:rsid w:val="00605F4A"/>
    <w:rsid w:val="00607822"/>
    <w:rsid w:val="006103AA"/>
    <w:rsid w:val="00613BBF"/>
    <w:rsid w:val="00622B80"/>
    <w:rsid w:val="006263A9"/>
    <w:rsid w:val="00631B85"/>
    <w:rsid w:val="0064139A"/>
    <w:rsid w:val="00646619"/>
    <w:rsid w:val="006561DE"/>
    <w:rsid w:val="00661D58"/>
    <w:rsid w:val="00686CA8"/>
    <w:rsid w:val="00692211"/>
    <w:rsid w:val="006931CF"/>
    <w:rsid w:val="006A2BB8"/>
    <w:rsid w:val="006B192E"/>
    <w:rsid w:val="006B2B6B"/>
    <w:rsid w:val="006D21EB"/>
    <w:rsid w:val="006E024F"/>
    <w:rsid w:val="006E3A34"/>
    <w:rsid w:val="006E4E81"/>
    <w:rsid w:val="00707F7D"/>
    <w:rsid w:val="007152E9"/>
    <w:rsid w:val="00717EC5"/>
    <w:rsid w:val="00727C3F"/>
    <w:rsid w:val="007437B9"/>
    <w:rsid w:val="007459CC"/>
    <w:rsid w:val="00754C20"/>
    <w:rsid w:val="00785401"/>
    <w:rsid w:val="00785F4E"/>
    <w:rsid w:val="007A2048"/>
    <w:rsid w:val="007A3780"/>
    <w:rsid w:val="007A57F2"/>
    <w:rsid w:val="007A66A3"/>
    <w:rsid w:val="007B1333"/>
    <w:rsid w:val="007B3593"/>
    <w:rsid w:val="007F4AEB"/>
    <w:rsid w:val="007F75B2"/>
    <w:rsid w:val="00803993"/>
    <w:rsid w:val="008043C4"/>
    <w:rsid w:val="0081363F"/>
    <w:rsid w:val="00831B1B"/>
    <w:rsid w:val="00855FB3"/>
    <w:rsid w:val="00861D0E"/>
    <w:rsid w:val="008662BB"/>
    <w:rsid w:val="00867569"/>
    <w:rsid w:val="008A5943"/>
    <w:rsid w:val="008A604D"/>
    <w:rsid w:val="008A750A"/>
    <w:rsid w:val="008B3970"/>
    <w:rsid w:val="008C384C"/>
    <w:rsid w:val="008D0F11"/>
    <w:rsid w:val="008D5924"/>
    <w:rsid w:val="008F0CF3"/>
    <w:rsid w:val="008F4FC0"/>
    <w:rsid w:val="008F73B4"/>
    <w:rsid w:val="00986DD7"/>
    <w:rsid w:val="009A536E"/>
    <w:rsid w:val="009B55B1"/>
    <w:rsid w:val="009B62A7"/>
    <w:rsid w:val="009C0489"/>
    <w:rsid w:val="009D2CB9"/>
    <w:rsid w:val="009E7C23"/>
    <w:rsid w:val="00A0659A"/>
    <w:rsid w:val="00A06EAD"/>
    <w:rsid w:val="00A0762A"/>
    <w:rsid w:val="00A1095E"/>
    <w:rsid w:val="00A4343D"/>
    <w:rsid w:val="00A502F1"/>
    <w:rsid w:val="00A70A83"/>
    <w:rsid w:val="00A75B3C"/>
    <w:rsid w:val="00A81403"/>
    <w:rsid w:val="00A81EB3"/>
    <w:rsid w:val="00A900E9"/>
    <w:rsid w:val="00A955BC"/>
    <w:rsid w:val="00AA7034"/>
    <w:rsid w:val="00AB17DC"/>
    <w:rsid w:val="00AB3410"/>
    <w:rsid w:val="00AC397C"/>
    <w:rsid w:val="00B00C1D"/>
    <w:rsid w:val="00B465DF"/>
    <w:rsid w:val="00B55375"/>
    <w:rsid w:val="00B632CC"/>
    <w:rsid w:val="00B938DF"/>
    <w:rsid w:val="00BA12F1"/>
    <w:rsid w:val="00BA439F"/>
    <w:rsid w:val="00BA4943"/>
    <w:rsid w:val="00BA6370"/>
    <w:rsid w:val="00BC6766"/>
    <w:rsid w:val="00BC77AF"/>
    <w:rsid w:val="00BF3E3C"/>
    <w:rsid w:val="00C05FA3"/>
    <w:rsid w:val="00C25AB6"/>
    <w:rsid w:val="00C269D4"/>
    <w:rsid w:val="00C35900"/>
    <w:rsid w:val="00C37ADB"/>
    <w:rsid w:val="00C4160D"/>
    <w:rsid w:val="00C43F03"/>
    <w:rsid w:val="00C8406E"/>
    <w:rsid w:val="00CB2709"/>
    <w:rsid w:val="00CB6F89"/>
    <w:rsid w:val="00CB7AFE"/>
    <w:rsid w:val="00CC0AE9"/>
    <w:rsid w:val="00CD618A"/>
    <w:rsid w:val="00CE123E"/>
    <w:rsid w:val="00CE13A2"/>
    <w:rsid w:val="00CE228C"/>
    <w:rsid w:val="00CE71D9"/>
    <w:rsid w:val="00CF545B"/>
    <w:rsid w:val="00D209A7"/>
    <w:rsid w:val="00D26669"/>
    <w:rsid w:val="00D27D69"/>
    <w:rsid w:val="00D3282D"/>
    <w:rsid w:val="00D33658"/>
    <w:rsid w:val="00D3597A"/>
    <w:rsid w:val="00D448C2"/>
    <w:rsid w:val="00D53931"/>
    <w:rsid w:val="00D56A5F"/>
    <w:rsid w:val="00D666C3"/>
    <w:rsid w:val="00D67AAE"/>
    <w:rsid w:val="00D9189F"/>
    <w:rsid w:val="00DA264F"/>
    <w:rsid w:val="00DF47FE"/>
    <w:rsid w:val="00E0156A"/>
    <w:rsid w:val="00E06A83"/>
    <w:rsid w:val="00E110AD"/>
    <w:rsid w:val="00E13912"/>
    <w:rsid w:val="00E26704"/>
    <w:rsid w:val="00E31980"/>
    <w:rsid w:val="00E52A1F"/>
    <w:rsid w:val="00E55EFD"/>
    <w:rsid w:val="00E6423C"/>
    <w:rsid w:val="00E71435"/>
    <w:rsid w:val="00E90C67"/>
    <w:rsid w:val="00E92A53"/>
    <w:rsid w:val="00E93830"/>
    <w:rsid w:val="00E93967"/>
    <w:rsid w:val="00E93E0E"/>
    <w:rsid w:val="00EB1ED3"/>
    <w:rsid w:val="00EE2295"/>
    <w:rsid w:val="00F0269A"/>
    <w:rsid w:val="00F21594"/>
    <w:rsid w:val="00F33C65"/>
    <w:rsid w:val="00F70E13"/>
    <w:rsid w:val="00F7109E"/>
    <w:rsid w:val="00F73789"/>
    <w:rsid w:val="00F75F2A"/>
    <w:rsid w:val="00FA066D"/>
    <w:rsid w:val="00FB687C"/>
    <w:rsid w:val="00FC20E4"/>
    <w:rsid w:val="00FC2E8C"/>
    <w:rsid w:val="00FE04E0"/>
    <w:rsid w:val="00FE26A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473A0E5"/>
  <w15:docId w15:val="{CCB1DA00-EC34-42F3-B57B-4B51BE70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24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eurostat/en/web/products-euro-indicators/w/2-28012026-a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hdp-narodni-uct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apl.czso.cz/pll/rocenka/rocenkavyber.kvart_qsa_mat?mylang=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ermiet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://apl.czso.cz/pll/rocenka/rocenkavyber.kvart_qsa?mylang=CZ" TargetMode="External"/><Relationship Id="rId10" Type="http://schemas.openxmlformats.org/officeDocument/2006/relationships/hyperlink" Target="https://csu.gov.cz/produkty/hdp_cr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en/web/products-euro-indicators/w/2-13012025-a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9171E-66C0-48CE-813E-30A1443D3A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A4265-17F7-4145-81AC-58994B4A7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825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5684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Kogan Jurij</cp:lastModifiedBy>
  <cp:revision>19</cp:revision>
  <cp:lastPrinted>2026-03-30T06:49:00Z</cp:lastPrinted>
  <dcterms:created xsi:type="dcterms:W3CDTF">2025-12-22T12:14:00Z</dcterms:created>
  <dcterms:modified xsi:type="dcterms:W3CDTF">2026-03-30T07:41:00Z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GrammarlyDocumentId">
    <vt:lpwstr>16514155b7f2ec134c605a9a03f9792868acb6b7e860cee078614166444ef7d5</vt:lpwstr>
  </property>
</Properties>
</file>