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olors2.xml" ContentType="application/vnd.ms-office.chartcolorstyle+xml"/>
  <Override PartName="/word/charts/style2.xml" ContentType="application/vnd.ms-office.chartstyle+xml"/>
  <Override PartName="/word/theme/theme1.xml" ContentType="application/vnd.openxmlformats-officedocument.them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3A737080" w:rsidR="00867569" w:rsidRDefault="00E7762D" w:rsidP="00270F84">
      <w:pPr>
        <w:pStyle w:val="Datum"/>
      </w:pPr>
      <w:r>
        <w:t>2</w:t>
      </w:r>
      <w:r w:rsidR="00304176">
        <w:t>.</w:t>
      </w:r>
      <w:r w:rsidR="00915A3B">
        <w:t xml:space="preserve"> </w:t>
      </w:r>
      <w:r>
        <w:t>4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 w:rsidR="00907D57">
        <w:t>4</w:t>
      </w:r>
    </w:p>
    <w:p w14:paraId="262E8C2C" w14:textId="4B7D15AD" w:rsidR="002F357E" w:rsidRDefault="008337D4" w:rsidP="00DB7DDE">
      <w:pPr>
        <w:pStyle w:val="Podtitulek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Hospodaření</w:t>
      </w:r>
      <w:r w:rsidR="00DA7EEB">
        <w:rPr>
          <w:color w:val="BD1B21"/>
          <w:sz w:val="32"/>
          <w:szCs w:val="32"/>
        </w:rPr>
        <w:t xml:space="preserve"> vládních institucí v</w:t>
      </w:r>
      <w:r w:rsidR="00986CD1">
        <w:rPr>
          <w:color w:val="BD1B21"/>
          <w:sz w:val="32"/>
          <w:szCs w:val="32"/>
        </w:rPr>
        <w:t>e</w:t>
      </w:r>
      <w:r w:rsidR="00276813">
        <w:rPr>
          <w:color w:val="BD1B21"/>
          <w:sz w:val="32"/>
          <w:szCs w:val="32"/>
        </w:rPr>
        <w:t> </w:t>
      </w:r>
      <w:r w:rsidR="00690894">
        <w:rPr>
          <w:color w:val="BD1B21"/>
          <w:sz w:val="32"/>
          <w:szCs w:val="32"/>
        </w:rPr>
        <w:t>4</w:t>
      </w:r>
      <w:r w:rsidR="00276813">
        <w:rPr>
          <w:color w:val="BD1B21"/>
          <w:sz w:val="32"/>
          <w:szCs w:val="32"/>
        </w:rPr>
        <w:t>. čtvrtletí 202</w:t>
      </w:r>
      <w:r w:rsidR="00DA7EEB">
        <w:rPr>
          <w:color w:val="BD1B21"/>
          <w:sz w:val="32"/>
          <w:szCs w:val="32"/>
        </w:rPr>
        <w:t>3</w:t>
      </w:r>
      <w:r w:rsidR="00276813">
        <w:rPr>
          <w:color w:val="BD1B21"/>
          <w:sz w:val="32"/>
          <w:szCs w:val="32"/>
        </w:rPr>
        <w:t xml:space="preserve"> </w:t>
      </w:r>
      <w:r w:rsidR="009A498A">
        <w:rPr>
          <w:color w:val="BD1B21"/>
          <w:sz w:val="32"/>
          <w:szCs w:val="32"/>
        </w:rPr>
        <w:t>zůst</w:t>
      </w:r>
      <w:r w:rsidR="00E935E1">
        <w:rPr>
          <w:color w:val="BD1B21"/>
          <w:sz w:val="32"/>
          <w:szCs w:val="32"/>
        </w:rPr>
        <w:t>alo</w:t>
      </w:r>
      <w:r>
        <w:rPr>
          <w:color w:val="BD1B21"/>
          <w:sz w:val="32"/>
          <w:szCs w:val="32"/>
        </w:rPr>
        <w:t xml:space="preserve"> v </w:t>
      </w:r>
      <w:r w:rsidR="00986CD1">
        <w:rPr>
          <w:color w:val="BD1B21"/>
          <w:sz w:val="32"/>
          <w:szCs w:val="32"/>
        </w:rPr>
        <w:t>deficitu</w:t>
      </w:r>
    </w:p>
    <w:p w14:paraId="698A55A3" w14:textId="2A038293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690894">
        <w:t>4</w:t>
      </w:r>
      <w:r w:rsidR="00407901">
        <w:t>. čtvrtletí 202</w:t>
      </w:r>
      <w:r w:rsidR="00B301BF">
        <w:t>3</w:t>
      </w:r>
    </w:p>
    <w:p w14:paraId="7B043CCE" w14:textId="6497E8C2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 xml:space="preserve">ru vládních institucí </w:t>
      </w:r>
      <w:r w:rsidR="00760124">
        <w:rPr>
          <w:b/>
        </w:rPr>
        <w:t>skončilo</w:t>
      </w:r>
      <w:r w:rsidR="00474243">
        <w:rPr>
          <w:b/>
        </w:rPr>
        <w:t xml:space="preserve"> v</w:t>
      </w:r>
      <w:r w:rsidR="000227D2">
        <w:rPr>
          <w:b/>
        </w:rPr>
        <w:t>e </w:t>
      </w:r>
      <w:r w:rsidR="002E6DD2">
        <w:rPr>
          <w:b/>
        </w:rPr>
        <w:t>čtvrtém</w:t>
      </w:r>
      <w:r w:rsidR="00CD4356">
        <w:rPr>
          <w:b/>
        </w:rPr>
        <w:t xml:space="preserve"> čtvrtletí </w:t>
      </w:r>
      <w:r w:rsidR="000D4AC4">
        <w:rPr>
          <w:b/>
        </w:rPr>
        <w:t xml:space="preserve">roku </w:t>
      </w:r>
      <w:r w:rsidR="00CD4356">
        <w:rPr>
          <w:b/>
        </w:rPr>
        <w:t>202</w:t>
      </w:r>
      <w:r w:rsidR="00DA7EEB">
        <w:rPr>
          <w:b/>
        </w:rPr>
        <w:t>3</w:t>
      </w:r>
      <w:r w:rsidRPr="002A63D2">
        <w:rPr>
          <w:b/>
        </w:rPr>
        <w:t xml:space="preserve"> </w:t>
      </w:r>
      <w:r w:rsidR="00397357">
        <w:rPr>
          <w:b/>
        </w:rPr>
        <w:t>v</w:t>
      </w:r>
      <w:r w:rsidR="00054A5F">
        <w:rPr>
          <w:b/>
        </w:rPr>
        <w:t> </w:t>
      </w:r>
      <w:r w:rsidR="00986CD1">
        <w:rPr>
          <w:b/>
        </w:rPr>
        <w:t>deficitu</w:t>
      </w:r>
      <w:r w:rsidR="00760124">
        <w:rPr>
          <w:b/>
        </w:rPr>
        <w:t xml:space="preserve"> </w:t>
      </w:r>
      <w:r w:rsidR="00AC2E71">
        <w:rPr>
          <w:b/>
        </w:rPr>
        <w:t>odpovídající</w:t>
      </w:r>
      <w:r w:rsidR="00397357">
        <w:rPr>
          <w:b/>
        </w:rPr>
        <w:t>mu</w:t>
      </w:r>
      <w:r w:rsidR="00AC2E71">
        <w:rPr>
          <w:b/>
        </w:rPr>
        <w:t xml:space="preserve"> úrovni</w:t>
      </w:r>
      <w:r w:rsidR="00760124">
        <w:rPr>
          <w:b/>
        </w:rPr>
        <w:t xml:space="preserve"> </w:t>
      </w:r>
      <w:r w:rsidR="000A5700">
        <w:rPr>
          <w:b/>
        </w:rPr>
        <w:t>5</w:t>
      </w:r>
      <w:r w:rsidR="00AC6377">
        <w:rPr>
          <w:b/>
        </w:rPr>
        <w:t>,</w:t>
      </w:r>
      <w:r w:rsidR="000A5700">
        <w:rPr>
          <w:b/>
        </w:rPr>
        <w:t>6</w:t>
      </w:r>
      <w:r w:rsidR="00760124">
        <w:rPr>
          <w:b/>
        </w:rPr>
        <w:t xml:space="preserve"> % HDP</w:t>
      </w:r>
      <w:r w:rsidR="007A2F1F">
        <w:rPr>
          <w:b/>
        </w:rPr>
        <w:t xml:space="preserve">. </w:t>
      </w:r>
      <w:r w:rsidRPr="00811BF3">
        <w:rPr>
          <w:b/>
        </w:rPr>
        <w:t xml:space="preserve">Míra zadlužení sektoru vládních institucí </w:t>
      </w:r>
      <w:r w:rsidRPr="00F520C7">
        <w:rPr>
          <w:b/>
        </w:rPr>
        <w:t xml:space="preserve">meziročně </w:t>
      </w:r>
      <w:r w:rsidR="0090694C">
        <w:rPr>
          <w:b/>
        </w:rPr>
        <w:t xml:space="preserve">poklesla </w:t>
      </w:r>
      <w:r w:rsidRPr="002A3E92">
        <w:rPr>
          <w:b/>
        </w:rPr>
        <w:t xml:space="preserve">o </w:t>
      </w:r>
      <w:r w:rsidR="00C477F8" w:rsidRPr="007F4CBE">
        <w:rPr>
          <w:b/>
        </w:rPr>
        <w:t>0,</w:t>
      </w:r>
      <w:r w:rsidR="007F4CBE" w:rsidRPr="007F4CBE">
        <w:rPr>
          <w:b/>
        </w:rPr>
        <w:t>2</w:t>
      </w:r>
      <w:r w:rsidR="00DC1C8F" w:rsidRPr="007F4CBE">
        <w:rPr>
          <w:b/>
        </w:rPr>
        <w:t xml:space="preserve"> </w:t>
      </w:r>
      <w:r w:rsidRPr="007F4CBE">
        <w:rPr>
          <w:b/>
        </w:rPr>
        <w:t xml:space="preserve">p. b. </w:t>
      </w:r>
      <w:proofErr w:type="gramStart"/>
      <w:r w:rsidRPr="007F4CBE">
        <w:rPr>
          <w:b/>
        </w:rPr>
        <w:t>na</w:t>
      </w:r>
      <w:proofErr w:type="gramEnd"/>
      <w:r w:rsidRPr="007F4CBE">
        <w:rPr>
          <w:b/>
        </w:rPr>
        <w:t xml:space="preserve"> </w:t>
      </w:r>
      <w:r w:rsidR="00A23729" w:rsidRPr="007F4CBE">
        <w:rPr>
          <w:b/>
        </w:rPr>
        <w:t>4</w:t>
      </w:r>
      <w:r w:rsidR="004756CA" w:rsidRPr="007F4CBE">
        <w:rPr>
          <w:b/>
        </w:rPr>
        <w:t>4,</w:t>
      </w:r>
      <w:r w:rsidR="007F4CBE" w:rsidRPr="007F4CBE">
        <w:rPr>
          <w:b/>
        </w:rPr>
        <w:t>0</w:t>
      </w:r>
      <w:r w:rsidR="00C477F8" w:rsidRPr="007F4CBE">
        <w:rPr>
          <w:b/>
        </w:rPr>
        <w:t xml:space="preserve"> </w:t>
      </w:r>
      <w:r w:rsidRPr="007F4CBE">
        <w:rPr>
          <w:b/>
        </w:rPr>
        <w:t>% HDP</w:t>
      </w:r>
      <w:r w:rsidRPr="00F100EB">
        <w:rPr>
          <w:b/>
        </w:rPr>
        <w:t>.</w:t>
      </w:r>
    </w:p>
    <w:p w14:paraId="6C9DAEEF" w14:textId="77777777" w:rsidR="00A94B28" w:rsidRDefault="00A94B28" w:rsidP="00043BF4"/>
    <w:p w14:paraId="6449515F" w14:textId="31E570D7" w:rsidR="00BF6C41" w:rsidRDefault="008252B9" w:rsidP="00053474">
      <w:r>
        <w:t>Schodek</w:t>
      </w:r>
      <w:r w:rsidR="00B237A0">
        <w:t xml:space="preserve"> hospodaření vládních institucí v</w:t>
      </w:r>
      <w:r>
        <w:t>e</w:t>
      </w:r>
      <w:r w:rsidR="0000660A">
        <w:t xml:space="preserve"> </w:t>
      </w:r>
      <w:r w:rsidR="000A5700">
        <w:t>4</w:t>
      </w:r>
      <w:r w:rsidR="00B237A0">
        <w:t>.</w:t>
      </w:r>
      <w:r w:rsidR="00551E5D">
        <w:t xml:space="preserve"> </w:t>
      </w:r>
      <w:r w:rsidR="003C7864">
        <w:t>čtvrtletí</w:t>
      </w:r>
      <w:r w:rsidR="007E04BF">
        <w:t xml:space="preserve"> </w:t>
      </w:r>
      <w:r w:rsidR="000D4AC4">
        <w:t xml:space="preserve">roku </w:t>
      </w:r>
      <w:r w:rsidR="007E04BF">
        <w:t>20</w:t>
      </w:r>
      <w:r w:rsidR="000D4AC4">
        <w:t>2</w:t>
      </w:r>
      <w:r w:rsidR="0029563F">
        <w:t>3</w:t>
      </w:r>
      <w:r w:rsidR="003C7864">
        <w:t xml:space="preserve"> </w:t>
      </w:r>
      <w:r w:rsidR="00B237A0">
        <w:t xml:space="preserve">dosáhl </w:t>
      </w:r>
      <w:r w:rsidR="000A5700">
        <w:t>107,4</w:t>
      </w:r>
      <w:r w:rsidR="00B237A0">
        <w:t xml:space="preserve"> mld. Kč, </w:t>
      </w:r>
      <w:r w:rsidR="00390F50">
        <w:t xml:space="preserve">což </w:t>
      </w:r>
      <w:r w:rsidR="00166228">
        <w:t xml:space="preserve">v meziročním srovnání znamená </w:t>
      </w:r>
      <w:r w:rsidR="000A5700">
        <w:t>zhoršení</w:t>
      </w:r>
      <w:r w:rsidR="00166228">
        <w:t xml:space="preserve"> o </w:t>
      </w:r>
      <w:r w:rsidR="000A5700">
        <w:t>8,6</w:t>
      </w:r>
      <w:r w:rsidR="00166228">
        <w:t xml:space="preserve"> mld. Kč</w:t>
      </w:r>
      <w:r w:rsidR="00390F50">
        <w:t>.</w:t>
      </w:r>
      <w:r w:rsidR="00F221D2">
        <w:t xml:space="preserve"> </w:t>
      </w:r>
      <w:r w:rsidR="000A5700">
        <w:t>Ústřední vládní instituce hospodařily se s</w:t>
      </w:r>
      <w:r w:rsidR="007F4CBE">
        <w:t>c</w:t>
      </w:r>
      <w:r w:rsidR="000A5700">
        <w:t>hodkem</w:t>
      </w:r>
      <w:r w:rsidR="000E3842">
        <w:t xml:space="preserve"> </w:t>
      </w:r>
      <w:r w:rsidR="000A5700">
        <w:t>79,3</w:t>
      </w:r>
      <w:r w:rsidR="000E3842">
        <w:t xml:space="preserve"> mld. Kč</w:t>
      </w:r>
      <w:r w:rsidR="0027052F">
        <w:t xml:space="preserve">, </w:t>
      </w:r>
      <w:r w:rsidR="004756CA">
        <w:t>kter</w:t>
      </w:r>
      <w:r w:rsidR="00C572F8">
        <w:t>ý</w:t>
      </w:r>
      <w:r w:rsidR="004756CA">
        <w:t xml:space="preserve"> se</w:t>
      </w:r>
      <w:r w:rsidR="00C572F8">
        <w:t xml:space="preserve"> meziročně </w:t>
      </w:r>
      <w:r w:rsidR="007F4CBE">
        <w:t>zvýšil</w:t>
      </w:r>
      <w:r w:rsidR="00D21EE4">
        <w:t xml:space="preserve"> </w:t>
      </w:r>
      <w:r w:rsidR="004756CA">
        <w:t>o</w:t>
      </w:r>
      <w:r w:rsidR="009215CA">
        <w:t> </w:t>
      </w:r>
      <w:r>
        <w:t>1</w:t>
      </w:r>
      <w:r w:rsidR="000A5700">
        <w:t>2</w:t>
      </w:r>
      <w:r>
        <w:t>,</w:t>
      </w:r>
      <w:r w:rsidR="000A5700">
        <w:t>3</w:t>
      </w:r>
      <w:r w:rsidR="009215CA">
        <w:t> </w:t>
      </w:r>
      <w:r w:rsidR="00F100EB">
        <w:t>mld.</w:t>
      </w:r>
      <w:r w:rsidR="009215CA">
        <w:t> </w:t>
      </w:r>
      <w:r w:rsidR="00F100EB">
        <w:t>Kč</w:t>
      </w:r>
      <w:r w:rsidR="00060E33">
        <w:t xml:space="preserve">. </w:t>
      </w:r>
      <w:r w:rsidR="000A5700">
        <w:t>V deficitu skončilo též hospodaření m</w:t>
      </w:r>
      <w:r w:rsidR="003C7864">
        <w:t>ístní</w:t>
      </w:r>
      <w:r w:rsidR="000A5700">
        <w:t>ch</w:t>
      </w:r>
      <w:r w:rsidR="003C7864">
        <w:t xml:space="preserve"> vládní</w:t>
      </w:r>
      <w:r w:rsidR="000A5700">
        <w:t>ch</w:t>
      </w:r>
      <w:r w:rsidR="00EB6243">
        <w:t xml:space="preserve"> instituc</w:t>
      </w:r>
      <w:r w:rsidR="000A5700">
        <w:t>í, dosáhl výše</w:t>
      </w:r>
      <w:r w:rsidR="00EB6243">
        <w:t xml:space="preserve"> </w:t>
      </w:r>
      <w:r w:rsidR="000A5700">
        <w:t>17,7</w:t>
      </w:r>
      <w:r w:rsidR="0036612E">
        <w:t xml:space="preserve"> m</w:t>
      </w:r>
      <w:r w:rsidR="00F221D2">
        <w:t>ld. Kč</w:t>
      </w:r>
      <w:r w:rsidR="000A5700">
        <w:t xml:space="preserve"> a v meziročním srovnání se příliš nezměnil</w:t>
      </w:r>
      <w:r w:rsidR="00C572F8">
        <w:t>.</w:t>
      </w:r>
      <w:r w:rsidR="000D558D">
        <w:t xml:space="preserve"> </w:t>
      </w:r>
      <w:r w:rsidR="00C572F8">
        <w:t>H</w:t>
      </w:r>
      <w:r w:rsidR="00660D90">
        <w:t>ospodaření fondů sociálního</w:t>
      </w:r>
      <w:r w:rsidR="00FE5C90">
        <w:t xml:space="preserve"> zabezpečení</w:t>
      </w:r>
      <w:r w:rsidR="00AA3AE0">
        <w:t xml:space="preserve"> (zdravotních pojišťoven)</w:t>
      </w:r>
      <w:r w:rsidR="00660D90">
        <w:t xml:space="preserve"> </w:t>
      </w:r>
      <w:r w:rsidR="00F221D2">
        <w:t xml:space="preserve">skončilo </w:t>
      </w:r>
      <w:r w:rsidR="000A5700">
        <w:t xml:space="preserve">též </w:t>
      </w:r>
      <w:r w:rsidR="000D558D">
        <w:t>v</w:t>
      </w:r>
      <w:r w:rsidR="000A5700">
        <w:t> deficitu 10,4</w:t>
      </w:r>
      <w:r w:rsidR="00F221D2">
        <w:t xml:space="preserve"> mld. Kč.</w:t>
      </w:r>
      <w:r w:rsidR="00BF6C41">
        <w:t xml:space="preserve"> </w:t>
      </w:r>
    </w:p>
    <w:p w14:paraId="6213615B" w14:textId="77777777" w:rsidR="007029F8" w:rsidRDefault="007029F8" w:rsidP="00053474"/>
    <w:p w14:paraId="6A517D79" w14:textId="18977FF0" w:rsidR="007029F8" w:rsidRDefault="007029F8" w:rsidP="007029F8">
      <w:r w:rsidRPr="00E42E85">
        <w:rPr>
          <w:i/>
        </w:rPr>
        <w:t>„</w:t>
      </w:r>
      <w:r w:rsidR="00D513B7" w:rsidRPr="00E42E85">
        <w:rPr>
          <w:i/>
        </w:rPr>
        <w:t>Hospodaření v</w:t>
      </w:r>
      <w:r w:rsidR="0092618C" w:rsidRPr="00E42E85">
        <w:rPr>
          <w:i/>
        </w:rPr>
        <w:t>ládních instituc</w:t>
      </w:r>
      <w:r w:rsidR="00D513B7" w:rsidRPr="00E42E85">
        <w:rPr>
          <w:i/>
        </w:rPr>
        <w:t>í</w:t>
      </w:r>
      <w:r w:rsidR="0092618C" w:rsidRPr="00E42E85">
        <w:rPr>
          <w:i/>
        </w:rPr>
        <w:t xml:space="preserve"> v</w:t>
      </w:r>
      <w:r w:rsidR="008E2407" w:rsidRPr="00E42E85">
        <w:rPr>
          <w:i/>
        </w:rPr>
        <w:t>e </w:t>
      </w:r>
      <w:r w:rsidR="00700A92" w:rsidRPr="00E42E85">
        <w:rPr>
          <w:i/>
        </w:rPr>
        <w:t>čtvrtém</w:t>
      </w:r>
      <w:r w:rsidR="0092618C" w:rsidRPr="00E42E85">
        <w:rPr>
          <w:i/>
        </w:rPr>
        <w:t xml:space="preserve"> čtvrtletí roku 2023 </w:t>
      </w:r>
      <w:r w:rsidR="00D513B7" w:rsidRPr="00E42E85">
        <w:rPr>
          <w:i/>
        </w:rPr>
        <w:t>skončilo schodkem</w:t>
      </w:r>
      <w:r w:rsidR="0092618C" w:rsidRPr="00E42E85">
        <w:rPr>
          <w:i/>
        </w:rPr>
        <w:t xml:space="preserve"> </w:t>
      </w:r>
      <w:r w:rsidR="00700A92" w:rsidRPr="00E42E85">
        <w:rPr>
          <w:i/>
        </w:rPr>
        <w:t>107,4</w:t>
      </w:r>
      <w:r w:rsidR="0092618C" w:rsidRPr="00E42E85">
        <w:rPr>
          <w:i/>
        </w:rPr>
        <w:t xml:space="preserve"> mld. Kč. </w:t>
      </w:r>
      <w:r w:rsidR="00700A92" w:rsidRPr="00E42E85">
        <w:rPr>
          <w:i/>
        </w:rPr>
        <w:t>Na tomto výsledku se nejvíce podepsaly rostoucí v</w:t>
      </w:r>
      <w:r w:rsidR="00166225">
        <w:rPr>
          <w:i/>
        </w:rPr>
        <w:t>ýdaje na sociální dávky</w:t>
      </w:r>
      <w:r w:rsidR="00791EB5" w:rsidRPr="00E42E85">
        <w:rPr>
          <w:i/>
        </w:rPr>
        <w:t>. Míra</w:t>
      </w:r>
      <w:r w:rsidRPr="00E42E85">
        <w:rPr>
          <w:i/>
        </w:rPr>
        <w:t xml:space="preserve"> zadlužení sektoru vládních</w:t>
      </w:r>
      <w:r w:rsidR="00F100EB" w:rsidRPr="00E42E85">
        <w:rPr>
          <w:i/>
        </w:rPr>
        <w:t xml:space="preserve"> institucí </w:t>
      </w:r>
      <w:r w:rsidR="007D0A7E" w:rsidRPr="00E42E85">
        <w:rPr>
          <w:i/>
        </w:rPr>
        <w:t>dosáhla výše 44,</w:t>
      </w:r>
      <w:r w:rsidR="00700A92" w:rsidRPr="00E42E85">
        <w:rPr>
          <w:i/>
        </w:rPr>
        <w:t>0</w:t>
      </w:r>
      <w:r w:rsidR="007D0A7E" w:rsidRPr="00E42E85">
        <w:rPr>
          <w:i/>
        </w:rPr>
        <w:t xml:space="preserve"> % </w:t>
      </w:r>
      <w:r w:rsidR="0006520F" w:rsidRPr="00E42E85">
        <w:rPr>
          <w:i/>
        </w:rPr>
        <w:t>HDP a meziročně</w:t>
      </w:r>
      <w:r w:rsidR="00A537A1" w:rsidRPr="00E42E85">
        <w:rPr>
          <w:i/>
        </w:rPr>
        <w:t xml:space="preserve"> </w:t>
      </w:r>
      <w:r w:rsidR="00E37097" w:rsidRPr="00E42E85">
        <w:rPr>
          <w:i/>
        </w:rPr>
        <w:t>poklesla</w:t>
      </w:r>
      <w:r w:rsidRPr="00E42E85">
        <w:rPr>
          <w:i/>
        </w:rPr>
        <w:t xml:space="preserve"> </w:t>
      </w:r>
      <w:r w:rsidR="00706B76" w:rsidRPr="00E42E85">
        <w:rPr>
          <w:i/>
        </w:rPr>
        <w:t xml:space="preserve">o </w:t>
      </w:r>
      <w:r w:rsidR="0092618C" w:rsidRPr="00E42E85">
        <w:rPr>
          <w:i/>
        </w:rPr>
        <w:t>0,</w:t>
      </w:r>
      <w:r w:rsidR="00700A92" w:rsidRPr="00E42E85">
        <w:rPr>
          <w:i/>
        </w:rPr>
        <w:t>2</w:t>
      </w:r>
      <w:r w:rsidR="008000D3">
        <w:rPr>
          <w:i/>
        </w:rPr>
        <w:t> </w:t>
      </w:r>
      <w:r w:rsidR="00706B76" w:rsidRPr="00E42E85">
        <w:rPr>
          <w:i/>
        </w:rPr>
        <w:t>procent</w:t>
      </w:r>
      <w:r w:rsidR="007D0A7E" w:rsidRPr="00E42E85">
        <w:rPr>
          <w:i/>
        </w:rPr>
        <w:t>ního bodu</w:t>
      </w:r>
      <w:r w:rsidR="00A10D2A" w:rsidRPr="0092618C">
        <w:rPr>
          <w:i/>
        </w:rPr>
        <w:t>,</w:t>
      </w:r>
      <w:r w:rsidRPr="006A7583">
        <w:rPr>
          <w:i/>
        </w:rPr>
        <w:t>“</w:t>
      </w:r>
      <w:r>
        <w:t xml:space="preserve"> uvedla </w:t>
      </w:r>
      <w:r w:rsidRPr="00AC528C">
        <w:t>Helen</w:t>
      </w:r>
      <w:r>
        <w:t>a</w:t>
      </w:r>
      <w:r w:rsidRPr="00AC528C">
        <w:t xml:space="preserve"> Houžvičkov</w:t>
      </w:r>
      <w:r>
        <w:t>á</w:t>
      </w:r>
      <w:r w:rsidRPr="00AC528C">
        <w:t>, ředitelk</w:t>
      </w:r>
      <w:r>
        <w:t>a</w:t>
      </w:r>
      <w:r w:rsidRPr="00AC528C">
        <w:t xml:space="preserve"> odboru vládních</w:t>
      </w:r>
      <w:r w:rsidR="00054A5F">
        <w:t xml:space="preserve"> </w:t>
      </w:r>
      <w:r w:rsidRPr="00AC528C">
        <w:t>a</w:t>
      </w:r>
      <w:r w:rsidR="00054A5F">
        <w:t> </w:t>
      </w:r>
      <w:r w:rsidRPr="00AC528C">
        <w:t>finančních účtů ČSÚ</w:t>
      </w:r>
      <w:r>
        <w:t>.</w:t>
      </w:r>
    </w:p>
    <w:p w14:paraId="7DB73843" w14:textId="503D1767" w:rsidR="00BF6C41" w:rsidRDefault="00BF6C41" w:rsidP="00053474"/>
    <w:p w14:paraId="7B668639" w14:textId="5426AEF2" w:rsidR="00DE5999" w:rsidRPr="0037782A" w:rsidRDefault="00DE5999" w:rsidP="00DE5999">
      <w:pPr>
        <w:pStyle w:val="TabulkaGraf"/>
      </w:pPr>
      <w:r w:rsidRPr="0037782A">
        <w:t xml:space="preserve">Saldo hospodaření sektoru vládních institucí, </w:t>
      </w:r>
      <w:r w:rsidR="00D93AC9">
        <w:t>4</w:t>
      </w:r>
      <w:r w:rsidRPr="0037782A">
        <w:t>. čtvrtletí 20</w:t>
      </w:r>
      <w:r w:rsidR="008B4DC3">
        <w:t>2</w:t>
      </w:r>
      <w:r w:rsidR="00DA7EEB">
        <w:t>1</w:t>
      </w:r>
      <w:r w:rsidRPr="0037782A">
        <w:t xml:space="preserve"> – </w:t>
      </w:r>
      <w:r w:rsidR="00D93AC9">
        <w:t>4</w:t>
      </w:r>
      <w:r w:rsidRPr="0037782A">
        <w:t>. čtvrtletí 20</w:t>
      </w:r>
      <w:r w:rsidR="008B4DC3">
        <w:t>2</w:t>
      </w:r>
      <w:r w:rsidR="00DA7EEB">
        <w:t>3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F4CBE" w:rsidRPr="0037782A" w14:paraId="00DB6E80" w14:textId="77777777" w:rsidTr="001439E7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262E" w14:textId="77777777" w:rsidR="007F4CBE" w:rsidRPr="0037782A" w:rsidRDefault="007F4CBE" w:rsidP="007F4CB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74B9" w14:textId="6BB90017" w:rsidR="007F4CBE" w:rsidRPr="0037782A" w:rsidRDefault="007F4CBE" w:rsidP="007F4CB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B804" w14:textId="095FD440" w:rsidR="007F4CBE" w:rsidRPr="0037782A" w:rsidRDefault="007F4CBE" w:rsidP="007F4C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775A" w14:textId="094CA3C1" w:rsidR="007F4CBE" w:rsidRPr="0037782A" w:rsidRDefault="007F4CBE" w:rsidP="007F4C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81F3" w14:textId="25E08AB6" w:rsidR="007F4CBE" w:rsidRPr="0037782A" w:rsidRDefault="007F4CBE" w:rsidP="007F4C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2158" w14:textId="61B07DAC" w:rsidR="007F4CBE" w:rsidRPr="0037782A" w:rsidRDefault="007F4CBE" w:rsidP="007F4C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ED2E" w14:textId="799F4596" w:rsidR="007F4CBE" w:rsidRPr="0037782A" w:rsidRDefault="007F4CBE" w:rsidP="007F4C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F119" w14:textId="4695C67B" w:rsidR="007F4CBE" w:rsidRPr="0037782A" w:rsidRDefault="007F4CBE" w:rsidP="007F4C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41CC" w14:textId="554A6973" w:rsidR="007F4CBE" w:rsidRPr="0037782A" w:rsidRDefault="007F4CBE" w:rsidP="007F4CB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F04D" w14:textId="2DDBE623" w:rsidR="007F4CBE" w:rsidRPr="0037782A" w:rsidRDefault="007F4CBE" w:rsidP="007F4CBE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2023</w:t>
            </w:r>
            <w:proofErr w:type="gramEnd"/>
          </w:p>
        </w:tc>
      </w:tr>
      <w:tr w:rsidR="007F4CBE" w:rsidRPr="0037782A" w14:paraId="3CDCC000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E4A3" w14:textId="77777777" w:rsidR="007F4CBE" w:rsidRPr="0037782A" w:rsidRDefault="007F4CBE" w:rsidP="007F4CB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2DA2" w14:textId="10D7D402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A54D" w14:textId="1AAD0638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-63,4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41C8" w14:textId="3ECC00D6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6216" w14:textId="112BF1AA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A3F5" w14:textId="5E939B85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D028" w14:textId="3444281A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8CC9" w14:textId="1C2E7440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D756" w14:textId="3BD30ACB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A953" w14:textId="1F79A1D8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-107,4</w:t>
            </w:r>
          </w:p>
        </w:tc>
      </w:tr>
      <w:tr w:rsidR="007F4CBE" w:rsidRPr="0037782A" w14:paraId="10AA7365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9A96" w14:textId="77777777" w:rsidR="007F4CBE" w:rsidRPr="0037782A" w:rsidRDefault="007F4CBE" w:rsidP="007F4CB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5D7C" w14:textId="4EF68E9E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3496" w14:textId="5B6343BF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56D4" w14:textId="27EA8E17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D210" w14:textId="4A39E408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A1DA" w14:textId="27B6BB55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1392" w14:textId="5AE97965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86AE" w14:textId="238F321D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955C" w14:textId="6B980927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9D3A" w14:textId="2B69A9E2" w:rsidR="007F4CBE" w:rsidRPr="0037782A" w:rsidRDefault="007F4CBE" w:rsidP="007F4CB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-5,6</w:t>
            </w:r>
          </w:p>
        </w:tc>
      </w:tr>
    </w:tbl>
    <w:p w14:paraId="15FE823E" w14:textId="77777777" w:rsidR="005D1FA7" w:rsidRPr="000A18CB" w:rsidRDefault="005D1FA7" w:rsidP="005D1FA7">
      <w:pPr>
        <w:rPr>
          <w:i/>
        </w:rPr>
      </w:pPr>
      <w:r w:rsidRPr="0037782A">
        <w:rPr>
          <w:i/>
        </w:rPr>
        <w:t xml:space="preserve">Poznámka: Údaje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Pr="0037782A">
        <w:rPr>
          <w:i/>
        </w:rPr>
        <w:t>.</w:t>
      </w:r>
    </w:p>
    <w:p w14:paraId="3C697DA6" w14:textId="61C07715" w:rsidR="000A18CB" w:rsidRDefault="000A18CB" w:rsidP="00043BF4"/>
    <w:p w14:paraId="2EA608BE" w14:textId="6FC5CB8E" w:rsidR="00601F81" w:rsidRDefault="00601F81" w:rsidP="00A94B28">
      <w:r w:rsidRPr="00E736BE">
        <w:t xml:space="preserve">Celkové příjmy sektoru vládních institucí </w:t>
      </w:r>
      <w:r w:rsidR="00C33E70">
        <w:t>stoupl</w:t>
      </w:r>
      <w:r w:rsidR="00174C88">
        <w:t>y</w:t>
      </w:r>
      <w:r w:rsidRPr="00174C88">
        <w:t xml:space="preserve"> meziročně o </w:t>
      </w:r>
      <w:r w:rsidR="00AA1517">
        <w:t>9,1</w:t>
      </w:r>
      <w:r w:rsidRPr="00174C88">
        <w:t xml:space="preserve"> %</w:t>
      </w:r>
      <w:r w:rsidR="00A25220">
        <w:t xml:space="preserve"> a dosáhly</w:t>
      </w:r>
      <w:r w:rsidR="00E17D7B">
        <w:t xml:space="preserve"> </w:t>
      </w:r>
      <w:r w:rsidR="00AA1517">
        <w:t>4</w:t>
      </w:r>
      <w:r w:rsidR="00C57D09">
        <w:t>2,2</w:t>
      </w:r>
      <w:r w:rsidR="00A25220">
        <w:t xml:space="preserve"> % HDP.</w:t>
      </w:r>
      <w:r w:rsidRPr="00E736BE">
        <w:t xml:space="preserve"> Na</w:t>
      </w:r>
      <w:r w:rsidR="00054A5F">
        <w:t> </w:t>
      </w:r>
      <w:r w:rsidRPr="00E736BE">
        <w:t xml:space="preserve">meziročním </w:t>
      </w:r>
      <w:r w:rsidR="00174C88">
        <w:t>růstu</w:t>
      </w:r>
      <w:r w:rsidRPr="00E736BE">
        <w:t xml:space="preserve"> příjmů se </w:t>
      </w:r>
      <w:r w:rsidR="009906E9">
        <w:t>podílel</w:t>
      </w:r>
      <w:r w:rsidR="002A3E92">
        <w:t>y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2A3E92">
        <w:t xml:space="preserve">přijaté </w:t>
      </w:r>
      <w:r w:rsidR="001E4B71">
        <w:t>daně z</w:t>
      </w:r>
      <w:r w:rsidR="00AA1517">
        <w:t> důchodů a přijaté sociální příspěvky</w:t>
      </w:r>
      <w:r w:rsidR="007D58AD">
        <w:t>.</w:t>
      </w:r>
      <w:r w:rsidR="00C33E70">
        <w:t xml:space="preserve"> </w:t>
      </w:r>
      <w:r w:rsidR="00E706EA" w:rsidRPr="00E736BE">
        <w:t xml:space="preserve">Celkové výdaje vládních institucí </w:t>
      </w:r>
      <w:r w:rsidR="00E706EA" w:rsidRPr="00183B9F">
        <w:t xml:space="preserve">meziročně </w:t>
      </w:r>
      <w:r w:rsidR="0093024A">
        <w:t xml:space="preserve">vzrostly </w:t>
      </w:r>
      <w:r w:rsidR="00E706EA" w:rsidRPr="00FB249A">
        <w:t xml:space="preserve">o </w:t>
      </w:r>
      <w:r w:rsidR="00C57D09">
        <w:t>9,1</w:t>
      </w:r>
      <w:r w:rsidR="00411E28">
        <w:t> </w:t>
      </w:r>
      <w:r w:rsidR="00E706EA" w:rsidRPr="00FB249A">
        <w:t>%</w:t>
      </w:r>
      <w:r w:rsidR="00A25220">
        <w:t xml:space="preserve"> a dosáhly </w:t>
      </w:r>
      <w:r w:rsidR="001E4B71">
        <w:t>4</w:t>
      </w:r>
      <w:r w:rsidR="00C57D09">
        <w:t>7,8</w:t>
      </w:r>
      <w:r w:rsidR="006471F9">
        <w:t> </w:t>
      </w:r>
      <w:r w:rsidR="00A25220">
        <w:t>% HDP</w:t>
      </w:r>
      <w:r w:rsidR="00E706EA" w:rsidRPr="00FB249A">
        <w:t>.</w:t>
      </w:r>
      <w:r w:rsidR="00E706EA" w:rsidRPr="00E736BE">
        <w:t xml:space="preserve"> </w:t>
      </w:r>
      <w:r w:rsidR="008A0350">
        <w:t xml:space="preserve">Nejvíce </w:t>
      </w:r>
      <w:r w:rsidR="006918F5">
        <w:t>vzrostly</w:t>
      </w:r>
      <w:r w:rsidR="00F54B6E">
        <w:t xml:space="preserve"> </w:t>
      </w:r>
      <w:r w:rsidR="002F10DB">
        <w:t xml:space="preserve">výdaje na </w:t>
      </w:r>
      <w:r w:rsidR="001E4B71">
        <w:t xml:space="preserve">sociální dávky </w:t>
      </w:r>
      <w:r w:rsidR="00FC39BC">
        <w:t xml:space="preserve">a </w:t>
      </w:r>
      <w:r w:rsidR="00C57D09">
        <w:t>dotace</w:t>
      </w:r>
      <w:r w:rsidR="00B87161">
        <w:t xml:space="preserve">. </w:t>
      </w:r>
    </w:p>
    <w:p w14:paraId="4D6C7360" w14:textId="5E0EB366" w:rsidR="00B81175" w:rsidRDefault="00B81175" w:rsidP="00A94B28"/>
    <w:p w14:paraId="4D31A60A" w14:textId="1319B83F" w:rsidR="00AF42B6" w:rsidRDefault="00EA4D69" w:rsidP="00425ADB">
      <w:r w:rsidRPr="004627B6">
        <w:t xml:space="preserve">Nominální dluh vládních institucí meziročně </w:t>
      </w:r>
      <w:r w:rsidR="002C3D52">
        <w:t>stoupl</w:t>
      </w:r>
      <w:r w:rsidRPr="004627B6">
        <w:t xml:space="preserve"> </w:t>
      </w:r>
      <w:r w:rsidRPr="00020BFF">
        <w:t xml:space="preserve">o </w:t>
      </w:r>
      <w:r w:rsidR="00385AAA">
        <w:t>230,8</w:t>
      </w:r>
      <w:r w:rsidRPr="00020BFF">
        <w:t xml:space="preserve"> mld. </w:t>
      </w:r>
      <w:r w:rsidR="007E15BD">
        <w:t xml:space="preserve">Kč </w:t>
      </w:r>
      <w:r w:rsidRPr="00020BFF">
        <w:t xml:space="preserve">na </w:t>
      </w:r>
      <w:r w:rsidR="00385AAA">
        <w:t>3 </w:t>
      </w:r>
      <w:r w:rsidR="00F1097A">
        <w:t>228</w:t>
      </w:r>
      <w:r w:rsidR="00385AAA">
        <w:t>,</w:t>
      </w:r>
      <w:r w:rsidR="00F1097A">
        <w:t>4</w:t>
      </w:r>
      <w:r w:rsidR="002C3D52">
        <w:t xml:space="preserve"> </w:t>
      </w:r>
      <w:r w:rsidRPr="00020BFF">
        <w:t>mld</w:t>
      </w:r>
      <w:r w:rsidRPr="004627B6">
        <w:t>.</w:t>
      </w:r>
      <w:r>
        <w:t xml:space="preserve"> </w:t>
      </w:r>
      <w:r w:rsidR="007E15BD">
        <w:t xml:space="preserve">Kč. </w:t>
      </w:r>
      <w:r w:rsidR="00425ADB" w:rsidRPr="00907835">
        <w:t>Míra zadlužení</w:t>
      </w:r>
      <w:r w:rsidR="00425ADB" w:rsidRPr="00EF5A70">
        <w:t xml:space="preserve"> sektoru vládn</w:t>
      </w:r>
      <w:r w:rsidR="001557F3">
        <w:t xml:space="preserve">ích institucí </w:t>
      </w:r>
      <w:r w:rsidR="001557F3" w:rsidRPr="00020BFF">
        <w:t xml:space="preserve">meziročně </w:t>
      </w:r>
      <w:r w:rsidR="00385AAA">
        <w:t>poklesla</w:t>
      </w:r>
      <w:r w:rsidR="003A26A0" w:rsidRPr="00020BFF">
        <w:t xml:space="preserve"> z</w:t>
      </w:r>
      <w:r w:rsidR="003A26A0">
        <w:t>e </w:t>
      </w:r>
      <w:r w:rsidR="00381BD0">
        <w:t>4</w:t>
      </w:r>
      <w:r w:rsidR="00F1097A">
        <w:t>4</w:t>
      </w:r>
      <w:r w:rsidR="00385AAA">
        <w:t>,2</w:t>
      </w:r>
      <w:r w:rsidR="00425ADB" w:rsidRPr="00020BFF">
        <w:t xml:space="preserve"> </w:t>
      </w:r>
      <w:r w:rsidR="00823594" w:rsidRPr="00020BFF">
        <w:t xml:space="preserve">% </w:t>
      </w:r>
      <w:r w:rsidR="00425ADB" w:rsidRPr="00020BFF">
        <w:t xml:space="preserve">na </w:t>
      </w:r>
      <w:r w:rsidR="008B5BB1" w:rsidRPr="00020BFF">
        <w:t>4</w:t>
      </w:r>
      <w:r w:rsidR="00865E5C">
        <w:t>4,</w:t>
      </w:r>
      <w:r w:rsidR="00F1097A">
        <w:t>0</w:t>
      </w:r>
      <w:r w:rsidR="00696FCF" w:rsidRPr="00020BFF">
        <w:t xml:space="preserve"> % HDP</w:t>
      </w:r>
      <w:r w:rsidR="00CD21CC" w:rsidRPr="00EF5A70">
        <w:t>,</w:t>
      </w:r>
      <w:r w:rsidR="00696FCF" w:rsidRPr="00EF5A70">
        <w:t xml:space="preserve"> </w:t>
      </w:r>
      <w:r w:rsidR="006F0EBA">
        <w:t xml:space="preserve">vliv </w:t>
      </w:r>
      <w:r w:rsidR="00D76AA3">
        <w:t>nominální</w:t>
      </w:r>
      <w:r w:rsidR="00397E7A">
        <w:t xml:space="preserve"> </w:t>
      </w:r>
      <w:r w:rsidR="00CB4EDA">
        <w:t>změn</w:t>
      </w:r>
      <w:r w:rsidR="006F0EBA">
        <w:t>y</w:t>
      </w:r>
      <w:r w:rsidR="00CB4EDA">
        <w:t xml:space="preserve"> dluhu </w:t>
      </w:r>
      <w:r w:rsidR="00CB4EDA" w:rsidRPr="00020BFF">
        <w:t>činil</w:t>
      </w:r>
      <w:r w:rsidR="00CB4EDA">
        <w:t xml:space="preserve"> +</w:t>
      </w:r>
      <w:r w:rsidR="00385AAA">
        <w:t xml:space="preserve"> 3,2</w:t>
      </w:r>
      <w:r w:rsidR="00CB4EDA" w:rsidRPr="00020BFF">
        <w:t xml:space="preserve"> p.</w:t>
      </w:r>
      <w:r w:rsidR="0023731B">
        <w:t xml:space="preserve"> </w:t>
      </w:r>
      <w:r w:rsidR="00CB4EDA" w:rsidRPr="00020BFF">
        <w:t>b</w:t>
      </w:r>
      <w:r w:rsidR="00CB4EDA">
        <w:t>.,</w:t>
      </w:r>
      <w:r w:rsidR="00CB4EDA" w:rsidRPr="00EF5A70">
        <w:t xml:space="preserve"> </w:t>
      </w:r>
      <w:r w:rsidR="00696FCF" w:rsidRPr="00EF5A70">
        <w:t>přičemž</w:t>
      </w:r>
      <w:r w:rsidR="00E00AFE" w:rsidRPr="00EF5A70">
        <w:t xml:space="preserve"> </w:t>
      </w:r>
      <w:r w:rsidR="001E09F0">
        <w:t>rostoucí</w:t>
      </w:r>
      <w:r w:rsidR="00425ADB" w:rsidRPr="004627B6">
        <w:t xml:space="preserve"> </w:t>
      </w:r>
      <w:r w:rsidR="00322825" w:rsidRPr="004627B6">
        <w:t xml:space="preserve">nominální </w:t>
      </w:r>
      <w:r w:rsidR="00425ADB" w:rsidRPr="004627B6">
        <w:t xml:space="preserve">HDP </w:t>
      </w:r>
      <w:r w:rsidR="00CD21CC" w:rsidRPr="004627B6">
        <w:t xml:space="preserve">přispěl k </w:t>
      </w:r>
      <w:r w:rsidR="001E09F0">
        <w:t>poklesu</w:t>
      </w:r>
      <w:r w:rsidR="00425ADB" w:rsidRPr="004627B6">
        <w:t xml:space="preserve"> zadlužení </w:t>
      </w:r>
      <w:r w:rsidR="00425ADB" w:rsidRPr="00020BFF">
        <w:t>o</w:t>
      </w:r>
      <w:r w:rsidR="00431030">
        <w:t> </w:t>
      </w:r>
      <w:r w:rsidR="00BB58B7">
        <w:t>- </w:t>
      </w:r>
      <w:r w:rsidR="00385AAA">
        <w:t>3,</w:t>
      </w:r>
      <w:r w:rsidR="00F1097A">
        <w:t>4</w:t>
      </w:r>
      <w:r w:rsidR="00431030">
        <w:t> </w:t>
      </w:r>
      <w:r w:rsidR="00CB4EDA">
        <w:t>p.</w:t>
      </w:r>
      <w:r w:rsidR="0023731B">
        <w:t xml:space="preserve"> </w:t>
      </w:r>
      <w:r w:rsidR="00CB4EDA">
        <w:t>b.</w:t>
      </w:r>
      <w:r w:rsidR="00FA1B2C" w:rsidRPr="004627B6">
        <w:t xml:space="preserve"> </w:t>
      </w:r>
      <w:proofErr w:type="spellStart"/>
      <w:r w:rsidR="00C5527B">
        <w:t>M</w:t>
      </w:r>
      <w:r w:rsidR="00C5527B" w:rsidRPr="004627B6">
        <w:t>ezičtvrtletně</w:t>
      </w:r>
      <w:proofErr w:type="spellEnd"/>
      <w:r w:rsidR="00C5527B">
        <w:t xml:space="preserve"> d</w:t>
      </w:r>
      <w:r>
        <w:t xml:space="preserve">luh stoupl </w:t>
      </w:r>
      <w:r w:rsidRPr="00020BFF">
        <w:t xml:space="preserve">o </w:t>
      </w:r>
      <w:r w:rsidR="00F1097A">
        <w:t>14,3</w:t>
      </w:r>
      <w:r w:rsidRPr="00020BFF">
        <w:t xml:space="preserve"> mld. Kč</w:t>
      </w:r>
      <w:r w:rsidR="00C5527B">
        <w:t xml:space="preserve">, </w:t>
      </w:r>
      <w:r w:rsidR="000D3AA2">
        <w:t>nominální změna dluhu činila</w:t>
      </w:r>
      <w:r w:rsidR="00944E30">
        <w:t xml:space="preserve"> 0,</w:t>
      </w:r>
      <w:r w:rsidR="00F1097A">
        <w:t>2</w:t>
      </w:r>
      <w:r w:rsidR="00944E30">
        <w:t xml:space="preserve"> p. b., zatímco růst nominálního </w:t>
      </w:r>
      <w:r w:rsidR="00944E30" w:rsidRPr="004627B6">
        <w:t xml:space="preserve">HDP </w:t>
      </w:r>
      <w:r w:rsidR="00944E30">
        <w:t>přispěl k poklesu zadlužení o</w:t>
      </w:r>
      <w:r w:rsidR="00944E30" w:rsidRPr="004627B6">
        <w:t xml:space="preserve"> </w:t>
      </w:r>
      <w:r w:rsidR="00BB58B7">
        <w:t>- </w:t>
      </w:r>
      <w:bookmarkStart w:id="0" w:name="_GoBack"/>
      <w:bookmarkEnd w:id="0"/>
      <w:r w:rsidR="00944E30">
        <w:t>0,</w:t>
      </w:r>
      <w:r w:rsidR="00F1097A">
        <w:t>6</w:t>
      </w:r>
      <w:r w:rsidR="00944E30" w:rsidRPr="003316B5">
        <w:t xml:space="preserve"> p.</w:t>
      </w:r>
      <w:r w:rsidR="00944E30">
        <w:t xml:space="preserve"> </w:t>
      </w:r>
      <w:r w:rsidR="00944E30" w:rsidRPr="003316B5">
        <w:t>b.</w:t>
      </w:r>
      <w:r w:rsidR="00944E30">
        <w:t xml:space="preserve">, </w:t>
      </w:r>
      <w:r w:rsidR="00C5527B">
        <w:t>což</w:t>
      </w:r>
      <w:r w:rsidR="00944E30">
        <w:t xml:space="preserve"> ve výsledku</w:t>
      </w:r>
      <w:r w:rsidR="00C5527B">
        <w:t xml:space="preserve"> </w:t>
      </w:r>
      <w:proofErr w:type="spellStart"/>
      <w:r w:rsidR="00944E30">
        <w:t>mezičtvrtletně</w:t>
      </w:r>
      <w:proofErr w:type="spellEnd"/>
      <w:r w:rsidR="00944E30">
        <w:t xml:space="preserve"> vedlo ke </w:t>
      </w:r>
      <w:r w:rsidR="00157F39">
        <w:t>snížen</w:t>
      </w:r>
      <w:r w:rsidR="00E27421">
        <w:t>í</w:t>
      </w:r>
      <w:r w:rsidR="00390F50">
        <w:t xml:space="preserve"> </w:t>
      </w:r>
      <w:r w:rsidR="00AE3EE0" w:rsidRPr="004627B6">
        <w:t xml:space="preserve">míry zadlužení </w:t>
      </w:r>
      <w:r w:rsidR="002E1D66" w:rsidRPr="00020BFF">
        <w:t>o</w:t>
      </w:r>
      <w:r w:rsidR="00054A5F">
        <w:t> </w:t>
      </w:r>
      <w:r w:rsidR="00865E5C">
        <w:t>0,</w:t>
      </w:r>
      <w:r w:rsidR="00157F39">
        <w:t>4</w:t>
      </w:r>
      <w:r w:rsidR="00054A5F">
        <w:t xml:space="preserve"> </w:t>
      </w:r>
      <w:r w:rsidR="00641B4A" w:rsidRPr="00020BFF">
        <w:t>p.</w:t>
      </w:r>
      <w:r w:rsidR="0023731B">
        <w:t xml:space="preserve"> </w:t>
      </w:r>
      <w:r w:rsidR="00641B4A" w:rsidRPr="00020BFF">
        <w:t>b</w:t>
      </w:r>
      <w:r w:rsidR="00641B4A" w:rsidRPr="004627B6">
        <w:t>.</w:t>
      </w:r>
      <w:r w:rsidR="00390F50">
        <w:t xml:space="preserve"> </w:t>
      </w:r>
    </w:p>
    <w:p w14:paraId="386F81C7" w14:textId="65A42ABE" w:rsidR="00C37BA9" w:rsidRDefault="00C37BA9" w:rsidP="00425ADB"/>
    <w:p w14:paraId="6608A977" w14:textId="187F3182" w:rsidR="00C37BA9" w:rsidRDefault="00551615" w:rsidP="00425ADB">
      <w:r w:rsidRPr="0038110F">
        <w:t xml:space="preserve">Ve </w:t>
      </w:r>
      <w:r w:rsidR="001D205E" w:rsidRPr="0038110F">
        <w:t>čtvrtém</w:t>
      </w:r>
      <w:r w:rsidRPr="0038110F">
        <w:t xml:space="preserve"> </w:t>
      </w:r>
      <w:r w:rsidR="00C37BA9" w:rsidRPr="0038110F">
        <w:t>čtvrtletí</w:t>
      </w:r>
      <w:r w:rsidRPr="0038110F">
        <w:t xml:space="preserve"> roku</w:t>
      </w:r>
      <w:r w:rsidR="00C37BA9" w:rsidRPr="0038110F">
        <w:t xml:space="preserve"> 2023 </w:t>
      </w:r>
      <w:r w:rsidR="0039472E" w:rsidRPr="0038110F">
        <w:t xml:space="preserve">byla </w:t>
      </w:r>
      <w:r w:rsidR="00D21EE4" w:rsidRPr="0038110F">
        <w:t xml:space="preserve">mezičtvrtletní </w:t>
      </w:r>
      <w:r w:rsidR="0039472E" w:rsidRPr="0038110F">
        <w:t>změna</w:t>
      </w:r>
      <w:r w:rsidR="00C37BA9" w:rsidRPr="0038110F">
        <w:t xml:space="preserve"> dluhu (</w:t>
      </w:r>
      <w:r w:rsidR="0039472E" w:rsidRPr="0038110F">
        <w:t xml:space="preserve">nárůst </w:t>
      </w:r>
      <w:r w:rsidR="001D205E" w:rsidRPr="0038110F">
        <w:t>14,3</w:t>
      </w:r>
      <w:r w:rsidR="00C37BA9" w:rsidRPr="0038110F">
        <w:t xml:space="preserve"> mld. Kč) </w:t>
      </w:r>
      <w:r w:rsidR="0058394F" w:rsidRPr="0038110F">
        <w:t xml:space="preserve">významně </w:t>
      </w:r>
      <w:r w:rsidR="00C37BA9" w:rsidRPr="0038110F">
        <w:t>odlišn</w:t>
      </w:r>
      <w:r w:rsidR="0039472E" w:rsidRPr="0038110F">
        <w:t>á</w:t>
      </w:r>
      <w:r w:rsidR="00C37BA9" w:rsidRPr="0038110F">
        <w:t xml:space="preserve"> od výsledku hospodaření (</w:t>
      </w:r>
      <w:r w:rsidRPr="0038110F">
        <w:t>schodek</w:t>
      </w:r>
      <w:r w:rsidR="00C37BA9" w:rsidRPr="0038110F">
        <w:t xml:space="preserve"> </w:t>
      </w:r>
      <w:r w:rsidR="00671FDE" w:rsidRPr="0038110F">
        <w:t>107,4</w:t>
      </w:r>
      <w:r w:rsidR="00C37BA9" w:rsidRPr="0038110F">
        <w:t xml:space="preserve"> mld. Kč). </w:t>
      </w:r>
      <w:r w:rsidR="00E61C81" w:rsidRPr="0038110F">
        <w:t xml:space="preserve">Vládní instituce si vypůjčily </w:t>
      </w:r>
      <w:r w:rsidR="00E61C81" w:rsidRPr="0038110F">
        <w:lastRenderedPageBreak/>
        <w:t>o</w:t>
      </w:r>
      <w:r w:rsidR="00BA74EC" w:rsidRPr="0038110F">
        <w:t> </w:t>
      </w:r>
      <w:r w:rsidR="00671FDE" w:rsidRPr="0038110F">
        <w:t>93,1</w:t>
      </w:r>
      <w:r w:rsidR="00BA74EC" w:rsidRPr="0038110F">
        <w:t> </w:t>
      </w:r>
      <w:r w:rsidR="00E61C81" w:rsidRPr="0038110F">
        <w:t>mld.</w:t>
      </w:r>
      <w:r w:rsidR="00BA74EC" w:rsidRPr="0038110F">
        <w:t> </w:t>
      </w:r>
      <w:r w:rsidR="00E61C81" w:rsidRPr="0038110F">
        <w:t xml:space="preserve">Kč </w:t>
      </w:r>
      <w:r w:rsidR="00671FDE" w:rsidRPr="0038110F">
        <w:t>méně</w:t>
      </w:r>
      <w:r w:rsidR="00466262" w:rsidRPr="0038110F">
        <w:t>, než</w:t>
      </w:r>
      <w:r w:rsidRPr="0038110F">
        <w:t xml:space="preserve"> byl jejich</w:t>
      </w:r>
      <w:r w:rsidR="00EB65CF" w:rsidRPr="0038110F">
        <w:t xml:space="preserve"> výsledek hospodaření. F</w:t>
      </w:r>
      <w:r w:rsidR="00074D55" w:rsidRPr="0038110F">
        <w:t xml:space="preserve">inancování </w:t>
      </w:r>
      <w:r w:rsidR="00EB65CF" w:rsidRPr="0038110F">
        <w:t xml:space="preserve">vládních </w:t>
      </w:r>
      <w:r w:rsidR="00074D55" w:rsidRPr="0038110F">
        <w:t xml:space="preserve">výdajů </w:t>
      </w:r>
      <w:r w:rsidR="0051548B">
        <w:t xml:space="preserve">tak </w:t>
      </w:r>
      <w:r w:rsidR="00074D55" w:rsidRPr="0038110F">
        <w:t xml:space="preserve">proběhlo </w:t>
      </w:r>
      <w:r w:rsidR="002C6A4A" w:rsidRPr="0038110F">
        <w:t xml:space="preserve">z </w:t>
      </w:r>
      <w:r w:rsidR="00EB65CF" w:rsidRPr="0038110F">
        <w:t>aktiv vytvořených</w:t>
      </w:r>
      <w:r w:rsidR="002C6A4A" w:rsidRPr="0038110F">
        <w:t xml:space="preserve"> v</w:t>
      </w:r>
      <w:r w:rsidR="00074D55" w:rsidRPr="0038110F">
        <w:t> předchozích období</w:t>
      </w:r>
      <w:r w:rsidR="002C6A4A" w:rsidRPr="0038110F">
        <w:t>ch</w:t>
      </w:r>
      <w:r w:rsidR="00C37BA9" w:rsidRPr="0038110F">
        <w:t>.</w:t>
      </w:r>
    </w:p>
    <w:p w14:paraId="3E79D8EC" w14:textId="48E1A923" w:rsidR="007831D6" w:rsidRDefault="007831D6" w:rsidP="00D95B91"/>
    <w:p w14:paraId="481E1476" w14:textId="771C401A" w:rsidR="00390F50" w:rsidRDefault="009336F8" w:rsidP="004B53E2">
      <w:r w:rsidRPr="006330B1">
        <w:t>Z hlediska jednotlivých komponent dluhu byl meziroční nárůst</w:t>
      </w:r>
      <w:r w:rsidR="00607E62" w:rsidRPr="006330B1">
        <w:t xml:space="preserve"> zaznamenán </w:t>
      </w:r>
      <w:r w:rsidR="006330B1" w:rsidRPr="006330B1">
        <w:t xml:space="preserve">především </w:t>
      </w:r>
      <w:r w:rsidR="00607E62" w:rsidRPr="006330B1">
        <w:t>u</w:t>
      </w:r>
      <w:r w:rsidR="00054A5F">
        <w:t> </w:t>
      </w:r>
      <w:r w:rsidR="0033552A" w:rsidRPr="00B77751">
        <w:t>emitovaných cenných papírů (+</w:t>
      </w:r>
      <w:r w:rsidR="002A1F98">
        <w:t>346,2</w:t>
      </w:r>
      <w:r w:rsidR="0033552A" w:rsidRPr="00B77751">
        <w:t xml:space="preserve"> mld. Kč</w:t>
      </w:r>
      <w:r w:rsidR="006330B1" w:rsidRPr="00B77751">
        <w:t>)</w:t>
      </w:r>
      <w:r w:rsidR="00607E62" w:rsidRPr="006330B1">
        <w:t>.</w:t>
      </w:r>
      <w:r w:rsidR="008C6D93" w:rsidRPr="006330B1">
        <w:t xml:space="preserve"> </w:t>
      </w:r>
    </w:p>
    <w:p w14:paraId="19EDA098" w14:textId="4420C02A" w:rsidR="00E6431E" w:rsidRDefault="00E6431E" w:rsidP="00A94B28"/>
    <w:p w14:paraId="3778D79C" w14:textId="77777777" w:rsidR="006471F9" w:rsidRPr="00270F84" w:rsidRDefault="006471F9" w:rsidP="00A94B28"/>
    <w:p w14:paraId="4C369526" w14:textId="125E0FBD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D93AC9">
        <w:t>4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</w:t>
      </w:r>
      <w:r w:rsidR="00382035">
        <w:t>2</w:t>
      </w:r>
      <w:r w:rsidR="00DA7EEB">
        <w:t>1</w:t>
      </w:r>
      <w:r w:rsidR="00B85D5E" w:rsidRPr="00270F84">
        <w:t xml:space="preserve"> </w:t>
      </w:r>
      <w:r w:rsidR="000A2AF1" w:rsidRPr="00270F84">
        <w:t xml:space="preserve">– </w:t>
      </w:r>
      <w:r w:rsidR="00D93AC9">
        <w:t>4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</w:t>
      </w:r>
      <w:r w:rsidR="00DA7EEB">
        <w:t>3</w:t>
      </w:r>
    </w:p>
    <w:p w14:paraId="6504B9E7" w14:textId="6CAC2AF8" w:rsidR="00DB5168" w:rsidRDefault="003776B6" w:rsidP="007D7C61">
      <w:r>
        <w:rPr>
          <w:noProof/>
          <w:lang w:eastAsia="cs-CZ"/>
        </w:rPr>
        <w:drawing>
          <wp:inline distT="0" distB="0" distL="0" distR="0" wp14:anchorId="23F9596B" wp14:editId="72374F37">
            <wp:extent cx="5400040" cy="3181350"/>
            <wp:effectExtent l="0" t="0" r="1016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F666392" w14:textId="510FF03F" w:rsidR="00121358" w:rsidRDefault="00864440" w:rsidP="005A7C66">
      <w:r>
        <w:rPr>
          <w:noProof/>
          <w:lang w:eastAsia="cs-CZ"/>
        </w:rPr>
        <w:drawing>
          <wp:inline distT="0" distB="0" distL="0" distR="0" wp14:anchorId="6B8093C0" wp14:editId="15DBBDD8">
            <wp:extent cx="5400040" cy="1934210"/>
            <wp:effectExtent l="0" t="0" r="10160" b="889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B5126E" w14:textId="77777777" w:rsidR="00121358" w:rsidRDefault="00121358" w:rsidP="005A7C66"/>
    <w:p w14:paraId="60C02212" w14:textId="3AF072CB" w:rsidR="005A7C66" w:rsidRDefault="007029F8" w:rsidP="005A7C66">
      <w:r w:rsidRPr="00FF18D0">
        <w:t xml:space="preserve">Saldo hospodaření vládních institucí po očištění o sezónní a kalendářní vlivy skončilo v deficitu </w:t>
      </w:r>
      <w:r w:rsidR="00186F35">
        <w:t>64</w:t>
      </w:r>
      <w:r w:rsidR="00D2215D">
        <w:t>,1</w:t>
      </w:r>
      <w:r w:rsidRPr="00FF18D0">
        <w:t xml:space="preserve"> mld. Kč, který odpovídal </w:t>
      </w:r>
      <w:r w:rsidR="00BD0E52">
        <w:t>3,</w:t>
      </w:r>
      <w:r w:rsidR="00186F35">
        <w:t>5</w:t>
      </w:r>
      <w:r w:rsidRPr="00FF18D0">
        <w:t xml:space="preserve"> % HDP. </w:t>
      </w:r>
      <w:proofErr w:type="spellStart"/>
      <w:r w:rsidRPr="00FF18D0">
        <w:t>Mezičtvrtletně</w:t>
      </w:r>
      <w:proofErr w:type="spellEnd"/>
      <w:r w:rsidRPr="00FF18D0">
        <w:t xml:space="preserve"> se saldo hospodaření </w:t>
      </w:r>
      <w:r w:rsidR="00CD74CC">
        <w:t>vylepšilo</w:t>
      </w:r>
      <w:r w:rsidRPr="00FF18D0">
        <w:t xml:space="preserve"> o </w:t>
      </w:r>
      <w:r w:rsidR="00186F35">
        <w:t>0,7</w:t>
      </w:r>
      <w:r w:rsidRPr="00FF18D0">
        <w:t xml:space="preserve"> mld. Kč. </w:t>
      </w:r>
      <w:r w:rsidR="005A7C66" w:rsidRPr="00FF18D0">
        <w:t>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17F7A504" w:rsidR="005A7C66" w:rsidRPr="00706DBC" w:rsidRDefault="005A7C66" w:rsidP="005A7C66">
      <w:pPr>
        <w:pStyle w:val="TabulkaGraf"/>
        <w:keepNext/>
      </w:pPr>
      <w:r w:rsidRPr="00FF18D0">
        <w:t xml:space="preserve">Sezónně očištěné saldo hospodaření vládních institucí, </w:t>
      </w:r>
      <w:r w:rsidR="00D93AC9">
        <w:t>4</w:t>
      </w:r>
      <w:r w:rsidR="00DE6A49" w:rsidRPr="00FF18D0">
        <w:t>. čtvrtletí 20</w:t>
      </w:r>
      <w:r w:rsidR="00382035" w:rsidRPr="00FF18D0">
        <w:t>2</w:t>
      </w:r>
      <w:r w:rsidR="00DA7EEB">
        <w:t>1</w:t>
      </w:r>
      <w:r w:rsidRPr="00FF18D0">
        <w:t xml:space="preserve"> – </w:t>
      </w:r>
      <w:r w:rsidR="00D93AC9">
        <w:t>4</w:t>
      </w:r>
      <w:r w:rsidR="00DE6A49" w:rsidRPr="00FF18D0">
        <w:t>. čtvrtletí 202</w:t>
      </w:r>
      <w:r w:rsidR="00DA7EEB">
        <w:t>3</w:t>
      </w:r>
    </w:p>
    <w:p w14:paraId="4FCD2497" w14:textId="421F3ACF" w:rsidR="00647423" w:rsidRDefault="00186F35" w:rsidP="005A7C66">
      <w:r>
        <w:rPr>
          <w:noProof/>
          <w:lang w:eastAsia="cs-CZ"/>
        </w:rPr>
        <w:drawing>
          <wp:inline distT="0" distB="0" distL="0" distR="0" wp14:anchorId="431FEB6B" wp14:editId="1DD5B1C9">
            <wp:extent cx="5400040" cy="1905000"/>
            <wp:effectExtent l="0" t="0" r="1016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20034E" w14:textId="03EA1DA3" w:rsidR="00D265C7" w:rsidRDefault="00D265C7" w:rsidP="005A7C66"/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15B30E4C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 xml:space="preserve">statistiky nadměrného </w:t>
      </w:r>
      <w:r w:rsidR="00DF01C8">
        <w:rPr>
          <w:i/>
          <w:sz w:val="18"/>
          <w:szCs w:val="18"/>
        </w:rPr>
        <w:t>schodku</w:t>
      </w:r>
      <w:r>
        <w:rPr>
          <w:i/>
          <w:sz w:val="18"/>
          <w:szCs w:val="18"/>
        </w:rPr>
        <w:t xml:space="preserve">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625F5F01" w14:textId="0ED3AEC9" w:rsidR="009C485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="00AA55EC">
        <w:rPr>
          <w:i/>
          <w:sz w:val="18"/>
          <w:szCs w:val="18"/>
        </w:rPr>
        <w:t xml:space="preserve"> Podrobné údaje v časových řadách o</w:t>
      </w:r>
      <w:r w:rsidRPr="002C1411">
        <w:rPr>
          <w:i/>
          <w:sz w:val="18"/>
          <w:szCs w:val="18"/>
        </w:rPr>
        <w:t xml:space="preserve">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účty“.(</w:t>
      </w:r>
      <w:hyperlink r:id="rId11" w:history="1">
        <w:r w:rsidR="00AA55EC">
          <w:rPr>
            <w:rStyle w:val="Hypertextovodkaz"/>
            <w:i/>
            <w:sz w:val="18"/>
            <w:szCs w:val="18"/>
          </w:rPr>
          <w:t>Sektor vládních institucí</w:t>
        </w:r>
      </w:hyperlink>
      <w:r w:rsidRPr="002C1411">
        <w:rPr>
          <w:i/>
          <w:sz w:val="18"/>
          <w:szCs w:val="18"/>
        </w:rPr>
        <w:t>)</w:t>
      </w:r>
      <w:r w:rsidR="009C4851">
        <w:rPr>
          <w:i/>
          <w:sz w:val="18"/>
          <w:szCs w:val="18"/>
        </w:rPr>
        <w:t xml:space="preserve">. </w:t>
      </w:r>
      <w:r w:rsidR="002E255E">
        <w:rPr>
          <w:i/>
          <w:sz w:val="18"/>
          <w:szCs w:val="18"/>
        </w:rPr>
        <w:t>Pokud není uvedeno jinak, data nejsou očištěna o sezónní a kalendářní vlivy.</w:t>
      </w:r>
      <w:r w:rsidR="005E471D">
        <w:rPr>
          <w:i/>
          <w:sz w:val="18"/>
          <w:szCs w:val="18"/>
        </w:rPr>
        <w:t xml:space="preserve"> </w:t>
      </w:r>
      <w:r w:rsidR="009C4851" w:rsidRPr="009C4851">
        <w:rPr>
          <w:i/>
          <w:sz w:val="18"/>
          <w:szCs w:val="18"/>
        </w:rPr>
        <w:t>Časová řada</w:t>
      </w:r>
      <w:r w:rsidR="009C4851">
        <w:rPr>
          <w:i/>
          <w:sz w:val="18"/>
          <w:szCs w:val="18"/>
        </w:rPr>
        <w:t xml:space="preserve"> sezónně očištěného salda vládních institucí (položka </w:t>
      </w:r>
      <w:r w:rsidR="009C4851" w:rsidRPr="009C4851">
        <w:rPr>
          <w:i/>
          <w:sz w:val="18"/>
          <w:szCs w:val="18"/>
        </w:rPr>
        <w:t>Čisté půjčky/ výpůjčky</w:t>
      </w:r>
      <w:r w:rsidR="009C4851">
        <w:rPr>
          <w:i/>
          <w:sz w:val="18"/>
          <w:szCs w:val="18"/>
        </w:rPr>
        <w:t xml:space="preserve">) </w:t>
      </w:r>
      <w:hyperlink r:id="rId12" w:history="1">
        <w:r w:rsidR="009C4851">
          <w:rPr>
            <w:rStyle w:val="Hypertextovodkaz"/>
            <w:i/>
            <w:sz w:val="18"/>
            <w:szCs w:val="18"/>
          </w:rPr>
          <w:t xml:space="preserve">Časová řada sezónně očištěných účtů za </w:t>
        </w:r>
        <w:proofErr w:type="gramStart"/>
        <w:r w:rsidR="009C4851">
          <w:rPr>
            <w:rStyle w:val="Hypertextovodkaz"/>
            <w:i/>
            <w:sz w:val="18"/>
            <w:szCs w:val="18"/>
          </w:rPr>
          <w:t>S.13</w:t>
        </w:r>
        <w:proofErr w:type="gramEnd"/>
        <w:r w:rsidR="009C4851">
          <w:rPr>
            <w:rStyle w:val="Hypertextovodkaz"/>
            <w:i/>
            <w:sz w:val="18"/>
            <w:szCs w:val="18"/>
          </w:rPr>
          <w:t xml:space="preserve"> </w:t>
        </w:r>
      </w:hyperlink>
      <w:r w:rsidR="009C4851">
        <w:rPr>
          <w:i/>
          <w:sz w:val="18"/>
          <w:szCs w:val="18"/>
        </w:rPr>
        <w:t>.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197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D582051" w14:textId="77777777" w:rsidR="001209A6" w:rsidRDefault="007674A6" w:rsidP="006464CD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 w:rsidR="00426D89">
              <w:rPr>
                <w:i/>
                <w:iCs/>
                <w:sz w:val="18"/>
                <w:szCs w:val="18"/>
              </w:rPr>
              <w:t xml:space="preserve"> </w:t>
            </w:r>
            <w:r w:rsidR="008432DB">
              <w:rPr>
                <w:i/>
                <w:iCs/>
                <w:sz w:val="18"/>
                <w:szCs w:val="18"/>
              </w:rPr>
              <w:t>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 w:rsidR="00982CA8">
              <w:rPr>
                <w:i/>
                <w:iCs/>
                <w:sz w:val="18"/>
                <w:szCs w:val="18"/>
              </w:rPr>
              <w:t xml:space="preserve"> ředitel</w:t>
            </w:r>
            <w:r w:rsidR="001209A6">
              <w:rPr>
                <w:i/>
                <w:iCs/>
                <w:sz w:val="18"/>
                <w:szCs w:val="18"/>
              </w:rPr>
              <w:t>ka</w:t>
            </w:r>
            <w:r w:rsidR="00982CA8">
              <w:rPr>
                <w:i/>
                <w:iCs/>
                <w:sz w:val="18"/>
                <w:szCs w:val="18"/>
              </w:rPr>
              <w:t xml:space="preserve">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CEA379" w14:textId="40FF4DCA" w:rsidR="007674A6" w:rsidRDefault="00F20640" w:rsidP="006464CD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tel.: </w:t>
            </w:r>
            <w:r w:rsidR="006464CD">
              <w:rPr>
                <w:i/>
                <w:iCs/>
                <w:sz w:val="18"/>
                <w:szCs w:val="18"/>
              </w:rPr>
              <w:t>704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="006464CD">
              <w:rPr>
                <w:i/>
                <w:iCs/>
                <w:sz w:val="18"/>
                <w:szCs w:val="18"/>
              </w:rPr>
              <w:t>688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="006464CD">
              <w:rPr>
                <w:i/>
                <w:iCs/>
                <w:sz w:val="18"/>
                <w:szCs w:val="18"/>
              </w:rPr>
              <w:t>734</w:t>
            </w:r>
            <w:r w:rsidR="007674A6"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3" w:history="1">
              <w:r w:rsidR="008432DB" w:rsidRPr="00A412AF">
                <w:rPr>
                  <w:rStyle w:val="Hypertextovodkaz"/>
                  <w:sz w:val="18"/>
                </w:rPr>
                <w:t>helena.houzvickova@czso.cz</w:t>
              </w:r>
            </w:hyperlink>
            <w:r w:rsidR="007674A6"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37393383" w14:textId="77777777" w:rsidR="001209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06DE8B21" w14:textId="5F255BA2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4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215F3D71" w:rsidR="007674A6" w:rsidRPr="007F7CB9" w:rsidRDefault="00907D57" w:rsidP="00E7762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 w:rsidR="00E7762D">
              <w:rPr>
                <w:i/>
                <w:iCs/>
                <w:sz w:val="18"/>
                <w:szCs w:val="18"/>
              </w:rPr>
              <w:t>7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 w:rsidR="008C5D22">
              <w:rPr>
                <w:i/>
                <w:iCs/>
                <w:sz w:val="18"/>
                <w:szCs w:val="18"/>
              </w:rPr>
              <w:t>4</w:t>
            </w:r>
          </w:p>
        </w:tc>
      </w:tr>
    </w:tbl>
    <w:p w14:paraId="03A8AD7B" w14:textId="6DA42DEA" w:rsidR="00EA2DE9" w:rsidRPr="00EA2DE9" w:rsidRDefault="00EA2DE9" w:rsidP="00EA2DE9"/>
    <w:sectPr w:rsidR="00EA2DE9" w:rsidRPr="00EA2DE9" w:rsidSect="00A60967">
      <w:headerReference w:type="default" r:id="rId15"/>
      <w:footerReference w:type="default" r:id="rId16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85FD" w14:textId="77777777" w:rsidR="00C130BD" w:rsidRDefault="00C130BD" w:rsidP="00BA6370">
      <w:r>
        <w:separator/>
      </w:r>
    </w:p>
  </w:endnote>
  <w:endnote w:type="continuationSeparator" w:id="0">
    <w:p w14:paraId="014504FB" w14:textId="77777777" w:rsidR="00C130BD" w:rsidRDefault="00C130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03F7F9DC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BB58B7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2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03F7F9DC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BB58B7">
                      <w:rPr>
                        <w:rFonts w:cs="Arial"/>
                        <w:noProof/>
                        <w:sz w:val="18"/>
                        <w:szCs w:val="15"/>
                      </w:rPr>
                      <w:t>2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6F15" w14:textId="77777777" w:rsidR="00C130BD" w:rsidRDefault="00C130BD" w:rsidP="00BA6370">
      <w:r>
        <w:separator/>
      </w:r>
    </w:p>
  </w:footnote>
  <w:footnote w:type="continuationSeparator" w:id="0">
    <w:p w14:paraId="02521FF3" w14:textId="77777777" w:rsidR="00C130BD" w:rsidRDefault="00C130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3312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11FCE"/>
    <w:rsid w:val="000206EA"/>
    <w:rsid w:val="00020BFF"/>
    <w:rsid w:val="00022194"/>
    <w:rsid w:val="000227D2"/>
    <w:rsid w:val="000235D9"/>
    <w:rsid w:val="00024DDA"/>
    <w:rsid w:val="00027226"/>
    <w:rsid w:val="00027ED4"/>
    <w:rsid w:val="00027F53"/>
    <w:rsid w:val="00031874"/>
    <w:rsid w:val="00031E89"/>
    <w:rsid w:val="0004366C"/>
    <w:rsid w:val="00043BF4"/>
    <w:rsid w:val="0004710A"/>
    <w:rsid w:val="0005106B"/>
    <w:rsid w:val="00053474"/>
    <w:rsid w:val="00054A5F"/>
    <w:rsid w:val="00060E33"/>
    <w:rsid w:val="00064701"/>
    <w:rsid w:val="0006520F"/>
    <w:rsid w:val="00074D55"/>
    <w:rsid w:val="000843A5"/>
    <w:rsid w:val="00085538"/>
    <w:rsid w:val="00090EA1"/>
    <w:rsid w:val="000910DA"/>
    <w:rsid w:val="000933DC"/>
    <w:rsid w:val="00096D6C"/>
    <w:rsid w:val="000A18CB"/>
    <w:rsid w:val="000A2AF1"/>
    <w:rsid w:val="000A5146"/>
    <w:rsid w:val="000A5700"/>
    <w:rsid w:val="000A6AEE"/>
    <w:rsid w:val="000A710C"/>
    <w:rsid w:val="000B2CAC"/>
    <w:rsid w:val="000B6F63"/>
    <w:rsid w:val="000C0A2C"/>
    <w:rsid w:val="000C0C1C"/>
    <w:rsid w:val="000C2F30"/>
    <w:rsid w:val="000D093F"/>
    <w:rsid w:val="000D1C4D"/>
    <w:rsid w:val="000D392B"/>
    <w:rsid w:val="000D3AA2"/>
    <w:rsid w:val="000D3CE2"/>
    <w:rsid w:val="000D4AC4"/>
    <w:rsid w:val="000D558D"/>
    <w:rsid w:val="000D6E7B"/>
    <w:rsid w:val="000E1AFD"/>
    <w:rsid w:val="000E2FF8"/>
    <w:rsid w:val="000E3842"/>
    <w:rsid w:val="000E43CC"/>
    <w:rsid w:val="000E6B36"/>
    <w:rsid w:val="000F3C40"/>
    <w:rsid w:val="000F5D76"/>
    <w:rsid w:val="0010238B"/>
    <w:rsid w:val="00105B76"/>
    <w:rsid w:val="00112FC7"/>
    <w:rsid w:val="00113C55"/>
    <w:rsid w:val="00115EAD"/>
    <w:rsid w:val="001209A6"/>
    <w:rsid w:val="00120CA1"/>
    <w:rsid w:val="00121358"/>
    <w:rsid w:val="00130DF5"/>
    <w:rsid w:val="001322AB"/>
    <w:rsid w:val="001323BD"/>
    <w:rsid w:val="001369E2"/>
    <w:rsid w:val="00136D80"/>
    <w:rsid w:val="001373DB"/>
    <w:rsid w:val="001404AB"/>
    <w:rsid w:val="00143CB1"/>
    <w:rsid w:val="00150F5D"/>
    <w:rsid w:val="00151F49"/>
    <w:rsid w:val="00152527"/>
    <w:rsid w:val="001541E4"/>
    <w:rsid w:val="0015543C"/>
    <w:rsid w:val="001557F3"/>
    <w:rsid w:val="001559C0"/>
    <w:rsid w:val="00155E76"/>
    <w:rsid w:val="001567E5"/>
    <w:rsid w:val="00156857"/>
    <w:rsid w:val="001570D9"/>
    <w:rsid w:val="00157705"/>
    <w:rsid w:val="00157F39"/>
    <w:rsid w:val="001614B5"/>
    <w:rsid w:val="00164ABA"/>
    <w:rsid w:val="00166225"/>
    <w:rsid w:val="00166228"/>
    <w:rsid w:val="00167288"/>
    <w:rsid w:val="00170F69"/>
    <w:rsid w:val="00171765"/>
    <w:rsid w:val="00171CC7"/>
    <w:rsid w:val="0017231D"/>
    <w:rsid w:val="00174C88"/>
    <w:rsid w:val="001807A0"/>
    <w:rsid w:val="001810DC"/>
    <w:rsid w:val="00183B9F"/>
    <w:rsid w:val="001860C6"/>
    <w:rsid w:val="00186F35"/>
    <w:rsid w:val="001933FC"/>
    <w:rsid w:val="00194EA9"/>
    <w:rsid w:val="001955F2"/>
    <w:rsid w:val="001A12E4"/>
    <w:rsid w:val="001A49E6"/>
    <w:rsid w:val="001B13D2"/>
    <w:rsid w:val="001B1F6A"/>
    <w:rsid w:val="001B607F"/>
    <w:rsid w:val="001B6312"/>
    <w:rsid w:val="001B7272"/>
    <w:rsid w:val="001C2946"/>
    <w:rsid w:val="001C30B0"/>
    <w:rsid w:val="001C3E12"/>
    <w:rsid w:val="001D0297"/>
    <w:rsid w:val="001D0699"/>
    <w:rsid w:val="001D1A8D"/>
    <w:rsid w:val="001D205E"/>
    <w:rsid w:val="001D291B"/>
    <w:rsid w:val="001D369A"/>
    <w:rsid w:val="001D7AFB"/>
    <w:rsid w:val="001E09BE"/>
    <w:rsid w:val="001E09F0"/>
    <w:rsid w:val="001E4B71"/>
    <w:rsid w:val="001E6514"/>
    <w:rsid w:val="001F08B3"/>
    <w:rsid w:val="001F2FE0"/>
    <w:rsid w:val="001F4E2C"/>
    <w:rsid w:val="001F581C"/>
    <w:rsid w:val="001F7DD5"/>
    <w:rsid w:val="00200854"/>
    <w:rsid w:val="00201FAF"/>
    <w:rsid w:val="002070FB"/>
    <w:rsid w:val="00210C77"/>
    <w:rsid w:val="00213729"/>
    <w:rsid w:val="0021548C"/>
    <w:rsid w:val="0021676A"/>
    <w:rsid w:val="00222149"/>
    <w:rsid w:val="00233976"/>
    <w:rsid w:val="0023731B"/>
    <w:rsid w:val="002400B9"/>
    <w:rsid w:val="002406FA"/>
    <w:rsid w:val="002419EE"/>
    <w:rsid w:val="00242A34"/>
    <w:rsid w:val="00255BC3"/>
    <w:rsid w:val="0026107B"/>
    <w:rsid w:val="002639AF"/>
    <w:rsid w:val="00264DAF"/>
    <w:rsid w:val="0027052F"/>
    <w:rsid w:val="00270F84"/>
    <w:rsid w:val="00271561"/>
    <w:rsid w:val="002733DB"/>
    <w:rsid w:val="00275A82"/>
    <w:rsid w:val="00275EEB"/>
    <w:rsid w:val="00276813"/>
    <w:rsid w:val="002773CD"/>
    <w:rsid w:val="002819BE"/>
    <w:rsid w:val="00281B97"/>
    <w:rsid w:val="00291851"/>
    <w:rsid w:val="00292BC3"/>
    <w:rsid w:val="0029563F"/>
    <w:rsid w:val="00295A12"/>
    <w:rsid w:val="002A1F98"/>
    <w:rsid w:val="002A3E92"/>
    <w:rsid w:val="002A5502"/>
    <w:rsid w:val="002A56D6"/>
    <w:rsid w:val="002A6B48"/>
    <w:rsid w:val="002A77F8"/>
    <w:rsid w:val="002B2E47"/>
    <w:rsid w:val="002B3EA6"/>
    <w:rsid w:val="002B4B65"/>
    <w:rsid w:val="002C20A3"/>
    <w:rsid w:val="002C3D52"/>
    <w:rsid w:val="002C48E6"/>
    <w:rsid w:val="002C529C"/>
    <w:rsid w:val="002C612A"/>
    <w:rsid w:val="002C6A4A"/>
    <w:rsid w:val="002D06AA"/>
    <w:rsid w:val="002E1D66"/>
    <w:rsid w:val="002E255E"/>
    <w:rsid w:val="002E510B"/>
    <w:rsid w:val="002E6DD2"/>
    <w:rsid w:val="002E7C61"/>
    <w:rsid w:val="002F10DB"/>
    <w:rsid w:val="002F219C"/>
    <w:rsid w:val="002F357E"/>
    <w:rsid w:val="00304176"/>
    <w:rsid w:val="003041F0"/>
    <w:rsid w:val="00312263"/>
    <w:rsid w:val="00312A78"/>
    <w:rsid w:val="00313271"/>
    <w:rsid w:val="00313F16"/>
    <w:rsid w:val="00322825"/>
    <w:rsid w:val="00323131"/>
    <w:rsid w:val="00327EDB"/>
    <w:rsid w:val="003301A3"/>
    <w:rsid w:val="003301DA"/>
    <w:rsid w:val="00331447"/>
    <w:rsid w:val="003316B5"/>
    <w:rsid w:val="0033552A"/>
    <w:rsid w:val="00345AA2"/>
    <w:rsid w:val="00351CA8"/>
    <w:rsid w:val="00353636"/>
    <w:rsid w:val="0035564A"/>
    <w:rsid w:val="00357199"/>
    <w:rsid w:val="003577F6"/>
    <w:rsid w:val="0036141C"/>
    <w:rsid w:val="003633B8"/>
    <w:rsid w:val="0036612E"/>
    <w:rsid w:val="0036777B"/>
    <w:rsid w:val="003718C5"/>
    <w:rsid w:val="003776B6"/>
    <w:rsid w:val="0037782A"/>
    <w:rsid w:val="0038110F"/>
    <w:rsid w:val="00381BD0"/>
    <w:rsid w:val="00382035"/>
    <w:rsid w:val="0038282A"/>
    <w:rsid w:val="00382E56"/>
    <w:rsid w:val="0038507E"/>
    <w:rsid w:val="00385AAA"/>
    <w:rsid w:val="00390BDA"/>
    <w:rsid w:val="00390F50"/>
    <w:rsid w:val="0039376F"/>
    <w:rsid w:val="0039472E"/>
    <w:rsid w:val="00394CD0"/>
    <w:rsid w:val="00395349"/>
    <w:rsid w:val="00395E60"/>
    <w:rsid w:val="003964A5"/>
    <w:rsid w:val="00397357"/>
    <w:rsid w:val="00397580"/>
    <w:rsid w:val="00397E7A"/>
    <w:rsid w:val="003A26A0"/>
    <w:rsid w:val="003A45C8"/>
    <w:rsid w:val="003B416A"/>
    <w:rsid w:val="003B4607"/>
    <w:rsid w:val="003C0206"/>
    <w:rsid w:val="003C039E"/>
    <w:rsid w:val="003C2DCF"/>
    <w:rsid w:val="003C54AE"/>
    <w:rsid w:val="003C7620"/>
    <w:rsid w:val="003C7864"/>
    <w:rsid w:val="003C7FE7"/>
    <w:rsid w:val="003D0499"/>
    <w:rsid w:val="003D3576"/>
    <w:rsid w:val="003D468E"/>
    <w:rsid w:val="003D4868"/>
    <w:rsid w:val="003F4BD3"/>
    <w:rsid w:val="003F526A"/>
    <w:rsid w:val="003F5AA6"/>
    <w:rsid w:val="003F5DB2"/>
    <w:rsid w:val="003F7671"/>
    <w:rsid w:val="004011F6"/>
    <w:rsid w:val="0040272A"/>
    <w:rsid w:val="00405244"/>
    <w:rsid w:val="00405365"/>
    <w:rsid w:val="004060DD"/>
    <w:rsid w:val="004060E2"/>
    <w:rsid w:val="00407901"/>
    <w:rsid w:val="00411E28"/>
    <w:rsid w:val="00413354"/>
    <w:rsid w:val="004154C7"/>
    <w:rsid w:val="00416195"/>
    <w:rsid w:val="00417673"/>
    <w:rsid w:val="00420FCB"/>
    <w:rsid w:val="00423779"/>
    <w:rsid w:val="00425ADB"/>
    <w:rsid w:val="00425F10"/>
    <w:rsid w:val="00426D89"/>
    <w:rsid w:val="00431030"/>
    <w:rsid w:val="00432C93"/>
    <w:rsid w:val="0043499C"/>
    <w:rsid w:val="00441019"/>
    <w:rsid w:val="004436EE"/>
    <w:rsid w:val="00446104"/>
    <w:rsid w:val="00447B75"/>
    <w:rsid w:val="00455470"/>
    <w:rsid w:val="0045547F"/>
    <w:rsid w:val="004627B6"/>
    <w:rsid w:val="00465AAB"/>
    <w:rsid w:val="00466262"/>
    <w:rsid w:val="00470311"/>
    <w:rsid w:val="00471DEF"/>
    <w:rsid w:val="00472BA3"/>
    <w:rsid w:val="00474243"/>
    <w:rsid w:val="00474A48"/>
    <w:rsid w:val="004756CA"/>
    <w:rsid w:val="004906DF"/>
    <w:rsid w:val="004920AD"/>
    <w:rsid w:val="00492E2C"/>
    <w:rsid w:val="004953B5"/>
    <w:rsid w:val="004961FB"/>
    <w:rsid w:val="004A0F29"/>
    <w:rsid w:val="004A1435"/>
    <w:rsid w:val="004A2FD5"/>
    <w:rsid w:val="004A5D0D"/>
    <w:rsid w:val="004B0E9B"/>
    <w:rsid w:val="004B4B68"/>
    <w:rsid w:val="004B53E2"/>
    <w:rsid w:val="004B7866"/>
    <w:rsid w:val="004C1C8D"/>
    <w:rsid w:val="004D05B3"/>
    <w:rsid w:val="004D07BE"/>
    <w:rsid w:val="004D3C79"/>
    <w:rsid w:val="004D3F4C"/>
    <w:rsid w:val="004D3FBC"/>
    <w:rsid w:val="004D7156"/>
    <w:rsid w:val="004D7CFA"/>
    <w:rsid w:val="004E0433"/>
    <w:rsid w:val="004E479E"/>
    <w:rsid w:val="004E785E"/>
    <w:rsid w:val="004F4372"/>
    <w:rsid w:val="004F686C"/>
    <w:rsid w:val="004F6EF7"/>
    <w:rsid w:val="004F78E6"/>
    <w:rsid w:val="0050191A"/>
    <w:rsid w:val="0050420E"/>
    <w:rsid w:val="00506867"/>
    <w:rsid w:val="00511B4C"/>
    <w:rsid w:val="00512D99"/>
    <w:rsid w:val="00513C44"/>
    <w:rsid w:val="00514205"/>
    <w:rsid w:val="0051548B"/>
    <w:rsid w:val="00520056"/>
    <w:rsid w:val="00522349"/>
    <w:rsid w:val="00523F6F"/>
    <w:rsid w:val="00525BB0"/>
    <w:rsid w:val="00526E0E"/>
    <w:rsid w:val="00531DBB"/>
    <w:rsid w:val="005351F4"/>
    <w:rsid w:val="0053722A"/>
    <w:rsid w:val="00540F2E"/>
    <w:rsid w:val="00542EBD"/>
    <w:rsid w:val="00545931"/>
    <w:rsid w:val="00546A7F"/>
    <w:rsid w:val="00551615"/>
    <w:rsid w:val="00551E5D"/>
    <w:rsid w:val="005543FD"/>
    <w:rsid w:val="00560372"/>
    <w:rsid w:val="005652F3"/>
    <w:rsid w:val="00565F73"/>
    <w:rsid w:val="00566757"/>
    <w:rsid w:val="00573994"/>
    <w:rsid w:val="0057429D"/>
    <w:rsid w:val="00575CBC"/>
    <w:rsid w:val="0058394F"/>
    <w:rsid w:val="00586986"/>
    <w:rsid w:val="00586F7A"/>
    <w:rsid w:val="00587411"/>
    <w:rsid w:val="00596033"/>
    <w:rsid w:val="005A2F95"/>
    <w:rsid w:val="005A4B9C"/>
    <w:rsid w:val="005A5773"/>
    <w:rsid w:val="005A797C"/>
    <w:rsid w:val="005A7C66"/>
    <w:rsid w:val="005B0489"/>
    <w:rsid w:val="005B2684"/>
    <w:rsid w:val="005B3516"/>
    <w:rsid w:val="005C15CD"/>
    <w:rsid w:val="005C1E40"/>
    <w:rsid w:val="005C43E2"/>
    <w:rsid w:val="005C730F"/>
    <w:rsid w:val="005D0C9E"/>
    <w:rsid w:val="005D1FA7"/>
    <w:rsid w:val="005E1A31"/>
    <w:rsid w:val="005E4540"/>
    <w:rsid w:val="005E471D"/>
    <w:rsid w:val="005F0EFC"/>
    <w:rsid w:val="005F15A4"/>
    <w:rsid w:val="005F6247"/>
    <w:rsid w:val="005F79FB"/>
    <w:rsid w:val="00601154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5F63"/>
    <w:rsid w:val="00616D3B"/>
    <w:rsid w:val="0061784E"/>
    <w:rsid w:val="006179B0"/>
    <w:rsid w:val="00622B80"/>
    <w:rsid w:val="0062459A"/>
    <w:rsid w:val="0062466F"/>
    <w:rsid w:val="00627388"/>
    <w:rsid w:val="0062797D"/>
    <w:rsid w:val="006330B1"/>
    <w:rsid w:val="0063411C"/>
    <w:rsid w:val="00635BB1"/>
    <w:rsid w:val="006400BD"/>
    <w:rsid w:val="0064139A"/>
    <w:rsid w:val="00641B4A"/>
    <w:rsid w:val="00642760"/>
    <w:rsid w:val="006439C7"/>
    <w:rsid w:val="006453A7"/>
    <w:rsid w:val="006464CD"/>
    <w:rsid w:val="006471F9"/>
    <w:rsid w:val="00647423"/>
    <w:rsid w:val="0064756E"/>
    <w:rsid w:val="00650199"/>
    <w:rsid w:val="00650DE1"/>
    <w:rsid w:val="00651684"/>
    <w:rsid w:val="0065194E"/>
    <w:rsid w:val="00660D90"/>
    <w:rsid w:val="0066447A"/>
    <w:rsid w:val="00667BEA"/>
    <w:rsid w:val="00667CB5"/>
    <w:rsid w:val="006717CA"/>
    <w:rsid w:val="00671FDE"/>
    <w:rsid w:val="00672348"/>
    <w:rsid w:val="00675EC0"/>
    <w:rsid w:val="0068030F"/>
    <w:rsid w:val="00681501"/>
    <w:rsid w:val="00681750"/>
    <w:rsid w:val="0068360E"/>
    <w:rsid w:val="00690894"/>
    <w:rsid w:val="006918F5"/>
    <w:rsid w:val="006931CF"/>
    <w:rsid w:val="00696FCF"/>
    <w:rsid w:val="006A1F09"/>
    <w:rsid w:val="006A28A6"/>
    <w:rsid w:val="006A7583"/>
    <w:rsid w:val="006A7EAB"/>
    <w:rsid w:val="006B26CB"/>
    <w:rsid w:val="006B2B5A"/>
    <w:rsid w:val="006C4DDE"/>
    <w:rsid w:val="006D2075"/>
    <w:rsid w:val="006D3A02"/>
    <w:rsid w:val="006D6BFF"/>
    <w:rsid w:val="006E024F"/>
    <w:rsid w:val="006E17F7"/>
    <w:rsid w:val="006E39A7"/>
    <w:rsid w:val="006E428C"/>
    <w:rsid w:val="006E4E81"/>
    <w:rsid w:val="006E5508"/>
    <w:rsid w:val="006F016B"/>
    <w:rsid w:val="006F0EBA"/>
    <w:rsid w:val="006F2D3A"/>
    <w:rsid w:val="006F38BC"/>
    <w:rsid w:val="006F3D65"/>
    <w:rsid w:val="006F401E"/>
    <w:rsid w:val="006F7C47"/>
    <w:rsid w:val="00700A92"/>
    <w:rsid w:val="00701B16"/>
    <w:rsid w:val="007029F8"/>
    <w:rsid w:val="007042A1"/>
    <w:rsid w:val="00705916"/>
    <w:rsid w:val="0070617B"/>
    <w:rsid w:val="00706B76"/>
    <w:rsid w:val="00707F7D"/>
    <w:rsid w:val="00711AF5"/>
    <w:rsid w:val="00712924"/>
    <w:rsid w:val="00717EC5"/>
    <w:rsid w:val="00720C71"/>
    <w:rsid w:val="00724DB5"/>
    <w:rsid w:val="00724DF1"/>
    <w:rsid w:val="0074323F"/>
    <w:rsid w:val="00746027"/>
    <w:rsid w:val="00746FAC"/>
    <w:rsid w:val="00747707"/>
    <w:rsid w:val="00747D42"/>
    <w:rsid w:val="00747ECC"/>
    <w:rsid w:val="0075058C"/>
    <w:rsid w:val="00751B3D"/>
    <w:rsid w:val="00754C20"/>
    <w:rsid w:val="007567D0"/>
    <w:rsid w:val="00756B70"/>
    <w:rsid w:val="00760124"/>
    <w:rsid w:val="00760DE0"/>
    <w:rsid w:val="00765873"/>
    <w:rsid w:val="00766030"/>
    <w:rsid w:val="007674A6"/>
    <w:rsid w:val="00770F10"/>
    <w:rsid w:val="00770F34"/>
    <w:rsid w:val="0077450F"/>
    <w:rsid w:val="007831D6"/>
    <w:rsid w:val="00786D7C"/>
    <w:rsid w:val="00786E65"/>
    <w:rsid w:val="00791EB5"/>
    <w:rsid w:val="007935FE"/>
    <w:rsid w:val="00795F3F"/>
    <w:rsid w:val="007A0CE9"/>
    <w:rsid w:val="007A2048"/>
    <w:rsid w:val="007A2F1F"/>
    <w:rsid w:val="007A57F2"/>
    <w:rsid w:val="007B0AAF"/>
    <w:rsid w:val="007B1333"/>
    <w:rsid w:val="007B3BC2"/>
    <w:rsid w:val="007B4AC7"/>
    <w:rsid w:val="007B5482"/>
    <w:rsid w:val="007B7475"/>
    <w:rsid w:val="007C3F83"/>
    <w:rsid w:val="007C435E"/>
    <w:rsid w:val="007C565C"/>
    <w:rsid w:val="007C6639"/>
    <w:rsid w:val="007D0A7E"/>
    <w:rsid w:val="007D44DD"/>
    <w:rsid w:val="007D58AD"/>
    <w:rsid w:val="007D624A"/>
    <w:rsid w:val="007D6F52"/>
    <w:rsid w:val="007D7C61"/>
    <w:rsid w:val="007E04BF"/>
    <w:rsid w:val="007E146B"/>
    <w:rsid w:val="007E15BD"/>
    <w:rsid w:val="007E3701"/>
    <w:rsid w:val="007E4054"/>
    <w:rsid w:val="007E5093"/>
    <w:rsid w:val="007E5A52"/>
    <w:rsid w:val="007F0C04"/>
    <w:rsid w:val="007F4AEB"/>
    <w:rsid w:val="007F4CBE"/>
    <w:rsid w:val="007F712A"/>
    <w:rsid w:val="007F75B2"/>
    <w:rsid w:val="007F77A8"/>
    <w:rsid w:val="007F7FF7"/>
    <w:rsid w:val="008000D3"/>
    <w:rsid w:val="00801CF8"/>
    <w:rsid w:val="00803993"/>
    <w:rsid w:val="008043C4"/>
    <w:rsid w:val="0080469D"/>
    <w:rsid w:val="00805BA6"/>
    <w:rsid w:val="00805EC2"/>
    <w:rsid w:val="0080678E"/>
    <w:rsid w:val="00811BF3"/>
    <w:rsid w:val="00815D15"/>
    <w:rsid w:val="0082286D"/>
    <w:rsid w:val="00823594"/>
    <w:rsid w:val="008252B9"/>
    <w:rsid w:val="008300E7"/>
    <w:rsid w:val="00830643"/>
    <w:rsid w:val="00830B43"/>
    <w:rsid w:val="00831B1B"/>
    <w:rsid w:val="008328F4"/>
    <w:rsid w:val="008337D4"/>
    <w:rsid w:val="008432DB"/>
    <w:rsid w:val="008459CB"/>
    <w:rsid w:val="00850C26"/>
    <w:rsid w:val="008521E7"/>
    <w:rsid w:val="00852F35"/>
    <w:rsid w:val="0085371B"/>
    <w:rsid w:val="00855FB3"/>
    <w:rsid w:val="0085684F"/>
    <w:rsid w:val="00860C3B"/>
    <w:rsid w:val="00861D0E"/>
    <w:rsid w:val="00864440"/>
    <w:rsid w:val="00865670"/>
    <w:rsid w:val="00865E5C"/>
    <w:rsid w:val="008662BB"/>
    <w:rsid w:val="00867569"/>
    <w:rsid w:val="00870A48"/>
    <w:rsid w:val="00875B18"/>
    <w:rsid w:val="0088315F"/>
    <w:rsid w:val="00883641"/>
    <w:rsid w:val="00884CF1"/>
    <w:rsid w:val="00885B92"/>
    <w:rsid w:val="008918E6"/>
    <w:rsid w:val="008A0350"/>
    <w:rsid w:val="008A15CC"/>
    <w:rsid w:val="008A2774"/>
    <w:rsid w:val="008A4103"/>
    <w:rsid w:val="008A5B79"/>
    <w:rsid w:val="008A5D3E"/>
    <w:rsid w:val="008A750A"/>
    <w:rsid w:val="008A7DB9"/>
    <w:rsid w:val="008B06BD"/>
    <w:rsid w:val="008B2A71"/>
    <w:rsid w:val="008B3970"/>
    <w:rsid w:val="008B4DC3"/>
    <w:rsid w:val="008B56F4"/>
    <w:rsid w:val="008B5BB1"/>
    <w:rsid w:val="008C384C"/>
    <w:rsid w:val="008C5D22"/>
    <w:rsid w:val="008C6D93"/>
    <w:rsid w:val="008D0F11"/>
    <w:rsid w:val="008D1041"/>
    <w:rsid w:val="008D51A6"/>
    <w:rsid w:val="008D5BB8"/>
    <w:rsid w:val="008D6662"/>
    <w:rsid w:val="008D7FDA"/>
    <w:rsid w:val="008E2407"/>
    <w:rsid w:val="008E4693"/>
    <w:rsid w:val="008E611F"/>
    <w:rsid w:val="008E728B"/>
    <w:rsid w:val="008E730C"/>
    <w:rsid w:val="008F202A"/>
    <w:rsid w:val="008F31E9"/>
    <w:rsid w:val="008F38CA"/>
    <w:rsid w:val="008F3E51"/>
    <w:rsid w:val="008F7147"/>
    <w:rsid w:val="008F73B4"/>
    <w:rsid w:val="0090040B"/>
    <w:rsid w:val="009005B6"/>
    <w:rsid w:val="0090694C"/>
    <w:rsid w:val="00906F17"/>
    <w:rsid w:val="00907835"/>
    <w:rsid w:val="00907D57"/>
    <w:rsid w:val="00910009"/>
    <w:rsid w:val="00915A3B"/>
    <w:rsid w:val="00917C75"/>
    <w:rsid w:val="009215CA"/>
    <w:rsid w:val="00923308"/>
    <w:rsid w:val="00923DFC"/>
    <w:rsid w:val="0092618C"/>
    <w:rsid w:val="00927342"/>
    <w:rsid w:val="00927EFE"/>
    <w:rsid w:val="0093024A"/>
    <w:rsid w:val="009336F8"/>
    <w:rsid w:val="009348DD"/>
    <w:rsid w:val="00935766"/>
    <w:rsid w:val="00936855"/>
    <w:rsid w:val="00944E30"/>
    <w:rsid w:val="00961DC3"/>
    <w:rsid w:val="00973340"/>
    <w:rsid w:val="00974B5D"/>
    <w:rsid w:val="00980300"/>
    <w:rsid w:val="009828B5"/>
    <w:rsid w:val="00982CA8"/>
    <w:rsid w:val="00985D92"/>
    <w:rsid w:val="00986CD1"/>
    <w:rsid w:val="00986DD7"/>
    <w:rsid w:val="00987ACA"/>
    <w:rsid w:val="00987EC2"/>
    <w:rsid w:val="009906E9"/>
    <w:rsid w:val="00990C86"/>
    <w:rsid w:val="00992F43"/>
    <w:rsid w:val="00993B13"/>
    <w:rsid w:val="00995ACC"/>
    <w:rsid w:val="00996553"/>
    <w:rsid w:val="009A10AD"/>
    <w:rsid w:val="009A498A"/>
    <w:rsid w:val="009A53E5"/>
    <w:rsid w:val="009B026E"/>
    <w:rsid w:val="009B55B1"/>
    <w:rsid w:val="009B5605"/>
    <w:rsid w:val="009C00B5"/>
    <w:rsid w:val="009C0C0B"/>
    <w:rsid w:val="009C406F"/>
    <w:rsid w:val="009C4851"/>
    <w:rsid w:val="009D402D"/>
    <w:rsid w:val="009D6FE4"/>
    <w:rsid w:val="009D7886"/>
    <w:rsid w:val="009E24AD"/>
    <w:rsid w:val="009E3E5F"/>
    <w:rsid w:val="009E4CD4"/>
    <w:rsid w:val="009E79CE"/>
    <w:rsid w:val="009F504E"/>
    <w:rsid w:val="00A02ED5"/>
    <w:rsid w:val="00A075A1"/>
    <w:rsid w:val="00A0762A"/>
    <w:rsid w:val="00A10D2A"/>
    <w:rsid w:val="00A11EBE"/>
    <w:rsid w:val="00A12EB7"/>
    <w:rsid w:val="00A132F9"/>
    <w:rsid w:val="00A15010"/>
    <w:rsid w:val="00A15D66"/>
    <w:rsid w:val="00A23729"/>
    <w:rsid w:val="00A25220"/>
    <w:rsid w:val="00A31589"/>
    <w:rsid w:val="00A32AB9"/>
    <w:rsid w:val="00A36CFE"/>
    <w:rsid w:val="00A4343D"/>
    <w:rsid w:val="00A4654F"/>
    <w:rsid w:val="00A502F1"/>
    <w:rsid w:val="00A537A1"/>
    <w:rsid w:val="00A544EE"/>
    <w:rsid w:val="00A60967"/>
    <w:rsid w:val="00A60B8B"/>
    <w:rsid w:val="00A66EAC"/>
    <w:rsid w:val="00A70A83"/>
    <w:rsid w:val="00A71AC2"/>
    <w:rsid w:val="00A73743"/>
    <w:rsid w:val="00A76D07"/>
    <w:rsid w:val="00A81EB3"/>
    <w:rsid w:val="00A86B4D"/>
    <w:rsid w:val="00A86C04"/>
    <w:rsid w:val="00A927E3"/>
    <w:rsid w:val="00A933D9"/>
    <w:rsid w:val="00A93792"/>
    <w:rsid w:val="00A93DE1"/>
    <w:rsid w:val="00A94701"/>
    <w:rsid w:val="00A94B28"/>
    <w:rsid w:val="00A94DBA"/>
    <w:rsid w:val="00A962AF"/>
    <w:rsid w:val="00AA1517"/>
    <w:rsid w:val="00AA28C8"/>
    <w:rsid w:val="00AA3AE0"/>
    <w:rsid w:val="00AA4564"/>
    <w:rsid w:val="00AA502D"/>
    <w:rsid w:val="00AA5204"/>
    <w:rsid w:val="00AA55EC"/>
    <w:rsid w:val="00AA6667"/>
    <w:rsid w:val="00AA66CB"/>
    <w:rsid w:val="00AB0B98"/>
    <w:rsid w:val="00AB2FE3"/>
    <w:rsid w:val="00AB33D0"/>
    <w:rsid w:val="00AB3410"/>
    <w:rsid w:val="00AC2B13"/>
    <w:rsid w:val="00AC2E71"/>
    <w:rsid w:val="00AC58B3"/>
    <w:rsid w:val="00AC6377"/>
    <w:rsid w:val="00AC7B4C"/>
    <w:rsid w:val="00AC7D51"/>
    <w:rsid w:val="00AD048F"/>
    <w:rsid w:val="00AD1D04"/>
    <w:rsid w:val="00AD23DF"/>
    <w:rsid w:val="00AD3DFB"/>
    <w:rsid w:val="00AD450F"/>
    <w:rsid w:val="00AD4CD4"/>
    <w:rsid w:val="00AD5011"/>
    <w:rsid w:val="00AD7C66"/>
    <w:rsid w:val="00AE1C96"/>
    <w:rsid w:val="00AE22E0"/>
    <w:rsid w:val="00AE2F0C"/>
    <w:rsid w:val="00AE305A"/>
    <w:rsid w:val="00AE3EE0"/>
    <w:rsid w:val="00AE6907"/>
    <w:rsid w:val="00AE6B3D"/>
    <w:rsid w:val="00AE7FAA"/>
    <w:rsid w:val="00AF1501"/>
    <w:rsid w:val="00AF20B3"/>
    <w:rsid w:val="00AF42B6"/>
    <w:rsid w:val="00AF52E4"/>
    <w:rsid w:val="00AF5FB5"/>
    <w:rsid w:val="00B00C1D"/>
    <w:rsid w:val="00B01D58"/>
    <w:rsid w:val="00B02305"/>
    <w:rsid w:val="00B06A45"/>
    <w:rsid w:val="00B1297F"/>
    <w:rsid w:val="00B1628A"/>
    <w:rsid w:val="00B16834"/>
    <w:rsid w:val="00B16E69"/>
    <w:rsid w:val="00B237A0"/>
    <w:rsid w:val="00B253C8"/>
    <w:rsid w:val="00B301BF"/>
    <w:rsid w:val="00B30687"/>
    <w:rsid w:val="00B31B71"/>
    <w:rsid w:val="00B3245E"/>
    <w:rsid w:val="00B330E1"/>
    <w:rsid w:val="00B35C47"/>
    <w:rsid w:val="00B3711F"/>
    <w:rsid w:val="00B40051"/>
    <w:rsid w:val="00B46BFE"/>
    <w:rsid w:val="00B476AC"/>
    <w:rsid w:val="00B5095F"/>
    <w:rsid w:val="00B55375"/>
    <w:rsid w:val="00B56382"/>
    <w:rsid w:val="00B57F6E"/>
    <w:rsid w:val="00B632CC"/>
    <w:rsid w:val="00B67757"/>
    <w:rsid w:val="00B70E16"/>
    <w:rsid w:val="00B7682C"/>
    <w:rsid w:val="00B7752A"/>
    <w:rsid w:val="00B77751"/>
    <w:rsid w:val="00B81175"/>
    <w:rsid w:val="00B85D5E"/>
    <w:rsid w:val="00B86033"/>
    <w:rsid w:val="00B87161"/>
    <w:rsid w:val="00B906F2"/>
    <w:rsid w:val="00B928C6"/>
    <w:rsid w:val="00B93C73"/>
    <w:rsid w:val="00B973E6"/>
    <w:rsid w:val="00B97B4A"/>
    <w:rsid w:val="00BA0154"/>
    <w:rsid w:val="00BA12F1"/>
    <w:rsid w:val="00BA2105"/>
    <w:rsid w:val="00BA33CC"/>
    <w:rsid w:val="00BA439F"/>
    <w:rsid w:val="00BA6370"/>
    <w:rsid w:val="00BA74EC"/>
    <w:rsid w:val="00BB2C9A"/>
    <w:rsid w:val="00BB58B7"/>
    <w:rsid w:val="00BB7C9E"/>
    <w:rsid w:val="00BC0239"/>
    <w:rsid w:val="00BD0E52"/>
    <w:rsid w:val="00BD39ED"/>
    <w:rsid w:val="00BD66E4"/>
    <w:rsid w:val="00BE072E"/>
    <w:rsid w:val="00BE0B11"/>
    <w:rsid w:val="00BE1471"/>
    <w:rsid w:val="00BF005D"/>
    <w:rsid w:val="00BF02C9"/>
    <w:rsid w:val="00BF267C"/>
    <w:rsid w:val="00BF41B9"/>
    <w:rsid w:val="00BF65E6"/>
    <w:rsid w:val="00BF6C41"/>
    <w:rsid w:val="00C05C53"/>
    <w:rsid w:val="00C064EE"/>
    <w:rsid w:val="00C0653F"/>
    <w:rsid w:val="00C11FAD"/>
    <w:rsid w:val="00C130BD"/>
    <w:rsid w:val="00C135E6"/>
    <w:rsid w:val="00C14348"/>
    <w:rsid w:val="00C14354"/>
    <w:rsid w:val="00C1677B"/>
    <w:rsid w:val="00C20061"/>
    <w:rsid w:val="00C2585D"/>
    <w:rsid w:val="00C269D4"/>
    <w:rsid w:val="00C275B3"/>
    <w:rsid w:val="00C33E70"/>
    <w:rsid w:val="00C34E87"/>
    <w:rsid w:val="00C3546B"/>
    <w:rsid w:val="00C37ADB"/>
    <w:rsid w:val="00C37BA9"/>
    <w:rsid w:val="00C4160D"/>
    <w:rsid w:val="00C45D98"/>
    <w:rsid w:val="00C477F8"/>
    <w:rsid w:val="00C5527B"/>
    <w:rsid w:val="00C55D6B"/>
    <w:rsid w:val="00C572F8"/>
    <w:rsid w:val="00C57D09"/>
    <w:rsid w:val="00C60D47"/>
    <w:rsid w:val="00C65A6E"/>
    <w:rsid w:val="00C65A74"/>
    <w:rsid w:val="00C677E8"/>
    <w:rsid w:val="00C74AF6"/>
    <w:rsid w:val="00C762BD"/>
    <w:rsid w:val="00C8406E"/>
    <w:rsid w:val="00C86548"/>
    <w:rsid w:val="00C87D1B"/>
    <w:rsid w:val="00C9073E"/>
    <w:rsid w:val="00CA2B5C"/>
    <w:rsid w:val="00CA679D"/>
    <w:rsid w:val="00CB2709"/>
    <w:rsid w:val="00CB2EC7"/>
    <w:rsid w:val="00CB38F2"/>
    <w:rsid w:val="00CB3C8F"/>
    <w:rsid w:val="00CB4991"/>
    <w:rsid w:val="00CB4EDA"/>
    <w:rsid w:val="00CB6F89"/>
    <w:rsid w:val="00CC08DF"/>
    <w:rsid w:val="00CC0AE9"/>
    <w:rsid w:val="00CC3372"/>
    <w:rsid w:val="00CC40D4"/>
    <w:rsid w:val="00CC50BB"/>
    <w:rsid w:val="00CC6422"/>
    <w:rsid w:val="00CD1B68"/>
    <w:rsid w:val="00CD21CC"/>
    <w:rsid w:val="00CD4356"/>
    <w:rsid w:val="00CD4F83"/>
    <w:rsid w:val="00CD5351"/>
    <w:rsid w:val="00CD74CC"/>
    <w:rsid w:val="00CE0B66"/>
    <w:rsid w:val="00CE18AC"/>
    <w:rsid w:val="00CE228C"/>
    <w:rsid w:val="00CE5BC2"/>
    <w:rsid w:val="00CE61B7"/>
    <w:rsid w:val="00CE669C"/>
    <w:rsid w:val="00CE6D97"/>
    <w:rsid w:val="00CE71D9"/>
    <w:rsid w:val="00CF0DC5"/>
    <w:rsid w:val="00CF138C"/>
    <w:rsid w:val="00CF5155"/>
    <w:rsid w:val="00CF545B"/>
    <w:rsid w:val="00CF713A"/>
    <w:rsid w:val="00D118F4"/>
    <w:rsid w:val="00D14350"/>
    <w:rsid w:val="00D17C22"/>
    <w:rsid w:val="00D208F1"/>
    <w:rsid w:val="00D209A7"/>
    <w:rsid w:val="00D20C62"/>
    <w:rsid w:val="00D21645"/>
    <w:rsid w:val="00D21EE4"/>
    <w:rsid w:val="00D2215D"/>
    <w:rsid w:val="00D22EA9"/>
    <w:rsid w:val="00D2309A"/>
    <w:rsid w:val="00D2337C"/>
    <w:rsid w:val="00D265C7"/>
    <w:rsid w:val="00D26911"/>
    <w:rsid w:val="00D27D69"/>
    <w:rsid w:val="00D302FA"/>
    <w:rsid w:val="00D30C9F"/>
    <w:rsid w:val="00D31739"/>
    <w:rsid w:val="00D31861"/>
    <w:rsid w:val="00D33658"/>
    <w:rsid w:val="00D34C7D"/>
    <w:rsid w:val="00D448C2"/>
    <w:rsid w:val="00D44BFF"/>
    <w:rsid w:val="00D45C5D"/>
    <w:rsid w:val="00D513B7"/>
    <w:rsid w:val="00D52D0D"/>
    <w:rsid w:val="00D612A1"/>
    <w:rsid w:val="00D62A50"/>
    <w:rsid w:val="00D666C3"/>
    <w:rsid w:val="00D74B3D"/>
    <w:rsid w:val="00D76AA3"/>
    <w:rsid w:val="00D77FB9"/>
    <w:rsid w:val="00D818E8"/>
    <w:rsid w:val="00D86B7D"/>
    <w:rsid w:val="00D87CE7"/>
    <w:rsid w:val="00D914A9"/>
    <w:rsid w:val="00D9189F"/>
    <w:rsid w:val="00D93AC9"/>
    <w:rsid w:val="00D95B91"/>
    <w:rsid w:val="00DA6CD7"/>
    <w:rsid w:val="00DA7EEB"/>
    <w:rsid w:val="00DB1E23"/>
    <w:rsid w:val="00DB27DA"/>
    <w:rsid w:val="00DB33D4"/>
    <w:rsid w:val="00DB3D52"/>
    <w:rsid w:val="00DB5168"/>
    <w:rsid w:val="00DB5A1D"/>
    <w:rsid w:val="00DB67B3"/>
    <w:rsid w:val="00DB7DDE"/>
    <w:rsid w:val="00DC1C8F"/>
    <w:rsid w:val="00DC368D"/>
    <w:rsid w:val="00DD2AC3"/>
    <w:rsid w:val="00DD43D0"/>
    <w:rsid w:val="00DD56E4"/>
    <w:rsid w:val="00DE4D61"/>
    <w:rsid w:val="00DE5999"/>
    <w:rsid w:val="00DE6A49"/>
    <w:rsid w:val="00DE6B23"/>
    <w:rsid w:val="00DF01C8"/>
    <w:rsid w:val="00DF14D2"/>
    <w:rsid w:val="00DF1570"/>
    <w:rsid w:val="00DF1723"/>
    <w:rsid w:val="00DF1DBF"/>
    <w:rsid w:val="00DF20AA"/>
    <w:rsid w:val="00DF2A26"/>
    <w:rsid w:val="00DF47FE"/>
    <w:rsid w:val="00DF50CE"/>
    <w:rsid w:val="00E00AFE"/>
    <w:rsid w:val="00E0156A"/>
    <w:rsid w:val="00E028D9"/>
    <w:rsid w:val="00E07496"/>
    <w:rsid w:val="00E12E8F"/>
    <w:rsid w:val="00E14573"/>
    <w:rsid w:val="00E16796"/>
    <w:rsid w:val="00E16F11"/>
    <w:rsid w:val="00E17D7B"/>
    <w:rsid w:val="00E225DE"/>
    <w:rsid w:val="00E22A62"/>
    <w:rsid w:val="00E25A9C"/>
    <w:rsid w:val="00E26704"/>
    <w:rsid w:val="00E27421"/>
    <w:rsid w:val="00E30385"/>
    <w:rsid w:val="00E30E72"/>
    <w:rsid w:val="00E31980"/>
    <w:rsid w:val="00E3211D"/>
    <w:rsid w:val="00E36376"/>
    <w:rsid w:val="00E37097"/>
    <w:rsid w:val="00E42E85"/>
    <w:rsid w:val="00E4384E"/>
    <w:rsid w:val="00E45130"/>
    <w:rsid w:val="00E5536A"/>
    <w:rsid w:val="00E61C81"/>
    <w:rsid w:val="00E63083"/>
    <w:rsid w:val="00E6423C"/>
    <w:rsid w:val="00E6431E"/>
    <w:rsid w:val="00E706EA"/>
    <w:rsid w:val="00E7255A"/>
    <w:rsid w:val="00E72D7F"/>
    <w:rsid w:val="00E736BE"/>
    <w:rsid w:val="00E74394"/>
    <w:rsid w:val="00E74FAA"/>
    <w:rsid w:val="00E7762D"/>
    <w:rsid w:val="00E82994"/>
    <w:rsid w:val="00E862E2"/>
    <w:rsid w:val="00E864EB"/>
    <w:rsid w:val="00E92B87"/>
    <w:rsid w:val="00E92D16"/>
    <w:rsid w:val="00E935E1"/>
    <w:rsid w:val="00E93715"/>
    <w:rsid w:val="00E93830"/>
    <w:rsid w:val="00E93E0E"/>
    <w:rsid w:val="00E96CC6"/>
    <w:rsid w:val="00EA08B8"/>
    <w:rsid w:val="00EA2DE9"/>
    <w:rsid w:val="00EA4685"/>
    <w:rsid w:val="00EA4D69"/>
    <w:rsid w:val="00EA6EDB"/>
    <w:rsid w:val="00EB1DDA"/>
    <w:rsid w:val="00EB1ED3"/>
    <w:rsid w:val="00EB44BC"/>
    <w:rsid w:val="00EB6243"/>
    <w:rsid w:val="00EB65CF"/>
    <w:rsid w:val="00EC4357"/>
    <w:rsid w:val="00EC68A4"/>
    <w:rsid w:val="00ED1573"/>
    <w:rsid w:val="00ED1C79"/>
    <w:rsid w:val="00ED5CEB"/>
    <w:rsid w:val="00EE06E6"/>
    <w:rsid w:val="00EE2530"/>
    <w:rsid w:val="00EE2655"/>
    <w:rsid w:val="00EE43EB"/>
    <w:rsid w:val="00EE7A31"/>
    <w:rsid w:val="00EF2155"/>
    <w:rsid w:val="00EF24E8"/>
    <w:rsid w:val="00EF38A3"/>
    <w:rsid w:val="00EF3BAA"/>
    <w:rsid w:val="00EF5A70"/>
    <w:rsid w:val="00EF7CD7"/>
    <w:rsid w:val="00F015E2"/>
    <w:rsid w:val="00F02061"/>
    <w:rsid w:val="00F05CCF"/>
    <w:rsid w:val="00F069BA"/>
    <w:rsid w:val="00F07627"/>
    <w:rsid w:val="00F100EB"/>
    <w:rsid w:val="00F1097A"/>
    <w:rsid w:val="00F158FD"/>
    <w:rsid w:val="00F20640"/>
    <w:rsid w:val="00F214B3"/>
    <w:rsid w:val="00F21F23"/>
    <w:rsid w:val="00F221D2"/>
    <w:rsid w:val="00F26538"/>
    <w:rsid w:val="00F26CDA"/>
    <w:rsid w:val="00F34F99"/>
    <w:rsid w:val="00F376C1"/>
    <w:rsid w:val="00F45BA6"/>
    <w:rsid w:val="00F520C7"/>
    <w:rsid w:val="00F54B6E"/>
    <w:rsid w:val="00F54EB0"/>
    <w:rsid w:val="00F55F6C"/>
    <w:rsid w:val="00F57EA8"/>
    <w:rsid w:val="00F605BD"/>
    <w:rsid w:val="00F64D73"/>
    <w:rsid w:val="00F66212"/>
    <w:rsid w:val="00F710BC"/>
    <w:rsid w:val="00F75711"/>
    <w:rsid w:val="00F75BD5"/>
    <w:rsid w:val="00F75F2A"/>
    <w:rsid w:val="00F76265"/>
    <w:rsid w:val="00F829FF"/>
    <w:rsid w:val="00F83F8C"/>
    <w:rsid w:val="00F927B5"/>
    <w:rsid w:val="00F94F2F"/>
    <w:rsid w:val="00FA1B2C"/>
    <w:rsid w:val="00FA3792"/>
    <w:rsid w:val="00FA5B92"/>
    <w:rsid w:val="00FB1DDD"/>
    <w:rsid w:val="00FB249A"/>
    <w:rsid w:val="00FB687C"/>
    <w:rsid w:val="00FC25C8"/>
    <w:rsid w:val="00FC39BC"/>
    <w:rsid w:val="00FC39DA"/>
    <w:rsid w:val="00FC3C67"/>
    <w:rsid w:val="00FD4320"/>
    <w:rsid w:val="00FE404D"/>
    <w:rsid w:val="00FE54BE"/>
    <w:rsid w:val="00FE5C90"/>
    <w:rsid w:val="00FE6980"/>
    <w:rsid w:val="00FF18D0"/>
    <w:rsid w:val="00FF375B"/>
    <w:rsid w:val="00FF3DC0"/>
    <w:rsid w:val="00FF5B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helena.houzvickova@czs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apl.czso.cz/pll/rocenka/rocenkavyber.kvart_qs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.czso.cz/pll/rocenka/rocenka.indexnu_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4Q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4Q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4Q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graf!$X$2:$AF$2</c:f>
              <c:strCache>
                <c:ptCount val="9"/>
                <c:pt idx="0">
                  <c:v>4.Q 2021</c:v>
                </c:pt>
                <c:pt idx="1">
                  <c:v>1.Q 2022</c:v>
                </c:pt>
                <c:pt idx="2">
                  <c:v>2.Q 2022</c:v>
                </c:pt>
                <c:pt idx="3">
                  <c:v>3.Q 2022</c:v>
                </c:pt>
                <c:pt idx="4">
                  <c:v>4.Q 2022</c:v>
                </c:pt>
                <c:pt idx="5">
                  <c:v>1.Q 2023</c:v>
                </c:pt>
                <c:pt idx="6">
                  <c:v>2.Q 2023</c:v>
                </c:pt>
                <c:pt idx="7">
                  <c:v>3.Q 2023</c:v>
                </c:pt>
                <c:pt idx="8">
                  <c:v>4.Q 2023</c:v>
                </c:pt>
              </c:strCache>
            </c:strRef>
          </c:cat>
          <c:val>
            <c:numRef>
              <c:f>graf!$X$3:$AF$3</c:f>
              <c:numCache>
                <c:formatCode>#,##0</c:formatCode>
                <c:ptCount val="9"/>
                <c:pt idx="0">
                  <c:v>2566.7310000000002</c:v>
                </c:pt>
                <c:pt idx="1">
                  <c:v>2684.1289999999999</c:v>
                </c:pt>
                <c:pt idx="2">
                  <c:v>2793.64</c:v>
                </c:pt>
                <c:pt idx="3">
                  <c:v>2983.2779999999998</c:v>
                </c:pt>
                <c:pt idx="4">
                  <c:v>2997.6149999999998</c:v>
                </c:pt>
                <c:pt idx="5">
                  <c:v>3099.4389999999999</c:v>
                </c:pt>
                <c:pt idx="6">
                  <c:v>3150.7220000000002</c:v>
                </c:pt>
                <c:pt idx="7">
                  <c:v>3214.04</c:v>
                </c:pt>
                <c:pt idx="8">
                  <c:v>3228.3710000000001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9-448C-94CB-71E7B311C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graf!$X$2:$AF$2</c:f>
              <c:strCache>
                <c:ptCount val="9"/>
                <c:pt idx="0">
                  <c:v>4.Q 2021</c:v>
                </c:pt>
                <c:pt idx="1">
                  <c:v>1.Q 2022</c:v>
                </c:pt>
                <c:pt idx="2">
                  <c:v>2.Q 2022</c:v>
                </c:pt>
                <c:pt idx="3">
                  <c:v>3.Q 2022</c:v>
                </c:pt>
                <c:pt idx="4">
                  <c:v>4.Q 2022</c:v>
                </c:pt>
                <c:pt idx="5">
                  <c:v>1.Q 2023</c:v>
                </c:pt>
                <c:pt idx="6">
                  <c:v>2.Q 2023</c:v>
                </c:pt>
                <c:pt idx="7">
                  <c:v>3.Q 2023</c:v>
                </c:pt>
                <c:pt idx="8">
                  <c:v>4.Q 2023</c:v>
                </c:pt>
              </c:strCache>
            </c:strRef>
          </c:xVal>
          <c:yVal>
            <c:numRef>
              <c:f>graf!$X$4:$AF$4</c:f>
              <c:numCache>
                <c:formatCode>0.0</c:formatCode>
                <c:ptCount val="9"/>
                <c:pt idx="0">
                  <c:v>42</c:v>
                </c:pt>
                <c:pt idx="1">
                  <c:v>42.83</c:v>
                </c:pt>
                <c:pt idx="2">
                  <c:v>43.47</c:v>
                </c:pt>
                <c:pt idx="3">
                  <c:v>45.2</c:v>
                </c:pt>
                <c:pt idx="4">
                  <c:v>44.17</c:v>
                </c:pt>
                <c:pt idx="5">
                  <c:v>44.5</c:v>
                </c:pt>
                <c:pt idx="6">
                  <c:v>44.25</c:v>
                </c:pt>
                <c:pt idx="7">
                  <c:v>44.4</c:v>
                </c:pt>
                <c:pt idx="8">
                  <c:v>43.96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E39-448C-94CB-71E7B311C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5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aseline="0">
                <a:solidFill>
                  <a:sysClr val="windowText" lastClr="000000"/>
                </a:solidFill>
              </a:rPr>
              <a:t>Meziroční relativní změna zadlužení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327443169977992"/>
          <c:y val="0.17835633326795464"/>
          <c:w val="0.85717001152802641"/>
          <c:h val="0.60008852633563825"/>
        </c:manualLayout>
      </c:layout>
      <c:barChart>
        <c:barDir val="col"/>
        <c:grouping val="stacked"/>
        <c:varyColors val="0"/>
        <c:ser>
          <c:idx val="2"/>
          <c:order val="1"/>
          <c:tx>
            <c:strRef>
              <c:f>dluh!$B$19</c:f>
              <c:strCache>
                <c:ptCount val="1"/>
                <c:pt idx="0">
                  <c:v>vliv změny HDP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dluh!$CQ$3:$CY$3</c:f>
              <c:strCache>
                <c:ptCount val="9"/>
                <c:pt idx="0">
                  <c:v>4.Q 2021</c:v>
                </c:pt>
                <c:pt idx="1">
                  <c:v>1.Q 2022</c:v>
                </c:pt>
                <c:pt idx="2">
                  <c:v>2.Q 2022</c:v>
                </c:pt>
                <c:pt idx="3">
                  <c:v>3.Q 2022</c:v>
                </c:pt>
                <c:pt idx="4">
                  <c:v>4.Q 2022</c:v>
                </c:pt>
                <c:pt idx="5">
                  <c:v>1.Q 2023</c:v>
                </c:pt>
                <c:pt idx="6">
                  <c:v>2.Q 2023</c:v>
                </c:pt>
                <c:pt idx="7">
                  <c:v>3.Q 2023</c:v>
                </c:pt>
                <c:pt idx="8">
                  <c:v>4.Q 2023</c:v>
                </c:pt>
              </c:strCache>
            </c:strRef>
          </c:cat>
          <c:val>
            <c:numRef>
              <c:f>dluh!$CQ$19:$CY$19</c:f>
              <c:numCache>
                <c:formatCode>0.0</c:formatCode>
                <c:ptCount val="9"/>
                <c:pt idx="0">
                  <c:v>-2.5073073282000138</c:v>
                </c:pt>
                <c:pt idx="1">
                  <c:v>-3.8117874468391548</c:v>
                </c:pt>
                <c:pt idx="2">
                  <c:v>-3.4290865015698415</c:v>
                </c:pt>
                <c:pt idx="3">
                  <c:v>-3.5524240417309159</c:v>
                </c:pt>
                <c:pt idx="4">
                  <c:v>-4.1802184317600393</c:v>
                </c:pt>
                <c:pt idx="5">
                  <c:v>-4.2777641084630744</c:v>
                </c:pt>
                <c:pt idx="6">
                  <c:v>-4.2402855936037156</c:v>
                </c:pt>
                <c:pt idx="7">
                  <c:v>-3.9534727224512594</c:v>
                </c:pt>
                <c:pt idx="8">
                  <c:v>-3.353831511327158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58-4ED3-AEFA-9B2B65176221}"/>
            </c:ext>
          </c:extLst>
        </c:ser>
        <c:ser>
          <c:idx val="3"/>
          <c:order val="2"/>
          <c:tx>
            <c:strRef>
              <c:f>dluh!$B$20</c:f>
              <c:strCache>
                <c:ptCount val="1"/>
                <c:pt idx="0">
                  <c:v>vliv změny dluhu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dluh!$CQ$3:$CY$3</c:f>
              <c:strCache>
                <c:ptCount val="9"/>
                <c:pt idx="0">
                  <c:v>4.Q 2021</c:v>
                </c:pt>
                <c:pt idx="1">
                  <c:v>1.Q 2022</c:v>
                </c:pt>
                <c:pt idx="2">
                  <c:v>2.Q 2022</c:v>
                </c:pt>
                <c:pt idx="3">
                  <c:v>3.Q 2022</c:v>
                </c:pt>
                <c:pt idx="4">
                  <c:v>4.Q 2022</c:v>
                </c:pt>
                <c:pt idx="5">
                  <c:v>1.Q 2023</c:v>
                </c:pt>
                <c:pt idx="6">
                  <c:v>2.Q 2023</c:v>
                </c:pt>
                <c:pt idx="7">
                  <c:v>3.Q 2023</c:v>
                </c:pt>
                <c:pt idx="8">
                  <c:v>4.Q 2023</c:v>
                </c:pt>
              </c:strCache>
            </c:strRef>
          </c:cat>
          <c:val>
            <c:numRef>
              <c:f>dluh!$CQ$20:$CY$20</c:f>
              <c:numCache>
                <c:formatCode>0.0</c:formatCode>
                <c:ptCount val="9"/>
                <c:pt idx="0">
                  <c:v>6.8073073282000136</c:v>
                </c:pt>
                <c:pt idx="1">
                  <c:v>2.7117874468391547</c:v>
                </c:pt>
                <c:pt idx="2">
                  <c:v>4.3290865015698419</c:v>
                </c:pt>
                <c:pt idx="3">
                  <c:v>8.3524240417309166</c:v>
                </c:pt>
                <c:pt idx="4">
                  <c:v>6.3802184317600394</c:v>
                </c:pt>
                <c:pt idx="5">
                  <c:v>5.9777641084630746</c:v>
                </c:pt>
                <c:pt idx="6">
                  <c:v>5.0402855936037154</c:v>
                </c:pt>
                <c:pt idx="7">
                  <c:v>3.1534727224512595</c:v>
                </c:pt>
                <c:pt idx="8">
                  <c:v>3.1538315113271578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58-4ED3-AEFA-9B2B65176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15520352"/>
        <c:axId val="1515512032"/>
      </c:barChart>
      <c:scatterChart>
        <c:scatterStyle val="lineMarker"/>
        <c:varyColors val="0"/>
        <c:ser>
          <c:idx val="1"/>
          <c:order val="0"/>
          <c:tx>
            <c:strRef>
              <c:f>dluh!$B$18</c:f>
              <c:strCache>
                <c:ptCount val="1"/>
                <c:pt idx="0">
                  <c:v>celková změna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25400">
                  <a:solidFill>
                    <a:srgbClr val="FF0000"/>
                  </a:solidFill>
                </a:ln>
                <a:effectLst>
                  <a:outerShdw blurRad="88900" dist="76200" dir="8400000" sx="103000" sy="103000" algn="ctr" rotWithShape="0">
                    <a:srgbClr val="000000">
                      <a:alpha val="43137"/>
                    </a:srgbClr>
                  </a:outerShdw>
                </a:effectLst>
              </c:spPr>
            </c:marker>
            <c:bubble3D val="0"/>
            <c:spPr>
              <a:ln w="25400" cap="rnd">
                <a:noFill/>
                <a:round/>
              </a:ln>
              <a:effectLst>
                <a:outerShdw blurRad="88900" dist="76200" dir="8400000" sx="103000" sy="103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B58-4ED3-AEFA-9B2B65176221}"/>
              </c:ext>
            </c:extLst>
          </c:dPt>
          <c:dLbls>
            <c:dLbl>
              <c:idx val="0"/>
              <c:layout>
                <c:manualLayout>
                  <c:x val="-3.1758468455789217E-2"/>
                  <c:y val="6.7173678142497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B58-4ED3-AEFA-9B2B65176221}"/>
                </c:ext>
              </c:extLst>
            </c:dLbl>
            <c:dLbl>
              <c:idx val="1"/>
              <c:layout>
                <c:manualLayout>
                  <c:x val="-3.5823623528714599E-2"/>
                  <c:y val="7.100211455839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B58-4ED3-AEFA-9B2B65176221}"/>
                </c:ext>
              </c:extLst>
            </c:dLbl>
            <c:dLbl>
              <c:idx val="2"/>
              <c:layout>
                <c:manualLayout>
                  <c:x val="-3.3176791283027536E-2"/>
                  <c:y val="8.8763888099017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B58-4ED3-AEFA-9B2B65176221}"/>
                </c:ext>
              </c:extLst>
            </c:dLbl>
            <c:dLbl>
              <c:idx val="3"/>
              <c:layout>
                <c:manualLayout>
                  <c:x val="-3.3674009822149555E-2"/>
                  <c:y val="7.5809245118161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B58-4ED3-AEFA-9B2B65176221}"/>
                </c:ext>
              </c:extLst>
            </c:dLbl>
            <c:dLbl>
              <c:idx val="4"/>
              <c:layout>
                <c:manualLayout>
                  <c:x val="-3.5753253679602456E-2"/>
                  <c:y val="6.8775882660104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B58-4ED3-AEFA-9B2B65176221}"/>
                </c:ext>
              </c:extLst>
            </c:dLbl>
            <c:dLbl>
              <c:idx val="5"/>
              <c:layout>
                <c:manualLayout>
                  <c:x val="-3.3188643047088628E-2"/>
                  <c:y val="7.7657027933885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B58-4ED3-AEFA-9B2B65176221}"/>
                </c:ext>
              </c:extLst>
            </c:dLbl>
            <c:dLbl>
              <c:idx val="6"/>
              <c:layout>
                <c:manualLayout>
                  <c:x val="-3.4483633454567092E-2"/>
                  <c:y val="9.0032106131185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B58-4ED3-AEFA-9B2B65176221}"/>
                </c:ext>
              </c:extLst>
            </c:dLbl>
            <c:dLbl>
              <c:idx val="7"/>
              <c:layout>
                <c:manualLayout>
                  <c:x val="-3.9465633587899347E-2"/>
                  <c:y val="6.4525051571442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B58-4ED3-AEFA-9B2B65176221}"/>
                </c:ext>
              </c:extLst>
            </c:dLbl>
            <c:dLbl>
              <c:idx val="8"/>
              <c:layout>
                <c:manualLayout>
                  <c:x val="-3.8400085925289616E-2"/>
                  <c:y val="8.8473847203767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B58-4ED3-AEFA-9B2B651762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yVal>
            <c:numRef>
              <c:f>dluh!$CQ$18:$CY$18</c:f>
              <c:numCache>
                <c:formatCode>0.0</c:formatCode>
                <c:ptCount val="9"/>
                <c:pt idx="0">
                  <c:v>4.3</c:v>
                </c:pt>
                <c:pt idx="1">
                  <c:v>-1.1000000000000001</c:v>
                </c:pt>
                <c:pt idx="2">
                  <c:v>0.9</c:v>
                </c:pt>
                <c:pt idx="3">
                  <c:v>4.8</c:v>
                </c:pt>
                <c:pt idx="4">
                  <c:v>2.2000000000000002</c:v>
                </c:pt>
                <c:pt idx="5">
                  <c:v>1.7</c:v>
                </c:pt>
                <c:pt idx="6">
                  <c:v>0.8</c:v>
                </c:pt>
                <c:pt idx="7">
                  <c:v>-0.8</c:v>
                </c:pt>
                <c:pt idx="8">
                  <c:v>-0.2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8B58-4ED3-AEFA-9B2B65176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520352"/>
        <c:axId val="1515512032"/>
      </c:scatterChart>
      <c:catAx>
        <c:axId val="151552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12032"/>
        <c:crosses val="autoZero"/>
        <c:auto val="1"/>
        <c:lblAlgn val="ctr"/>
        <c:lblOffset val="100"/>
        <c:noMultiLvlLbl val="0"/>
      </c:catAx>
      <c:valAx>
        <c:axId val="15155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aseline="0">
                    <a:solidFill>
                      <a:sysClr val="windowText" lastClr="000000"/>
                    </a:solidFill>
                  </a:rPr>
                  <a:t>p. b.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3.9331753660506064E-2"/>
          <c:w val="0.90350569010863835"/>
          <c:h val="0.93476979790929948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237534805866178E-2"/>
                  <c:y val="5.749403514505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F90-4155-A207-415A3D063BF6}"/>
                </c:ext>
              </c:extLst>
            </c:dLbl>
            <c:dLbl>
              <c:idx val="1"/>
              <c:layout>
                <c:manualLayout>
                  <c:x val="-3.6903059977333501E-2"/>
                  <c:y val="7.5803276606553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F90-4155-A207-415A3D063BF6}"/>
                </c:ext>
              </c:extLst>
            </c:dLbl>
            <c:dLbl>
              <c:idx val="2"/>
              <c:layout>
                <c:manualLayout>
                  <c:x val="-6.1310842141910057E-2"/>
                  <c:y val="7.6574273981881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F90-4155-A207-415A3D063BF6}"/>
                </c:ext>
              </c:extLst>
            </c:dLbl>
            <c:dLbl>
              <c:idx val="3"/>
              <c:layout>
                <c:manualLayout>
                  <c:x val="-4.1710987326019806E-2"/>
                  <c:y val="-8.02477690288715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591277101651096E-2"/>
                      <c:h val="0.113536482939632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F90-4155-A207-415A3D063BF6}"/>
                </c:ext>
              </c:extLst>
            </c:dLbl>
            <c:dLbl>
              <c:idx val="4"/>
              <c:layout>
                <c:manualLayout>
                  <c:x val="-4.0543790473679377E-2"/>
                  <c:y val="5.4342601548602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F90-4155-A207-415A3D063BF6}"/>
                </c:ext>
              </c:extLst>
            </c:dLbl>
            <c:dLbl>
              <c:idx val="5"/>
              <c:layout>
                <c:manualLayout>
                  <c:x val="-3.3840610106385026E-2"/>
                  <c:y val="6.278765846749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F90-4155-A207-415A3D063BF6}"/>
                </c:ext>
              </c:extLst>
            </c:dLbl>
            <c:dLbl>
              <c:idx val="6"/>
              <c:layout>
                <c:manualLayout>
                  <c:x val="-3.20425700212131E-2"/>
                  <c:y val="6.7087557725690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F90-4155-A207-415A3D063BF6}"/>
                </c:ext>
              </c:extLst>
            </c:dLbl>
            <c:dLbl>
              <c:idx val="7"/>
              <c:layout>
                <c:manualLayout>
                  <c:x val="-3.1117343208811227E-2"/>
                  <c:y val="5.1831588191983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F90-4155-A207-415A3D063BF6}"/>
                </c:ext>
              </c:extLst>
            </c:dLbl>
            <c:dLbl>
              <c:idx val="8"/>
              <c:layout>
                <c:manualLayout>
                  <c:x val="-2.7337815649756108E-2"/>
                  <c:y val="6.2681302148260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F90-4155-A207-415A3D063B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SEZ!$A$82:$A$90</c:f>
              <c:strCache>
                <c:ptCount val="9"/>
                <c:pt idx="0">
                  <c:v>4.Q 2021</c:v>
                </c:pt>
                <c:pt idx="1">
                  <c:v>1.Q 2022</c:v>
                </c:pt>
                <c:pt idx="2">
                  <c:v>2.Q 2022</c:v>
                </c:pt>
                <c:pt idx="3">
                  <c:v>3.Q 2022</c:v>
                </c:pt>
                <c:pt idx="4">
                  <c:v>4.Q 2022</c:v>
                </c:pt>
                <c:pt idx="5">
                  <c:v>1.Q 2023</c:v>
                </c:pt>
                <c:pt idx="6">
                  <c:v>2.Q 2023</c:v>
                </c:pt>
                <c:pt idx="7">
                  <c:v>3.Q 2023</c:v>
                </c:pt>
                <c:pt idx="8">
                  <c:v>4.Q 2023</c:v>
                </c:pt>
              </c:strCache>
            </c:strRef>
          </c:cat>
          <c:val>
            <c:numRef>
              <c:f>SEZ!$E$82:$E$90</c:f>
              <c:numCache>
                <c:formatCode>0.0</c:formatCode>
                <c:ptCount val="9"/>
                <c:pt idx="0">
                  <c:v>-3.9815507402714188</c:v>
                </c:pt>
                <c:pt idx="1">
                  <c:v>-1.9694500371398411</c:v>
                </c:pt>
                <c:pt idx="2">
                  <c:v>-2.8281077956726004</c:v>
                </c:pt>
                <c:pt idx="3">
                  <c:v>-4.4859022844481817</c:v>
                </c:pt>
                <c:pt idx="4">
                  <c:v>-3.3342142783025546</c:v>
                </c:pt>
                <c:pt idx="5">
                  <c:v>-3.4556065829987812</c:v>
                </c:pt>
                <c:pt idx="6">
                  <c:v>-2.9724763264676284</c:v>
                </c:pt>
                <c:pt idx="7">
                  <c:v>-3.516244707532306</c:v>
                </c:pt>
                <c:pt idx="8">
                  <c:v>-3.4576221047705058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F90-4155-A207-415A3D063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325CA-05FA-4760-9D95-EF98B097B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D9BD1-EF69-4563-B5A2-310A29E6A614}"/>
</file>

<file path=customXml/itemProps3.xml><?xml version="1.0" encoding="utf-8"?>
<ds:datastoreItem xmlns:ds="http://schemas.openxmlformats.org/officeDocument/2006/customXml" ds:itemID="{4C6F9B8E-46FD-4B3D-AA3B-EEF5F691754B}"/>
</file>

<file path=customXml/itemProps4.xml><?xml version="1.0" encoding="utf-8"?>
<ds:datastoreItem xmlns:ds="http://schemas.openxmlformats.org/officeDocument/2006/customXml" ds:itemID="{5C374792-B588-4489-B67C-D58C8A3AB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5453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Houžvičková Helena</cp:lastModifiedBy>
  <cp:revision>37</cp:revision>
  <cp:lastPrinted>2024-03-27T12:54:00Z</cp:lastPrinted>
  <dcterms:created xsi:type="dcterms:W3CDTF">2024-01-03T07:40:00Z</dcterms:created>
  <dcterms:modified xsi:type="dcterms:W3CDTF">2024-03-28T08:44:00Z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