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B3F9B" w14:textId="7F608758" w:rsidR="00751B2A" w:rsidRPr="00A708C6" w:rsidRDefault="001D0F92" w:rsidP="00751B2A">
      <w:pPr>
        <w:pStyle w:val="datum0"/>
        <w:spacing w:line="276" w:lineRule="auto"/>
        <w:rPr>
          <w:lang w:val="en-GB"/>
        </w:rPr>
      </w:pPr>
      <w:r w:rsidRPr="00A708C6">
        <w:rPr>
          <w:lang w:val="en-GB"/>
        </w:rPr>
        <w:t>7 </w:t>
      </w:r>
      <w:r w:rsidR="00E21133" w:rsidRPr="00A708C6">
        <w:rPr>
          <w:lang w:val="en-GB"/>
        </w:rPr>
        <w:t>May</w:t>
      </w:r>
      <w:r w:rsidR="00751B2A" w:rsidRPr="00A708C6">
        <w:rPr>
          <w:lang w:val="en-GB"/>
        </w:rPr>
        <w:t> </w:t>
      </w:r>
      <w:r w:rsidR="00EA6CDE" w:rsidRPr="00A708C6">
        <w:rPr>
          <w:lang w:val="en-GB"/>
        </w:rPr>
        <w:t>2026</w:t>
      </w:r>
    </w:p>
    <w:p w14:paraId="41B3D308" w14:textId="08C17895" w:rsidR="00751B2A" w:rsidRPr="00A708C6" w:rsidRDefault="00313F69" w:rsidP="00751B2A">
      <w:pPr>
        <w:pStyle w:val="Podtitulek"/>
        <w:spacing w:before="280" w:after="0" w:line="360" w:lineRule="exact"/>
        <w:rPr>
          <w:color w:val="BD1B21"/>
          <w:sz w:val="32"/>
          <w:szCs w:val="32"/>
        </w:rPr>
      </w:pPr>
      <w:r w:rsidRPr="00A708C6">
        <w:rPr>
          <w:color w:val="BD1B21"/>
          <w:sz w:val="32"/>
          <w:szCs w:val="32"/>
        </w:rPr>
        <w:t>Construction output</w:t>
      </w:r>
      <w:r w:rsidR="00C607B3" w:rsidRPr="00A708C6">
        <w:rPr>
          <w:color w:val="BD1B21"/>
          <w:sz w:val="32"/>
          <w:szCs w:val="32"/>
        </w:rPr>
        <w:t xml:space="preserve"> in the first quarter of </w:t>
      </w:r>
      <w:r w:rsidR="00EA6CDE" w:rsidRPr="00A708C6">
        <w:rPr>
          <w:color w:val="BD1B21"/>
          <w:sz w:val="32"/>
          <w:szCs w:val="32"/>
        </w:rPr>
        <w:t>2026</w:t>
      </w:r>
      <w:r w:rsidR="00C607B3" w:rsidRPr="00A708C6">
        <w:rPr>
          <w:color w:val="BD1B21"/>
          <w:sz w:val="32"/>
          <w:szCs w:val="32"/>
        </w:rPr>
        <w:t xml:space="preserve"> increased by </w:t>
      </w:r>
      <w:r w:rsidR="007F2414" w:rsidRPr="00A708C6">
        <w:rPr>
          <w:color w:val="BD1B21"/>
          <w:sz w:val="32"/>
          <w:szCs w:val="32"/>
        </w:rPr>
        <w:t>3</w:t>
      </w:r>
      <w:r w:rsidR="00C607B3" w:rsidRPr="00A708C6">
        <w:rPr>
          <w:color w:val="BD1B21"/>
          <w:sz w:val="32"/>
          <w:szCs w:val="32"/>
        </w:rPr>
        <w:t>.4</w:t>
      </w:r>
      <w:r w:rsidRPr="00A708C6">
        <w:rPr>
          <w:color w:val="BD1B21"/>
          <w:sz w:val="32"/>
          <w:szCs w:val="32"/>
        </w:rPr>
        <w:t>%</w:t>
      </w:r>
      <w:r w:rsidR="00751B2A" w:rsidRPr="00A708C6">
        <w:rPr>
          <w:color w:val="BD1B21"/>
          <w:sz w:val="32"/>
          <w:szCs w:val="32"/>
        </w:rPr>
        <w:t xml:space="preserve"> </w:t>
      </w:r>
    </w:p>
    <w:p w14:paraId="2AB3BCD0" w14:textId="44B0F940" w:rsidR="00751B2A" w:rsidRPr="00A708C6" w:rsidRDefault="00016BB4" w:rsidP="00751B2A">
      <w:pPr>
        <w:pStyle w:val="Podtitulek"/>
      </w:pPr>
      <w:r w:rsidRPr="00A708C6">
        <w:t>Supplementary information to the news release on construction – March</w:t>
      </w:r>
      <w:r w:rsidR="00B544DE" w:rsidRPr="00A708C6">
        <w:t xml:space="preserve"> </w:t>
      </w:r>
      <w:r w:rsidR="00EA6CDE" w:rsidRPr="00A708C6">
        <w:t>2026</w:t>
      </w:r>
    </w:p>
    <w:p w14:paraId="4DDF2574" w14:textId="2DF44550" w:rsidR="00026274" w:rsidRPr="00A708C6" w:rsidRDefault="00026274" w:rsidP="00026274">
      <w:r w:rsidRPr="00A708C6">
        <w:rPr>
          <w:rFonts w:cs="Arial"/>
        </w:rPr>
        <w:t xml:space="preserve">Construction output in the first </w:t>
      </w:r>
      <w:r w:rsidR="00281332" w:rsidRPr="00A708C6">
        <w:rPr>
          <w:rFonts w:cs="Arial"/>
        </w:rPr>
        <w:t xml:space="preserve">quarter of </w:t>
      </w:r>
      <w:r w:rsidR="00EA6CDE" w:rsidRPr="00A708C6">
        <w:rPr>
          <w:rFonts w:cs="Arial"/>
        </w:rPr>
        <w:t>2026</w:t>
      </w:r>
      <w:r w:rsidR="00C607B3" w:rsidRPr="00A708C6">
        <w:rPr>
          <w:rFonts w:cs="Arial"/>
        </w:rPr>
        <w:t xml:space="preserve"> increased by </w:t>
      </w:r>
      <w:r w:rsidR="000856D7" w:rsidRPr="00A708C6">
        <w:rPr>
          <w:rFonts w:cs="Arial"/>
        </w:rPr>
        <w:t>3</w:t>
      </w:r>
      <w:r w:rsidR="00C607B3" w:rsidRPr="00A708C6">
        <w:rPr>
          <w:rFonts w:cs="Arial"/>
        </w:rPr>
        <w:t xml:space="preserve">.4%, year-on-year; </w:t>
      </w:r>
      <w:r w:rsidR="000856D7" w:rsidRPr="00A708C6">
        <w:rPr>
          <w:rFonts w:cs="Arial"/>
        </w:rPr>
        <w:t>building construction</w:t>
      </w:r>
      <w:r w:rsidR="00C607B3" w:rsidRPr="00A708C6">
        <w:rPr>
          <w:rFonts w:cs="Arial"/>
        </w:rPr>
        <w:t xml:space="preserve"> contributed to </w:t>
      </w:r>
      <w:r w:rsidR="000856D7" w:rsidRPr="00A708C6">
        <w:rPr>
          <w:rFonts w:cs="Arial"/>
        </w:rPr>
        <w:t>the increase</w:t>
      </w:r>
      <w:r w:rsidR="00C607B3" w:rsidRPr="00A708C6">
        <w:rPr>
          <w:rFonts w:cs="Arial"/>
        </w:rPr>
        <w:t>. Compared to the Q4 202</w:t>
      </w:r>
      <w:r w:rsidR="000856D7" w:rsidRPr="00A708C6">
        <w:rPr>
          <w:rFonts w:cs="Arial"/>
        </w:rPr>
        <w:t>5</w:t>
      </w:r>
      <w:r w:rsidR="00C607B3" w:rsidRPr="00A708C6">
        <w:rPr>
          <w:rFonts w:cs="Arial"/>
        </w:rPr>
        <w:t xml:space="preserve">, the production was by </w:t>
      </w:r>
      <w:r w:rsidR="000856D7" w:rsidRPr="00A708C6">
        <w:rPr>
          <w:rFonts w:cs="Arial"/>
        </w:rPr>
        <w:t>1</w:t>
      </w:r>
      <w:r w:rsidR="00C607B3" w:rsidRPr="00A708C6">
        <w:rPr>
          <w:rFonts w:cs="Arial"/>
        </w:rPr>
        <w:t>.4</w:t>
      </w:r>
      <w:r w:rsidRPr="00A708C6">
        <w:rPr>
          <w:rFonts w:cs="Arial"/>
        </w:rPr>
        <w:t xml:space="preserve">% higher. </w:t>
      </w:r>
      <w:r w:rsidR="00D850D1" w:rsidRPr="00A708C6">
        <w:rPr>
          <w:rFonts w:cs="Arial"/>
        </w:rPr>
        <w:t>Production in</w:t>
      </w:r>
      <w:r w:rsidRPr="00A708C6">
        <w:rPr>
          <w:rFonts w:cs="Arial"/>
        </w:rPr>
        <w:t xml:space="preserve"> </w:t>
      </w:r>
      <w:r w:rsidRPr="00A708C6">
        <w:t xml:space="preserve">building construction </w:t>
      </w:r>
      <w:r w:rsidR="00D850D1" w:rsidRPr="00A708C6">
        <w:t>in</w:t>
      </w:r>
      <w:r w:rsidRPr="00A708C6">
        <w:t>crease</w:t>
      </w:r>
      <w:r w:rsidR="00D850D1" w:rsidRPr="00A708C6">
        <w:t>d by 6.</w:t>
      </w:r>
      <w:r w:rsidR="00695CFD" w:rsidRPr="00A708C6">
        <w:t>4</w:t>
      </w:r>
      <w:r w:rsidRPr="00A708C6">
        <w:t xml:space="preserve">%, y-o-y (with a contribution of </w:t>
      </w:r>
      <w:r w:rsidR="00805D73" w:rsidRPr="00A708C6">
        <w:t>+</w:t>
      </w:r>
      <w:r w:rsidR="005A4741" w:rsidRPr="00A708C6">
        <w:t>4.</w:t>
      </w:r>
      <w:r w:rsidR="00695CFD" w:rsidRPr="00A708C6">
        <w:t>6</w:t>
      </w:r>
      <w:r w:rsidR="005A4741" w:rsidRPr="00A708C6">
        <w:t> percentage points (p. p.))</w:t>
      </w:r>
      <w:r w:rsidR="00695CFD" w:rsidRPr="00A708C6">
        <w:t xml:space="preserve">. </w:t>
      </w:r>
      <w:r w:rsidR="008C1792" w:rsidRPr="00A708C6">
        <w:t>P</w:t>
      </w:r>
      <w:r w:rsidRPr="00A708C6">
        <w:rPr>
          <w:rFonts w:cs="Arial"/>
        </w:rPr>
        <w:t xml:space="preserve">roduction in </w:t>
      </w:r>
      <w:r w:rsidRPr="00A708C6">
        <w:rPr>
          <w:bCs/>
        </w:rPr>
        <w:t>civil enginee</w:t>
      </w:r>
      <w:r w:rsidR="005A4741" w:rsidRPr="00A708C6">
        <w:rPr>
          <w:bCs/>
        </w:rPr>
        <w:t xml:space="preserve">ring construction </w:t>
      </w:r>
      <w:r w:rsidR="008C1792" w:rsidRPr="00A708C6">
        <w:rPr>
          <w:bCs/>
        </w:rPr>
        <w:t>de</w:t>
      </w:r>
      <w:r w:rsidR="005A4741" w:rsidRPr="00A708C6">
        <w:rPr>
          <w:bCs/>
        </w:rPr>
        <w:t>creased</w:t>
      </w:r>
      <w:r w:rsidR="008C1792" w:rsidRPr="00A708C6">
        <w:rPr>
          <w:bCs/>
        </w:rPr>
        <w:t>, on the other hand,</w:t>
      </w:r>
      <w:r w:rsidR="005A4741" w:rsidRPr="00A708C6">
        <w:rPr>
          <w:bCs/>
        </w:rPr>
        <w:t xml:space="preserve"> by </w:t>
      </w:r>
      <w:r w:rsidR="008C1792" w:rsidRPr="00A708C6">
        <w:rPr>
          <w:bCs/>
        </w:rPr>
        <w:t>4</w:t>
      </w:r>
      <w:r w:rsidR="005A4741" w:rsidRPr="00A708C6">
        <w:rPr>
          <w:bCs/>
        </w:rPr>
        <w:t>.</w:t>
      </w:r>
      <w:r w:rsidR="008C1792" w:rsidRPr="00A708C6">
        <w:rPr>
          <w:bCs/>
        </w:rPr>
        <w:t>3</w:t>
      </w:r>
      <w:r w:rsidRPr="00A708C6">
        <w:rPr>
          <w:bCs/>
        </w:rPr>
        <w:t>% (</w:t>
      </w:r>
      <w:r w:rsidR="005A4741" w:rsidRPr="00A708C6">
        <w:t xml:space="preserve">with a contribution of </w:t>
      </w:r>
      <w:r w:rsidR="008C1792" w:rsidRPr="00A708C6">
        <w:t>-1</w:t>
      </w:r>
      <w:r w:rsidR="005A4741" w:rsidRPr="00A708C6">
        <w:rPr>
          <w:bCs/>
        </w:rPr>
        <w:t>.</w:t>
      </w:r>
      <w:r w:rsidR="008C1792" w:rsidRPr="00A708C6">
        <w:rPr>
          <w:bCs/>
        </w:rPr>
        <w:t>2</w:t>
      </w:r>
      <w:r w:rsidR="005A4741" w:rsidRPr="00A708C6">
        <w:rPr>
          <w:bCs/>
        </w:rPr>
        <w:t> p. p.)</w:t>
      </w:r>
      <w:r w:rsidRPr="00A708C6">
        <w:rPr>
          <w:bCs/>
        </w:rPr>
        <w:t xml:space="preserve">. </w:t>
      </w:r>
    </w:p>
    <w:p w14:paraId="7C3DC29D" w14:textId="77777777" w:rsidR="00EB080B" w:rsidRPr="00A708C6" w:rsidRDefault="00026274" w:rsidP="00026274">
      <w:pPr>
        <w:spacing w:before="120"/>
        <w:rPr>
          <w:bCs/>
        </w:rPr>
      </w:pPr>
      <w:r w:rsidRPr="00A708C6">
        <w:rPr>
          <w:rFonts w:cs="Arial"/>
        </w:rPr>
        <w:t xml:space="preserve">Construction enterprises with 50+ employees concluded in </w:t>
      </w:r>
      <w:r w:rsidR="00AD2209" w:rsidRPr="00A708C6">
        <w:rPr>
          <w:rFonts w:cs="Arial"/>
        </w:rPr>
        <w:t>Czechia</w:t>
      </w:r>
      <w:r w:rsidR="00162141" w:rsidRPr="00A708C6">
        <w:rPr>
          <w:rFonts w:cs="Arial"/>
        </w:rPr>
        <w:t xml:space="preserve"> 1</w:t>
      </w:r>
      <w:r w:rsidR="004E30A0" w:rsidRPr="00A708C6">
        <w:rPr>
          <w:rFonts w:cs="Arial"/>
        </w:rPr>
        <w:t>3</w:t>
      </w:r>
      <w:r w:rsidR="00162141" w:rsidRPr="00A708C6">
        <w:rPr>
          <w:rFonts w:cs="Arial"/>
        </w:rPr>
        <w:t> </w:t>
      </w:r>
      <w:r w:rsidR="004E30A0" w:rsidRPr="00A708C6">
        <w:rPr>
          <w:rFonts w:cs="Arial"/>
        </w:rPr>
        <w:t>06</w:t>
      </w:r>
      <w:r w:rsidR="00162141" w:rsidRPr="00A708C6">
        <w:rPr>
          <w:rFonts w:cs="Arial"/>
        </w:rPr>
        <w:t xml:space="preserve">5 </w:t>
      </w:r>
      <w:r w:rsidR="00AD2209" w:rsidRPr="00A708C6">
        <w:rPr>
          <w:rFonts w:cs="Arial"/>
        </w:rPr>
        <w:t xml:space="preserve">construction orders </w:t>
      </w:r>
      <w:r w:rsidR="00162141" w:rsidRPr="00A708C6">
        <w:rPr>
          <w:rFonts w:cs="Arial"/>
        </w:rPr>
        <w:t xml:space="preserve">in the Q1 </w:t>
      </w:r>
      <w:r w:rsidR="00EA6CDE" w:rsidRPr="00A708C6">
        <w:rPr>
          <w:rFonts w:cs="Arial"/>
        </w:rPr>
        <w:t>2026</w:t>
      </w:r>
      <w:r w:rsidR="00AD2209" w:rsidRPr="00A708C6">
        <w:rPr>
          <w:rFonts w:cs="Arial"/>
        </w:rPr>
        <w:t xml:space="preserve"> and the number </w:t>
      </w:r>
      <w:r w:rsidR="004E30A0" w:rsidRPr="00A708C6">
        <w:rPr>
          <w:rFonts w:cs="Arial"/>
        </w:rPr>
        <w:t>in</w:t>
      </w:r>
      <w:r w:rsidR="00AD2209" w:rsidRPr="00A708C6">
        <w:rPr>
          <w:rFonts w:cs="Arial"/>
        </w:rPr>
        <w:t xml:space="preserve">creased by </w:t>
      </w:r>
      <w:r w:rsidR="004E30A0" w:rsidRPr="00A708C6">
        <w:rPr>
          <w:rFonts w:cs="Arial"/>
        </w:rPr>
        <w:t>5</w:t>
      </w:r>
      <w:r w:rsidR="00AD2209" w:rsidRPr="00A708C6">
        <w:rPr>
          <w:rFonts w:cs="Arial"/>
        </w:rPr>
        <w:t>.</w:t>
      </w:r>
      <w:r w:rsidR="004E30A0" w:rsidRPr="00A708C6">
        <w:rPr>
          <w:rFonts w:cs="Arial"/>
        </w:rPr>
        <w:t>8</w:t>
      </w:r>
      <w:r w:rsidR="00AD2209" w:rsidRPr="00A708C6">
        <w:rPr>
          <w:rFonts w:cs="Arial"/>
        </w:rPr>
        <w:t xml:space="preserve">%, year-on-year. </w:t>
      </w:r>
      <w:r w:rsidRPr="00A708C6">
        <w:rPr>
          <w:rFonts w:cs="Arial"/>
        </w:rPr>
        <w:t xml:space="preserve">The total value of these orders </w:t>
      </w:r>
      <w:r w:rsidR="00A76A50" w:rsidRPr="00A708C6">
        <w:rPr>
          <w:rFonts w:cs="Arial"/>
        </w:rPr>
        <w:t>de</w:t>
      </w:r>
      <w:r w:rsidRPr="00A708C6">
        <w:rPr>
          <w:rFonts w:cs="Arial"/>
        </w:rPr>
        <w:t>creased by</w:t>
      </w:r>
      <w:r w:rsidR="003C2C18" w:rsidRPr="00A708C6">
        <w:rPr>
          <w:rFonts w:cs="Arial"/>
        </w:rPr>
        <w:t xml:space="preserve"> </w:t>
      </w:r>
      <w:r w:rsidR="00A76A50" w:rsidRPr="00A708C6">
        <w:rPr>
          <w:rFonts w:cs="Arial"/>
        </w:rPr>
        <w:t>9.1</w:t>
      </w:r>
      <w:r w:rsidRPr="00A708C6">
        <w:rPr>
          <w:rFonts w:cs="Arial"/>
        </w:rPr>
        <w:t>%, year-on-year, and amounted to CZK</w:t>
      </w:r>
      <w:r w:rsidR="007F0026" w:rsidRPr="00A708C6">
        <w:rPr>
          <w:rFonts w:cs="Arial"/>
        </w:rPr>
        <w:t> 9</w:t>
      </w:r>
      <w:r w:rsidR="005B68F4" w:rsidRPr="00A708C6">
        <w:rPr>
          <w:rFonts w:cs="Arial"/>
        </w:rPr>
        <w:t>0</w:t>
      </w:r>
      <w:r w:rsidRPr="00A708C6">
        <w:rPr>
          <w:rFonts w:cs="Arial"/>
        </w:rPr>
        <w:t xml:space="preserve">.3 billion at current prices. New construction orders in the </w:t>
      </w:r>
      <w:r w:rsidRPr="00A708C6">
        <w:t>building construction reached the value of CZK</w:t>
      </w:r>
      <w:r w:rsidR="007F0026" w:rsidRPr="00A708C6">
        <w:t> 4</w:t>
      </w:r>
      <w:r w:rsidR="00820F40" w:rsidRPr="00A708C6">
        <w:t>4</w:t>
      </w:r>
      <w:r w:rsidR="007F0026" w:rsidRPr="00A708C6">
        <w:t>.</w:t>
      </w:r>
      <w:r w:rsidR="00820F40" w:rsidRPr="00A708C6">
        <w:t>2</w:t>
      </w:r>
      <w:r w:rsidR="007F0026" w:rsidRPr="00A708C6">
        <w:t xml:space="preserve"> billion and </w:t>
      </w:r>
      <w:r w:rsidR="00820F40" w:rsidRPr="00A708C6">
        <w:t>in</w:t>
      </w:r>
      <w:r w:rsidR="007F0026" w:rsidRPr="00A708C6">
        <w:t>creased by 4.</w:t>
      </w:r>
      <w:r w:rsidR="00820F40" w:rsidRPr="00A708C6">
        <w:t>4</w:t>
      </w:r>
      <w:r w:rsidRPr="00A708C6">
        <w:t>%, year-on-year</w:t>
      </w:r>
      <w:r w:rsidR="00F260FD" w:rsidRPr="00A708C6">
        <w:t>, whereas</w:t>
      </w:r>
      <w:r w:rsidR="00B26ACD" w:rsidRPr="00A708C6">
        <w:t xml:space="preserve"> new construction orders in</w:t>
      </w:r>
      <w:r w:rsidR="00F260FD" w:rsidRPr="00A708C6">
        <w:t xml:space="preserve"> </w:t>
      </w:r>
      <w:r w:rsidRPr="00A708C6">
        <w:rPr>
          <w:bCs/>
        </w:rPr>
        <w:t xml:space="preserve">civil engineering </w:t>
      </w:r>
      <w:r w:rsidR="00F260FD" w:rsidRPr="00A708C6">
        <w:rPr>
          <w:bCs/>
        </w:rPr>
        <w:t xml:space="preserve">decreased by 19.2% to CZK 46.1 billion. </w:t>
      </w:r>
      <w:r w:rsidRPr="00A708C6">
        <w:rPr>
          <w:bCs/>
        </w:rPr>
        <w:t>The average value of a newly concluded construction order amounted to CZK</w:t>
      </w:r>
      <w:r w:rsidR="00B013F2" w:rsidRPr="00A708C6">
        <w:rPr>
          <w:bCs/>
        </w:rPr>
        <w:t> </w:t>
      </w:r>
      <w:r w:rsidR="009560F1" w:rsidRPr="00A708C6">
        <w:rPr>
          <w:bCs/>
        </w:rPr>
        <w:t>6</w:t>
      </w:r>
      <w:r w:rsidR="00B013F2" w:rsidRPr="00A708C6">
        <w:rPr>
          <w:bCs/>
        </w:rPr>
        <w:t>.9</w:t>
      </w:r>
      <w:r w:rsidRPr="00A708C6">
        <w:rPr>
          <w:bCs/>
        </w:rPr>
        <w:t xml:space="preserve"> million in the </w:t>
      </w:r>
      <w:r w:rsidR="00281332" w:rsidRPr="00A708C6">
        <w:rPr>
          <w:bCs/>
        </w:rPr>
        <w:t xml:space="preserve">Q1 </w:t>
      </w:r>
      <w:r w:rsidR="00EA6CDE" w:rsidRPr="00A708C6">
        <w:rPr>
          <w:bCs/>
        </w:rPr>
        <w:t>2026</w:t>
      </w:r>
      <w:r w:rsidR="00B013F2" w:rsidRPr="00A708C6">
        <w:rPr>
          <w:bCs/>
        </w:rPr>
        <w:t xml:space="preserve"> and it was by </w:t>
      </w:r>
      <w:r w:rsidR="009560F1" w:rsidRPr="00A708C6">
        <w:rPr>
          <w:bCs/>
        </w:rPr>
        <w:t>14.1% lower</w:t>
      </w:r>
      <w:r w:rsidRPr="00A708C6">
        <w:rPr>
          <w:bCs/>
        </w:rPr>
        <w:t>, year-on-year.</w:t>
      </w:r>
    </w:p>
    <w:p w14:paraId="44493EBE" w14:textId="756DE736" w:rsidR="00AE47B4" w:rsidRPr="00A708C6" w:rsidRDefault="0062163B" w:rsidP="00026274">
      <w:pPr>
        <w:spacing w:before="120"/>
        <w:rPr>
          <w:bCs/>
        </w:rPr>
      </w:pPr>
      <w:r w:rsidRPr="00A708C6">
        <w:t>In the first quarter of 2026, 14 404 building permits were granted and the number increased by 7.2%, y-o-y</w:t>
      </w:r>
      <w:r w:rsidR="00666E6B">
        <w:t>,</w:t>
      </w:r>
      <w:r w:rsidRPr="00A708C6">
        <w:t xml:space="preserve"> thanks to new construction in all categories. The number of building permits for changes in completed constructions stagnated, y-o-y. </w:t>
      </w:r>
      <w:r w:rsidR="00A524BB" w:rsidRPr="00A708C6">
        <w:rPr>
          <w:bCs/>
        </w:rPr>
        <w:t>The highest number of constructions was permitted</w:t>
      </w:r>
      <w:r w:rsidR="001220DB" w:rsidRPr="00A708C6">
        <w:rPr>
          <w:bCs/>
        </w:rPr>
        <w:t xml:space="preserve"> in the </w:t>
      </w:r>
      <w:r w:rsidR="001220DB" w:rsidRPr="00A708C6">
        <w:rPr>
          <w:rFonts w:cs="Arial"/>
          <w:i/>
          <w:szCs w:val="20"/>
        </w:rPr>
        <w:t>Středočeský</w:t>
      </w:r>
      <w:r w:rsidR="001220DB" w:rsidRPr="00A708C6">
        <w:rPr>
          <w:rFonts w:cs="Arial"/>
          <w:szCs w:val="20"/>
        </w:rPr>
        <w:t xml:space="preserve"> Region and in the </w:t>
      </w:r>
      <w:r w:rsidR="001220DB" w:rsidRPr="00A708C6">
        <w:rPr>
          <w:rFonts w:cs="Arial"/>
          <w:i/>
          <w:szCs w:val="20"/>
        </w:rPr>
        <w:t>Jihomoravský</w:t>
      </w:r>
      <w:r w:rsidR="001220DB" w:rsidRPr="00A708C6">
        <w:rPr>
          <w:rFonts w:cs="Arial"/>
          <w:szCs w:val="20"/>
        </w:rPr>
        <w:t xml:space="preserve"> Region.</w:t>
      </w:r>
      <w:r w:rsidRPr="00A708C6">
        <w:rPr>
          <w:rFonts w:cs="Arial"/>
          <w:szCs w:val="20"/>
        </w:rPr>
        <w:t xml:space="preserve"> The flloor area in construction of new buildings increased by 6.6%, y-o-y, to 1 725 thousand m</w:t>
      </w:r>
      <w:r w:rsidRPr="00A708C6">
        <w:rPr>
          <w:rFonts w:cs="Arial"/>
          <w:szCs w:val="20"/>
          <w:vertAlign w:val="superscript"/>
        </w:rPr>
        <w:t>2</w:t>
      </w:r>
      <w:r w:rsidRPr="00A708C6">
        <w:rPr>
          <w:rFonts w:cs="Arial"/>
          <w:szCs w:val="20"/>
        </w:rPr>
        <w:t>. The flloor area in new</w:t>
      </w:r>
      <w:r w:rsidR="00F30A5A">
        <w:rPr>
          <w:rFonts w:cs="Arial"/>
          <w:szCs w:val="20"/>
        </w:rPr>
        <w:t xml:space="preserve"> residential</w:t>
      </w:r>
      <w:r w:rsidRPr="00A708C6">
        <w:rPr>
          <w:rFonts w:cs="Arial"/>
          <w:szCs w:val="20"/>
        </w:rPr>
        <w:t xml:space="preserve"> buildings increased by</w:t>
      </w:r>
      <w:r w:rsidR="001220DB" w:rsidRPr="00A708C6">
        <w:rPr>
          <w:rFonts w:cs="Arial"/>
          <w:szCs w:val="20"/>
        </w:rPr>
        <w:t xml:space="preserve"> </w:t>
      </w:r>
      <w:r w:rsidRPr="00A708C6">
        <w:rPr>
          <w:rFonts w:cs="Arial"/>
          <w:szCs w:val="20"/>
        </w:rPr>
        <w:t xml:space="preserve">24.5%, in new non-residential buildings it decreased by 9.1%. </w:t>
      </w:r>
      <w:r w:rsidR="00AF6911" w:rsidRPr="00A708C6">
        <w:rPr>
          <w:bCs/>
        </w:rPr>
        <w:t xml:space="preserve">  </w:t>
      </w:r>
    </w:p>
    <w:p w14:paraId="36326B11" w14:textId="0C6C5E34" w:rsidR="007E551F" w:rsidRPr="00A708C6" w:rsidRDefault="00026274" w:rsidP="00281332">
      <w:pPr>
        <w:spacing w:before="120"/>
      </w:pPr>
      <w:r w:rsidRPr="00A708C6">
        <w:t xml:space="preserve">In the first </w:t>
      </w:r>
      <w:r w:rsidR="00281332" w:rsidRPr="00A708C6">
        <w:t xml:space="preserve">quarter of </w:t>
      </w:r>
      <w:r w:rsidR="00EA6CDE" w:rsidRPr="00A708C6">
        <w:t>2026</w:t>
      </w:r>
      <w:r w:rsidRPr="00A708C6">
        <w:t xml:space="preserve">, construction of </w:t>
      </w:r>
      <w:r w:rsidR="007F49DC" w:rsidRPr="00A708C6">
        <w:t>9</w:t>
      </w:r>
      <w:r w:rsidRPr="00A708C6">
        <w:t> </w:t>
      </w:r>
      <w:r w:rsidR="001220DB" w:rsidRPr="00A708C6">
        <w:t>7</w:t>
      </w:r>
      <w:r w:rsidR="007F49DC" w:rsidRPr="00A708C6">
        <w:t>13</w:t>
      </w:r>
      <w:r w:rsidRPr="00A708C6">
        <w:t xml:space="preserve"> dwellings started</w:t>
      </w:r>
      <w:r w:rsidR="001220DB" w:rsidRPr="00A708C6">
        <w:t>, which was a</w:t>
      </w:r>
      <w:r w:rsidRPr="00A708C6">
        <w:t xml:space="preserve"> </w:t>
      </w:r>
      <w:r w:rsidR="001220DB" w:rsidRPr="00A708C6">
        <w:t xml:space="preserve">year-on-year growth by </w:t>
      </w:r>
      <w:r w:rsidR="007F49DC" w:rsidRPr="00A708C6">
        <w:t>16</w:t>
      </w:r>
      <w:r w:rsidR="001220DB" w:rsidRPr="00A708C6">
        <w:t xml:space="preserve">.9%. The growth was </w:t>
      </w:r>
      <w:r w:rsidR="003C30E8" w:rsidRPr="00A708C6">
        <w:t xml:space="preserve">contributed to by almost all categories, a y-o-y decrease was recorded by dwellings in new non-residential buildings and also by conversions of multi-dwelling buildings. </w:t>
      </w:r>
      <w:r w:rsidR="00C945A6" w:rsidRPr="00A708C6">
        <w:t>Construction of the highest number of dwellings started in</w:t>
      </w:r>
      <w:r w:rsidRPr="00A708C6">
        <w:t xml:space="preserve"> </w:t>
      </w:r>
      <w:r w:rsidRPr="00A708C6">
        <w:rPr>
          <w:rFonts w:cs="Arial"/>
          <w:szCs w:val="20"/>
        </w:rPr>
        <w:t>Prague (</w:t>
      </w:r>
      <w:r w:rsidRPr="00A708C6">
        <w:t xml:space="preserve">multi-dwelling buildings), in the </w:t>
      </w:r>
      <w:r w:rsidRPr="00A708C6">
        <w:rPr>
          <w:rFonts w:cs="Arial"/>
          <w:i/>
          <w:szCs w:val="20"/>
        </w:rPr>
        <w:t>Středočeský</w:t>
      </w:r>
      <w:r w:rsidRPr="00A708C6">
        <w:rPr>
          <w:rFonts w:cs="Arial"/>
          <w:szCs w:val="20"/>
        </w:rPr>
        <w:t xml:space="preserve"> Region (family houses</w:t>
      </w:r>
      <w:r w:rsidR="003C30E8" w:rsidRPr="00A708C6">
        <w:rPr>
          <w:rFonts w:cs="Arial"/>
          <w:szCs w:val="20"/>
        </w:rPr>
        <w:t xml:space="preserve"> and multi-dwelling buildings</w:t>
      </w:r>
      <w:r w:rsidRPr="00A708C6">
        <w:rPr>
          <w:rFonts w:cs="Arial"/>
          <w:szCs w:val="20"/>
        </w:rPr>
        <w:t>), and</w:t>
      </w:r>
      <w:r w:rsidRPr="00A708C6">
        <w:t xml:space="preserve"> in the </w:t>
      </w:r>
      <w:r w:rsidRPr="00A708C6">
        <w:rPr>
          <w:rFonts w:cs="Arial"/>
          <w:i/>
          <w:szCs w:val="20"/>
        </w:rPr>
        <w:t>Jihomoravský</w:t>
      </w:r>
      <w:r w:rsidR="00D029E0" w:rsidRPr="00A708C6">
        <w:rPr>
          <w:rFonts w:cs="Arial"/>
          <w:szCs w:val="20"/>
        </w:rPr>
        <w:t xml:space="preserve"> Region</w:t>
      </w:r>
      <w:r w:rsidR="003C30E8" w:rsidRPr="00A708C6">
        <w:rPr>
          <w:rFonts w:cs="Arial"/>
          <w:szCs w:val="20"/>
        </w:rPr>
        <w:t xml:space="preserve"> (multi-dwelling buildings)</w:t>
      </w:r>
      <w:r w:rsidR="00D029E0" w:rsidRPr="00A708C6">
        <w:rPr>
          <w:rFonts w:cs="Arial"/>
          <w:szCs w:val="20"/>
        </w:rPr>
        <w:t>.</w:t>
      </w:r>
    </w:p>
    <w:p w14:paraId="3D4DAB21" w14:textId="391C829A" w:rsidR="007516F6" w:rsidRPr="00A708C6" w:rsidRDefault="00026274" w:rsidP="00281332">
      <w:pPr>
        <w:spacing w:before="120"/>
      </w:pPr>
      <w:r w:rsidRPr="00A708C6">
        <w:t xml:space="preserve">In the </w:t>
      </w:r>
      <w:r w:rsidR="00281332" w:rsidRPr="00A708C6">
        <w:t xml:space="preserve">Q1 </w:t>
      </w:r>
      <w:r w:rsidR="00EA6CDE" w:rsidRPr="00A708C6">
        <w:t>2026</w:t>
      </w:r>
      <w:r w:rsidRPr="00A708C6">
        <w:t xml:space="preserve">, construction of </w:t>
      </w:r>
      <w:r w:rsidR="000D7B3A" w:rsidRPr="00A708C6">
        <w:t>8</w:t>
      </w:r>
      <w:r w:rsidR="007E551F" w:rsidRPr="00A708C6">
        <w:t> 2</w:t>
      </w:r>
      <w:r w:rsidR="000D7B3A" w:rsidRPr="00A708C6">
        <w:t>51</w:t>
      </w:r>
      <w:r w:rsidRPr="00A708C6">
        <w:t xml:space="preserve"> dwellings was complet</w:t>
      </w:r>
      <w:r w:rsidR="007E551F" w:rsidRPr="00A708C6">
        <w:t>ed and the number decreased by 1.</w:t>
      </w:r>
      <w:r w:rsidR="000D7B3A" w:rsidRPr="00A708C6">
        <w:t>9</w:t>
      </w:r>
      <w:r w:rsidRPr="00A708C6">
        <w:t xml:space="preserve">%, year-on-year. A year-on-year </w:t>
      </w:r>
      <w:r w:rsidR="009D76FF" w:rsidRPr="00A708C6">
        <w:t>in</w:t>
      </w:r>
      <w:r w:rsidRPr="00A708C6">
        <w:t>crease</w:t>
      </w:r>
      <w:r w:rsidR="009D76FF" w:rsidRPr="00A708C6">
        <w:t xml:space="preserve"> was recorded as for </w:t>
      </w:r>
      <w:r w:rsidR="00A177D7" w:rsidRPr="00A708C6">
        <w:t xml:space="preserve">dwellings completed in </w:t>
      </w:r>
      <w:r w:rsidR="009D76FF" w:rsidRPr="00A708C6">
        <w:rPr>
          <w:rFonts w:cs="Arial"/>
          <w:szCs w:val="20"/>
        </w:rPr>
        <w:t xml:space="preserve">multi-dwelling buildings, namely </w:t>
      </w:r>
      <w:r w:rsidR="00271E82" w:rsidRPr="00A708C6">
        <w:rPr>
          <w:rFonts w:cs="Arial"/>
          <w:szCs w:val="20"/>
        </w:rPr>
        <w:t xml:space="preserve">in new ones as well as in conversions. </w:t>
      </w:r>
      <w:r w:rsidR="007516F6" w:rsidRPr="00A708C6">
        <w:t xml:space="preserve">On the other hand, the number of completed dwellings in new family houses decreased by </w:t>
      </w:r>
      <w:r w:rsidR="00892F11">
        <w:t>one</w:t>
      </w:r>
      <w:r w:rsidR="007516F6" w:rsidRPr="00A708C6">
        <w:t xml:space="preserve"> fifth, year-on-year. </w:t>
      </w:r>
      <w:r w:rsidR="00377B73">
        <w:t>Overall majority of f</w:t>
      </w:r>
      <w:r w:rsidR="007516F6" w:rsidRPr="00A708C6">
        <w:t xml:space="preserve">amily houses </w:t>
      </w:r>
      <w:r w:rsidR="00961A11" w:rsidRPr="00A708C6">
        <w:t>have load-bearing masonry structures</w:t>
      </w:r>
      <w:r w:rsidR="009879A1" w:rsidRPr="00A708C6">
        <w:t xml:space="preserve"> made</w:t>
      </w:r>
      <w:r w:rsidR="007516F6" w:rsidRPr="00A708C6">
        <w:t xml:space="preserve"> of bricks, however, </w:t>
      </w:r>
      <w:r w:rsidR="002D2707" w:rsidRPr="00A708C6">
        <w:t xml:space="preserve">in </w:t>
      </w:r>
      <w:r w:rsidR="007516F6" w:rsidRPr="00A708C6">
        <w:t>recent</w:t>
      </w:r>
      <w:r w:rsidR="002D2707" w:rsidRPr="00A708C6">
        <w:t xml:space="preserve"> years</w:t>
      </w:r>
      <w:r w:rsidR="007516F6" w:rsidRPr="00A708C6">
        <w:t>, an increased interest in wood</w:t>
      </w:r>
      <w:r w:rsidR="002D602F" w:rsidRPr="00A708C6">
        <w:t>en</w:t>
      </w:r>
      <w:r w:rsidR="007516F6" w:rsidRPr="00A708C6">
        <w:t xml:space="preserve"> constructions is observed. Their proportion in the total number of completed family houses is now 13.4% and thus it is </w:t>
      </w:r>
      <w:r w:rsidR="00A174B4" w:rsidRPr="00A708C6">
        <w:t xml:space="preserve">approximately </w:t>
      </w:r>
      <w:r w:rsidR="003D02AA" w:rsidRPr="00A708C6">
        <w:t xml:space="preserve">at the level of the previous years. </w:t>
      </w:r>
      <w:r w:rsidR="00C67A98" w:rsidRPr="00A708C6">
        <w:t>Most often</w:t>
      </w:r>
      <w:r w:rsidR="00630F24">
        <w:t>,</w:t>
      </w:r>
      <w:r w:rsidR="00C67A98" w:rsidRPr="00A708C6">
        <w:t xml:space="preserve"> family houses of wood are completed in the </w:t>
      </w:r>
      <w:r w:rsidR="00C67A98" w:rsidRPr="00A708C6">
        <w:rPr>
          <w:i/>
          <w:iCs/>
        </w:rPr>
        <w:t>Liberecký</w:t>
      </w:r>
      <w:r w:rsidR="00C67A98" w:rsidRPr="00A708C6">
        <w:t xml:space="preserve"> Region</w:t>
      </w:r>
      <w:r w:rsidR="004F1FFF" w:rsidRPr="00A708C6">
        <w:t xml:space="preserve">, in which their </w:t>
      </w:r>
      <w:r w:rsidR="00E02355">
        <w:t>proportion</w:t>
      </w:r>
      <w:r w:rsidR="004F1FFF" w:rsidRPr="00A708C6">
        <w:t xml:space="preserve"> is almost </w:t>
      </w:r>
      <w:r w:rsidR="00892F11">
        <w:t>one</w:t>
      </w:r>
      <w:r w:rsidR="004F1FFF" w:rsidRPr="00A708C6">
        <w:t xml:space="preserve"> third. </w:t>
      </w:r>
      <w:r w:rsidR="00445DF6" w:rsidRPr="00A708C6">
        <w:t xml:space="preserve">With a big </w:t>
      </w:r>
      <w:r w:rsidR="00445DF6" w:rsidRPr="00A708C6">
        <w:lastRenderedPageBreak/>
        <w:t>margin,</w:t>
      </w:r>
      <w:r w:rsidR="004F1FFF" w:rsidRPr="00A708C6">
        <w:t xml:space="preserve"> it is followed by the </w:t>
      </w:r>
      <w:r w:rsidR="004F1FFF" w:rsidRPr="00A708C6">
        <w:rPr>
          <w:i/>
          <w:iCs/>
        </w:rPr>
        <w:t>Pardubický</w:t>
      </w:r>
      <w:r w:rsidR="004F1FFF" w:rsidRPr="00A708C6">
        <w:t xml:space="preserve"> Region and the </w:t>
      </w:r>
      <w:r w:rsidR="004F1FFF" w:rsidRPr="00A708C6">
        <w:rPr>
          <w:i/>
          <w:iCs/>
        </w:rPr>
        <w:t>Olomoucký</w:t>
      </w:r>
      <w:r w:rsidR="004F1FFF" w:rsidRPr="00A708C6">
        <w:t xml:space="preserve"> Region, where </w:t>
      </w:r>
      <w:r w:rsidR="007C2702" w:rsidRPr="00A708C6">
        <w:t xml:space="preserve">wooden houses make </w:t>
      </w:r>
      <w:r w:rsidR="00892F11">
        <w:t>one</w:t>
      </w:r>
      <w:r w:rsidR="007C2702" w:rsidRPr="00A708C6">
        <w:t xml:space="preserve"> fifth of the total number of completed family houses. </w:t>
      </w:r>
      <w:r w:rsidR="005A0B4B" w:rsidRPr="00A708C6">
        <w:t>On the other hand, the lowest number of wooden houses is completed in Prague, where monolit</w:t>
      </w:r>
      <w:r w:rsidR="00A708C6" w:rsidRPr="00A708C6">
        <w:t>hs</w:t>
      </w:r>
      <w:r w:rsidR="005A0B4B" w:rsidRPr="00A708C6">
        <w:t xml:space="preserve"> are often used</w:t>
      </w:r>
      <w:r w:rsidR="001F322C">
        <w:t xml:space="preserve"> in construction</w:t>
      </w:r>
      <w:r w:rsidR="005A0B4B" w:rsidRPr="00A708C6">
        <w:t xml:space="preserve"> besides constructions of bricks, and also in the </w:t>
      </w:r>
      <w:r w:rsidR="005A0B4B" w:rsidRPr="00A708C6">
        <w:rPr>
          <w:i/>
          <w:iCs/>
        </w:rPr>
        <w:t>Jihočeský</w:t>
      </w:r>
      <w:r w:rsidR="005A0B4B" w:rsidRPr="00A708C6">
        <w:t xml:space="preserve"> Region, where </w:t>
      </w:r>
      <w:r w:rsidR="00A708C6" w:rsidRPr="00A708C6">
        <w:t>absolute</w:t>
      </w:r>
      <w:r w:rsidR="005A0B4B" w:rsidRPr="00A708C6">
        <w:t xml:space="preserve"> majority of completed family houses is of bricks. </w:t>
      </w:r>
    </w:p>
    <w:p w14:paraId="258C31A4" w14:textId="77777777" w:rsidR="00B544DE" w:rsidRPr="00A708C6" w:rsidRDefault="00B544DE" w:rsidP="00751B2A">
      <w:pPr>
        <w:rPr>
          <w:bCs/>
        </w:rPr>
      </w:pPr>
    </w:p>
    <w:p w14:paraId="2271E249" w14:textId="07282942" w:rsidR="00F61F23" w:rsidRPr="00A708C6" w:rsidRDefault="00F61F23" w:rsidP="00F61F23">
      <w:pPr>
        <w:pStyle w:val="Poznmky0"/>
        <w:pBdr>
          <w:top w:val="single" w:sz="4" w:space="1" w:color="auto"/>
        </w:pBdr>
        <w:spacing w:before="0" w:line="240" w:lineRule="auto"/>
        <w:rPr>
          <w:iCs/>
          <w:lang w:val="cs-CZ"/>
        </w:rPr>
      </w:pPr>
      <w:r w:rsidRPr="00A708C6">
        <w:rPr>
          <w:lang w:val="cs-CZ"/>
        </w:rPr>
        <w:t xml:space="preserve">Notes: </w:t>
      </w:r>
      <w:r w:rsidRPr="00A708C6">
        <w:rPr>
          <w:iCs/>
        </w:rPr>
        <w:t>The year-on-year development of construction output (production)</w:t>
      </w:r>
      <w:r w:rsidR="002C6DF9" w:rsidRPr="00A708C6">
        <w:rPr>
          <w:iCs/>
        </w:rPr>
        <w:t xml:space="preserve"> is published after having been adjusted for</w:t>
      </w:r>
      <w:r w:rsidR="00B908C6" w:rsidRPr="00A708C6">
        <w:rPr>
          <w:iCs/>
        </w:rPr>
        <w:t xml:space="preserve"> the influence of</w:t>
      </w:r>
      <w:r w:rsidR="002C6DF9" w:rsidRPr="00A708C6">
        <w:rPr>
          <w:iCs/>
        </w:rPr>
        <w:t xml:space="preserve"> the number of</w:t>
      </w:r>
      <w:r w:rsidRPr="00A708C6">
        <w:rPr>
          <w:iCs/>
        </w:rPr>
        <w:t xml:space="preserve"> working days. </w:t>
      </w:r>
    </w:p>
    <w:p w14:paraId="0E09BD9E" w14:textId="70B6734A" w:rsidR="00EB1484" w:rsidRPr="00A708C6" w:rsidRDefault="00EB1484" w:rsidP="00F61F23">
      <w:pPr>
        <w:pStyle w:val="Poznmky0"/>
        <w:pBdr>
          <w:top w:val="single" w:sz="4" w:space="1" w:color="auto"/>
        </w:pBdr>
        <w:spacing w:before="0" w:line="240" w:lineRule="auto"/>
        <w:rPr>
          <w:rStyle w:val="Hypertextovodkaz"/>
          <w:iCs/>
          <w:color w:val="auto"/>
          <w:u w:val="none"/>
        </w:rPr>
      </w:pPr>
      <w:r w:rsidRPr="00A708C6">
        <w:rPr>
          <w:iCs/>
        </w:rPr>
        <w:t xml:space="preserve">Methodology: </w:t>
      </w:r>
      <w:hyperlink r:id="rId10" w:history="1">
        <w:r w:rsidR="00AA3AAC" w:rsidRPr="00A708C6">
          <w:rPr>
            <w:rStyle w:val="Hypertextovodkaz"/>
          </w:rPr>
          <w:t>https://csu.gov.cz/sta_m</w:t>
        </w:r>
      </w:hyperlink>
    </w:p>
    <w:p w14:paraId="7599C000" w14:textId="7A2F56B8" w:rsidR="00F31BA5" w:rsidRPr="00A708C6" w:rsidRDefault="00F31BA5" w:rsidP="00F31BA5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A708C6">
        <w:rPr>
          <w:i/>
          <w:color w:val="auto"/>
          <w:lang w:val="en-GB"/>
        </w:rPr>
        <w:t>Contact person:</w:t>
      </w:r>
      <w:r w:rsidRPr="00A708C6">
        <w:rPr>
          <w:i/>
          <w:color w:val="auto"/>
          <w:lang w:val="en-GB"/>
        </w:rPr>
        <w:tab/>
        <w:t xml:space="preserve">Petra </w:t>
      </w:r>
      <w:r w:rsidR="0020643B" w:rsidRPr="00A708C6">
        <w:rPr>
          <w:i/>
          <w:color w:val="auto"/>
          <w:lang w:val="en-GB"/>
        </w:rPr>
        <w:t>Kačírková</w:t>
      </w:r>
      <w:r w:rsidRPr="00A708C6">
        <w:rPr>
          <w:i/>
          <w:color w:val="auto"/>
          <w:lang w:val="en-GB"/>
        </w:rPr>
        <w:t xml:space="preserve">, </w:t>
      </w:r>
      <w:r w:rsidR="0020643B" w:rsidRPr="00A708C6">
        <w:rPr>
          <w:i/>
          <w:color w:val="auto"/>
          <w:lang w:val="en-GB"/>
        </w:rPr>
        <w:t>Officer Specialist in</w:t>
      </w:r>
      <w:r w:rsidRPr="00A708C6">
        <w:rPr>
          <w:i/>
          <w:color w:val="auto"/>
          <w:lang w:val="en-GB"/>
        </w:rPr>
        <w:t xml:space="preserve"> the Construction Statistics Unit, phone number: (+420) </w:t>
      </w:r>
      <w:r w:rsidRPr="00A708C6">
        <w:rPr>
          <w:i/>
          <w:lang w:val="en-GB"/>
        </w:rPr>
        <w:t>73</w:t>
      </w:r>
      <w:r w:rsidR="0020643B" w:rsidRPr="00A708C6">
        <w:rPr>
          <w:i/>
          <w:lang w:val="en-GB"/>
        </w:rPr>
        <w:t>2</w:t>
      </w:r>
      <w:r w:rsidRPr="00A708C6">
        <w:rPr>
          <w:i/>
          <w:lang w:val="en-GB"/>
        </w:rPr>
        <w:t> 280 </w:t>
      </w:r>
      <w:r w:rsidR="0020643B" w:rsidRPr="00A708C6">
        <w:rPr>
          <w:i/>
          <w:lang w:val="en-GB"/>
        </w:rPr>
        <w:t>390</w:t>
      </w:r>
      <w:r w:rsidRPr="00A708C6">
        <w:rPr>
          <w:i/>
          <w:color w:val="auto"/>
          <w:lang w:val="en-GB"/>
        </w:rPr>
        <w:t xml:space="preserve">, </w:t>
      </w:r>
    </w:p>
    <w:p w14:paraId="5A652211" w14:textId="1FF926C6" w:rsidR="00EB1484" w:rsidRPr="00A708C6" w:rsidRDefault="005E579A" w:rsidP="00F31BA5">
      <w:pPr>
        <w:pStyle w:val="Poznmky"/>
        <w:pBdr>
          <w:top w:val="none" w:sz="0" w:space="0" w:color="auto"/>
        </w:pBdr>
        <w:spacing w:before="0"/>
        <w:ind w:left="3544"/>
        <w:rPr>
          <w:i/>
          <w:color w:val="auto"/>
          <w:lang w:val="fr-FR"/>
        </w:rPr>
      </w:pPr>
      <w:r w:rsidRPr="00A708C6">
        <w:rPr>
          <w:i/>
          <w:color w:val="auto"/>
          <w:lang w:val="fr-FR"/>
        </w:rPr>
        <w:t>e-</w:t>
      </w:r>
      <w:r w:rsidR="00F31BA5" w:rsidRPr="00A708C6">
        <w:rPr>
          <w:i/>
          <w:color w:val="auto"/>
          <w:lang w:val="fr-FR"/>
        </w:rPr>
        <w:t xml:space="preserve">mail: </w:t>
      </w:r>
      <w:hyperlink r:id="rId11" w:history="1">
        <w:r w:rsidR="0020643B" w:rsidRPr="00A708C6">
          <w:rPr>
            <w:rStyle w:val="Hypertextovodkaz"/>
            <w:rFonts w:cs="Arial"/>
            <w:i/>
            <w:lang w:val="fr-FR"/>
          </w:rPr>
          <w:t>petra.kacirkova@csu.gov.cz</w:t>
        </w:r>
      </w:hyperlink>
    </w:p>
    <w:p w14:paraId="65E41517" w14:textId="23BFF23F" w:rsidR="002033EA" w:rsidRPr="00A708C6" w:rsidRDefault="00EB1484" w:rsidP="00192F53">
      <w:pPr>
        <w:pStyle w:val="Poznmky"/>
        <w:pBdr>
          <w:top w:val="none" w:sz="0" w:space="0" w:color="auto"/>
        </w:pBdr>
        <w:spacing w:before="0" w:line="240" w:lineRule="auto"/>
        <w:ind w:left="3544" w:hanging="3544"/>
        <w:jc w:val="both"/>
      </w:pPr>
      <w:r w:rsidRPr="00A708C6">
        <w:rPr>
          <w:i/>
          <w:color w:val="auto"/>
          <w:lang w:val="en-GB"/>
        </w:rPr>
        <w:t>Related outputs:</w:t>
      </w:r>
      <w:r w:rsidRPr="00A708C6">
        <w:rPr>
          <w:i/>
          <w:color w:val="auto"/>
          <w:lang w:val="en-GB"/>
        </w:rPr>
        <w:tab/>
      </w:r>
      <w:hyperlink r:id="rId12" w:history="1">
        <w:r w:rsidR="00192F53" w:rsidRPr="00A708C6">
          <w:rPr>
            <w:rStyle w:val="Hypertextovodkaz"/>
            <w:i/>
          </w:rPr>
          <w:t>https://data.csu.gov.cz/datastat/dash?aPolozka=STAV01</w:t>
        </w:r>
      </w:hyperlink>
    </w:p>
    <w:p w14:paraId="682FFACB" w14:textId="2A04AA4C" w:rsidR="00EB1484" w:rsidRPr="00A708C6" w:rsidRDefault="002033EA" w:rsidP="002033EA">
      <w:pPr>
        <w:pStyle w:val="Poznmky"/>
        <w:pBdr>
          <w:top w:val="none" w:sz="0" w:space="0" w:color="auto"/>
        </w:pBdr>
        <w:spacing w:before="0"/>
        <w:ind w:left="3544"/>
        <w:rPr>
          <w:lang w:val="en-GB"/>
        </w:rPr>
      </w:pPr>
      <w:hyperlink r:id="rId13" w:history="1">
        <w:r w:rsidRPr="00A708C6">
          <w:rPr>
            <w:rStyle w:val="Hypertextovodkaz"/>
            <w:i/>
            <w:iCs/>
          </w:rPr>
          <w:t>https://data.csu.gov.cz/datastat/dash?aPolozka=STAV02</w:t>
        </w:r>
      </w:hyperlink>
      <w:r w:rsidRPr="00A708C6">
        <w:t xml:space="preserve"> </w:t>
      </w:r>
      <w:hyperlink r:id="rId14" w:history="1">
        <w:r w:rsidRPr="00A708C6">
          <w:rPr>
            <w:rStyle w:val="Hypertextovodkaz"/>
            <w:i/>
            <w:iCs/>
          </w:rPr>
          <w:t>https://data.csu.gov.cz/datastat/dash?aPolozka=STAV03</w:t>
        </w:r>
      </w:hyperlink>
    </w:p>
    <w:p w14:paraId="13B51CD5" w14:textId="77777777" w:rsidR="00EB1484" w:rsidRPr="00E21133" w:rsidRDefault="00EB1484" w:rsidP="00EB1484">
      <w:pPr>
        <w:pStyle w:val="Poznmky"/>
        <w:pBdr>
          <w:top w:val="none" w:sz="0" w:space="0" w:color="auto"/>
        </w:pBdr>
        <w:spacing w:before="0" w:line="242" w:lineRule="auto"/>
        <w:ind w:left="3544" w:hanging="3544"/>
        <w:jc w:val="both"/>
        <w:rPr>
          <w:i/>
          <w:lang w:val="fr-FR"/>
        </w:rPr>
      </w:pPr>
      <w:r w:rsidRPr="00A708C6">
        <w:rPr>
          <w:i/>
          <w:color w:val="auto"/>
          <w:lang w:val="en-GB"/>
        </w:rPr>
        <w:tab/>
      </w:r>
      <w:r w:rsidRPr="00A708C6">
        <w:rPr>
          <w:i/>
          <w:color w:val="auto"/>
          <w:lang w:val="fr-FR"/>
        </w:rPr>
        <w:t xml:space="preserve">international comparison in EU countries: </w:t>
      </w:r>
      <w:hyperlink r:id="rId15" w:history="1">
        <w:r w:rsidRPr="00A708C6">
          <w:rPr>
            <w:rStyle w:val="Hypertextovodkaz"/>
            <w:i/>
            <w:lang w:val="fr-FR"/>
          </w:rPr>
          <w:t>Eurostat</w:t>
        </w:r>
      </w:hyperlink>
    </w:p>
    <w:p w14:paraId="2F98C3FF" w14:textId="77777777" w:rsidR="00EB1484" w:rsidRPr="00281332" w:rsidRDefault="00EB1484" w:rsidP="00EB1484">
      <w:pPr>
        <w:pStyle w:val="Poznmkykontaktytext"/>
        <w:rPr>
          <w:i w:val="0"/>
          <w:iCs w:val="0"/>
          <w:color w:val="auto"/>
          <w:sz w:val="20"/>
          <w:szCs w:val="20"/>
          <w:lang w:val="fr-FR"/>
        </w:rPr>
      </w:pPr>
    </w:p>
    <w:sectPr w:rsidR="00EB1484" w:rsidRPr="00281332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6687" w14:textId="77777777" w:rsidR="00F619D5" w:rsidRDefault="00F619D5" w:rsidP="00BA6370">
      <w:r>
        <w:separator/>
      </w:r>
    </w:p>
  </w:endnote>
  <w:endnote w:type="continuationSeparator" w:id="0">
    <w:p w14:paraId="141A9F2C" w14:textId="77777777" w:rsidR="00F619D5" w:rsidRDefault="00F619D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3" w14:textId="6E4D7B8B" w:rsidR="003D0499" w:rsidRDefault="005460F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019B95" wp14:editId="5F663008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19B97" w14:textId="77777777"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56019B98" w14:textId="77777777" w:rsidR="00380178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56019B99" w14:textId="77777777"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="00EA4798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56019B9A" w14:textId="284EEE33" w:rsidR="00380178" w:rsidRPr="00EB1484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fr-FR"/>
                            </w:rPr>
                          </w:pPr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tel: +420 </w:t>
                          </w:r>
                          <w:r w:rsidR="000B6773"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274 056 789</w:t>
                          </w:r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, e-mail: </w:t>
                          </w:r>
                          <w:hyperlink r:id="rId2" w:history="1">
                            <w:r w:rsidR="00EA4798" w:rsidRPr="00EB1484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fr-FR"/>
                              </w:rPr>
                              <w:t>infoservis@csu.gov.cz</w:t>
                            </w:r>
                          </w:hyperlink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ab/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EB1484">
                            <w:rPr>
                              <w:rFonts w:cs="Arial"/>
                              <w:szCs w:val="15"/>
                              <w:lang w:val="fr-FR"/>
                            </w:rPr>
                            <w:instrText xml:space="preserve"> PAGE   \* MERGEFORMAT </w:instrTex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BE08AB">
                            <w:rPr>
                              <w:rFonts w:cs="Arial"/>
                              <w:noProof/>
                              <w:szCs w:val="15"/>
                              <w:lang w:val="fr-FR"/>
                            </w:rPr>
                            <w:t>1</w: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19B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56019B97" w14:textId="77777777"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56019B98" w14:textId="77777777" w:rsidR="00380178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56019B99" w14:textId="77777777"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="00EA4798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56019B9A" w14:textId="284EEE33" w:rsidR="00380178" w:rsidRPr="00EB1484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fr-FR"/>
                      </w:rPr>
                    </w:pPr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tel: +420 </w:t>
                    </w:r>
                    <w:r w:rsidR="000B6773"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>274 056 789</w:t>
                    </w:r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, e-mail: </w:t>
                    </w:r>
                    <w:hyperlink r:id="rId4" w:history="1">
                      <w:r w:rsidR="00EA4798" w:rsidRPr="00EB1484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fr-FR"/>
                        </w:rPr>
                        <w:t>infoservis@csu.gov.cz</w:t>
                      </w:r>
                    </w:hyperlink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ab/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EB1484">
                      <w:rPr>
                        <w:rFonts w:cs="Arial"/>
                        <w:szCs w:val="15"/>
                        <w:lang w:val="fr-FR"/>
                      </w:rPr>
                      <w:instrText xml:space="preserve"> PAGE   \* MERGEFORMAT </w:instrTex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BE08AB">
                      <w:rPr>
                        <w:rFonts w:cs="Arial"/>
                        <w:noProof/>
                        <w:szCs w:val="15"/>
                        <w:lang w:val="fr-FR"/>
                      </w:rPr>
                      <w:t>1</w: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6019B96" wp14:editId="6D1B8A1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37600893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480DE6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FF816" w14:textId="77777777" w:rsidR="00F619D5" w:rsidRDefault="00F619D5" w:rsidP="00BA6370">
      <w:r>
        <w:separator/>
      </w:r>
    </w:p>
  </w:footnote>
  <w:footnote w:type="continuationSeparator" w:id="0">
    <w:p w14:paraId="099A477A" w14:textId="77777777" w:rsidR="00F619D5" w:rsidRDefault="00F619D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2" w14:textId="2BBB27BC" w:rsidR="003D0499" w:rsidRDefault="005460FC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6019B94" wp14:editId="2CA75D83">
          <wp:simplePos x="0" y="0"/>
          <wp:positionH relativeFrom="column">
            <wp:posOffset>-882015</wp:posOffset>
          </wp:positionH>
          <wp:positionV relativeFrom="paragraph">
            <wp:posOffset>100965</wp:posOffset>
          </wp:positionV>
          <wp:extent cx="6429375" cy="1018540"/>
          <wp:effectExtent l="0" t="0" r="0" b="0"/>
          <wp:wrapNone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FB"/>
    <w:rsid w:val="000039F2"/>
    <w:rsid w:val="00016BB4"/>
    <w:rsid w:val="0002335E"/>
    <w:rsid w:val="00026274"/>
    <w:rsid w:val="000352FC"/>
    <w:rsid w:val="00043BF4"/>
    <w:rsid w:val="00052E0D"/>
    <w:rsid w:val="00053F51"/>
    <w:rsid w:val="000560A0"/>
    <w:rsid w:val="000639EB"/>
    <w:rsid w:val="00081A10"/>
    <w:rsid w:val="00083298"/>
    <w:rsid w:val="00084288"/>
    <w:rsid w:val="000843A5"/>
    <w:rsid w:val="000856D7"/>
    <w:rsid w:val="00091722"/>
    <w:rsid w:val="0009615A"/>
    <w:rsid w:val="000A676A"/>
    <w:rsid w:val="000B6773"/>
    <w:rsid w:val="000B6F63"/>
    <w:rsid w:val="000C67DB"/>
    <w:rsid w:val="000D7B3A"/>
    <w:rsid w:val="00100149"/>
    <w:rsid w:val="00103640"/>
    <w:rsid w:val="00106D28"/>
    <w:rsid w:val="00116ED1"/>
    <w:rsid w:val="001220DB"/>
    <w:rsid w:val="00123849"/>
    <w:rsid w:val="00124A32"/>
    <w:rsid w:val="0012552D"/>
    <w:rsid w:val="0013242C"/>
    <w:rsid w:val="001404AB"/>
    <w:rsid w:val="00140B0F"/>
    <w:rsid w:val="001613A7"/>
    <w:rsid w:val="001617D7"/>
    <w:rsid w:val="00162141"/>
    <w:rsid w:val="00165717"/>
    <w:rsid w:val="001665C4"/>
    <w:rsid w:val="00170832"/>
    <w:rsid w:val="0017231D"/>
    <w:rsid w:val="00176E26"/>
    <w:rsid w:val="0018061F"/>
    <w:rsid w:val="00180634"/>
    <w:rsid w:val="00180DE0"/>
    <w:rsid w:val="001810DC"/>
    <w:rsid w:val="00186CBD"/>
    <w:rsid w:val="00187F74"/>
    <w:rsid w:val="00192F53"/>
    <w:rsid w:val="00196A38"/>
    <w:rsid w:val="001A2908"/>
    <w:rsid w:val="001A33C0"/>
    <w:rsid w:val="001A403A"/>
    <w:rsid w:val="001B607F"/>
    <w:rsid w:val="001C71FD"/>
    <w:rsid w:val="001D0F92"/>
    <w:rsid w:val="001D1A51"/>
    <w:rsid w:val="001D369A"/>
    <w:rsid w:val="001F08B3"/>
    <w:rsid w:val="001F142F"/>
    <w:rsid w:val="001F322C"/>
    <w:rsid w:val="00201997"/>
    <w:rsid w:val="002033EA"/>
    <w:rsid w:val="0020643B"/>
    <w:rsid w:val="002070FB"/>
    <w:rsid w:val="00213729"/>
    <w:rsid w:val="0021565B"/>
    <w:rsid w:val="00233A91"/>
    <w:rsid w:val="002406FA"/>
    <w:rsid w:val="00246E09"/>
    <w:rsid w:val="00254E69"/>
    <w:rsid w:val="00255C0B"/>
    <w:rsid w:val="00256693"/>
    <w:rsid w:val="002579D1"/>
    <w:rsid w:val="00260744"/>
    <w:rsid w:val="0026220B"/>
    <w:rsid w:val="00264FF0"/>
    <w:rsid w:val="00271E82"/>
    <w:rsid w:val="00272B45"/>
    <w:rsid w:val="00281332"/>
    <w:rsid w:val="002861AE"/>
    <w:rsid w:val="00286DA3"/>
    <w:rsid w:val="00296F28"/>
    <w:rsid w:val="00297900"/>
    <w:rsid w:val="002A5EB4"/>
    <w:rsid w:val="002B2E47"/>
    <w:rsid w:val="002C6215"/>
    <w:rsid w:val="002C6DF9"/>
    <w:rsid w:val="002C74CA"/>
    <w:rsid w:val="002D19D7"/>
    <w:rsid w:val="002D2707"/>
    <w:rsid w:val="002D3104"/>
    <w:rsid w:val="002D37F5"/>
    <w:rsid w:val="002D602F"/>
    <w:rsid w:val="002E0255"/>
    <w:rsid w:val="002E34C3"/>
    <w:rsid w:val="002F3110"/>
    <w:rsid w:val="002F72A1"/>
    <w:rsid w:val="00302019"/>
    <w:rsid w:val="00313F69"/>
    <w:rsid w:val="0031635F"/>
    <w:rsid w:val="003227AC"/>
    <w:rsid w:val="0032398D"/>
    <w:rsid w:val="00325E7D"/>
    <w:rsid w:val="003301A3"/>
    <w:rsid w:val="0033191D"/>
    <w:rsid w:val="00340181"/>
    <w:rsid w:val="00340A34"/>
    <w:rsid w:val="003420B8"/>
    <w:rsid w:val="00350039"/>
    <w:rsid w:val="0035405C"/>
    <w:rsid w:val="0036777B"/>
    <w:rsid w:val="0037722D"/>
    <w:rsid w:val="00377B73"/>
    <w:rsid w:val="00380178"/>
    <w:rsid w:val="0038282A"/>
    <w:rsid w:val="00385734"/>
    <w:rsid w:val="00391146"/>
    <w:rsid w:val="003919EA"/>
    <w:rsid w:val="0039244D"/>
    <w:rsid w:val="00395F76"/>
    <w:rsid w:val="00397580"/>
    <w:rsid w:val="003A0D99"/>
    <w:rsid w:val="003A2668"/>
    <w:rsid w:val="003A45C8"/>
    <w:rsid w:val="003A49E2"/>
    <w:rsid w:val="003B7F42"/>
    <w:rsid w:val="003C0F4A"/>
    <w:rsid w:val="003C2C18"/>
    <w:rsid w:val="003C2DCF"/>
    <w:rsid w:val="003C30E8"/>
    <w:rsid w:val="003C3372"/>
    <w:rsid w:val="003C65BD"/>
    <w:rsid w:val="003C7FE7"/>
    <w:rsid w:val="003D02AA"/>
    <w:rsid w:val="003D0499"/>
    <w:rsid w:val="003D3576"/>
    <w:rsid w:val="003D582A"/>
    <w:rsid w:val="003E2A61"/>
    <w:rsid w:val="003E48B7"/>
    <w:rsid w:val="003F043B"/>
    <w:rsid w:val="003F12B6"/>
    <w:rsid w:val="003F44EF"/>
    <w:rsid w:val="003F526A"/>
    <w:rsid w:val="00405244"/>
    <w:rsid w:val="00413E1B"/>
    <w:rsid w:val="00431458"/>
    <w:rsid w:val="00436D82"/>
    <w:rsid w:val="004436EE"/>
    <w:rsid w:val="004452C4"/>
    <w:rsid w:val="00445DF6"/>
    <w:rsid w:val="00452914"/>
    <w:rsid w:val="00452EBD"/>
    <w:rsid w:val="0045547F"/>
    <w:rsid w:val="0045609F"/>
    <w:rsid w:val="0046601E"/>
    <w:rsid w:val="004709F7"/>
    <w:rsid w:val="00471C60"/>
    <w:rsid w:val="004720C3"/>
    <w:rsid w:val="0048200F"/>
    <w:rsid w:val="004920AD"/>
    <w:rsid w:val="004977BD"/>
    <w:rsid w:val="004A0A06"/>
    <w:rsid w:val="004A6605"/>
    <w:rsid w:val="004B5467"/>
    <w:rsid w:val="004C0C56"/>
    <w:rsid w:val="004C1599"/>
    <w:rsid w:val="004C4B65"/>
    <w:rsid w:val="004D05B3"/>
    <w:rsid w:val="004D66D7"/>
    <w:rsid w:val="004E205A"/>
    <w:rsid w:val="004E30A0"/>
    <w:rsid w:val="004E479E"/>
    <w:rsid w:val="004E7F38"/>
    <w:rsid w:val="004F1FFF"/>
    <w:rsid w:val="004F4484"/>
    <w:rsid w:val="004F6E08"/>
    <w:rsid w:val="004F78E6"/>
    <w:rsid w:val="005050CE"/>
    <w:rsid w:val="00512D99"/>
    <w:rsid w:val="00526600"/>
    <w:rsid w:val="005274AF"/>
    <w:rsid w:val="00531DBB"/>
    <w:rsid w:val="0054249E"/>
    <w:rsid w:val="005460FC"/>
    <w:rsid w:val="005579D9"/>
    <w:rsid w:val="00557C8C"/>
    <w:rsid w:val="00563027"/>
    <w:rsid w:val="00563660"/>
    <w:rsid w:val="00564213"/>
    <w:rsid w:val="00567EEE"/>
    <w:rsid w:val="00572F47"/>
    <w:rsid w:val="005744C1"/>
    <w:rsid w:val="005752A5"/>
    <w:rsid w:val="00575C50"/>
    <w:rsid w:val="005815FD"/>
    <w:rsid w:val="005A0B4B"/>
    <w:rsid w:val="005A4741"/>
    <w:rsid w:val="005B56B4"/>
    <w:rsid w:val="005B68F4"/>
    <w:rsid w:val="005C10FF"/>
    <w:rsid w:val="005E579A"/>
    <w:rsid w:val="005F0906"/>
    <w:rsid w:val="005F79FB"/>
    <w:rsid w:val="006035DE"/>
    <w:rsid w:val="00604406"/>
    <w:rsid w:val="0060479F"/>
    <w:rsid w:val="00605F4A"/>
    <w:rsid w:val="00607822"/>
    <w:rsid w:val="006103AA"/>
    <w:rsid w:val="00611771"/>
    <w:rsid w:val="00611FDF"/>
    <w:rsid w:val="00613BBF"/>
    <w:rsid w:val="00614490"/>
    <w:rsid w:val="0062163B"/>
    <w:rsid w:val="00622B80"/>
    <w:rsid w:val="00630F24"/>
    <w:rsid w:val="00632E01"/>
    <w:rsid w:val="0064139A"/>
    <w:rsid w:val="0064209E"/>
    <w:rsid w:val="00650F85"/>
    <w:rsid w:val="0066467F"/>
    <w:rsid w:val="00666E6B"/>
    <w:rsid w:val="00684FE2"/>
    <w:rsid w:val="00685E54"/>
    <w:rsid w:val="00691A7B"/>
    <w:rsid w:val="00695CFD"/>
    <w:rsid w:val="00696B16"/>
    <w:rsid w:val="00696CCF"/>
    <w:rsid w:val="006A3AC3"/>
    <w:rsid w:val="006B157F"/>
    <w:rsid w:val="006B69A1"/>
    <w:rsid w:val="006C048E"/>
    <w:rsid w:val="006D153D"/>
    <w:rsid w:val="006D2420"/>
    <w:rsid w:val="006D5C60"/>
    <w:rsid w:val="006E024F"/>
    <w:rsid w:val="006E4E81"/>
    <w:rsid w:val="006E576C"/>
    <w:rsid w:val="006F427D"/>
    <w:rsid w:val="007002CD"/>
    <w:rsid w:val="00707F7D"/>
    <w:rsid w:val="00713119"/>
    <w:rsid w:val="007133C2"/>
    <w:rsid w:val="00713FB4"/>
    <w:rsid w:val="00717541"/>
    <w:rsid w:val="00717EC5"/>
    <w:rsid w:val="00737CE6"/>
    <w:rsid w:val="007439D5"/>
    <w:rsid w:val="0075004A"/>
    <w:rsid w:val="00750106"/>
    <w:rsid w:val="007510D9"/>
    <w:rsid w:val="007516F6"/>
    <w:rsid w:val="00751B2A"/>
    <w:rsid w:val="00755D8B"/>
    <w:rsid w:val="00756F3F"/>
    <w:rsid w:val="00760903"/>
    <w:rsid w:val="00763787"/>
    <w:rsid w:val="007646A0"/>
    <w:rsid w:val="007721C8"/>
    <w:rsid w:val="00774451"/>
    <w:rsid w:val="007751A2"/>
    <w:rsid w:val="00776AE8"/>
    <w:rsid w:val="00783B7B"/>
    <w:rsid w:val="00784615"/>
    <w:rsid w:val="00793D5D"/>
    <w:rsid w:val="00793D5F"/>
    <w:rsid w:val="00794775"/>
    <w:rsid w:val="0079624E"/>
    <w:rsid w:val="007A0CA5"/>
    <w:rsid w:val="007A219D"/>
    <w:rsid w:val="007A4C33"/>
    <w:rsid w:val="007A57F2"/>
    <w:rsid w:val="007B1333"/>
    <w:rsid w:val="007B5862"/>
    <w:rsid w:val="007C1CFB"/>
    <w:rsid w:val="007C2702"/>
    <w:rsid w:val="007E551F"/>
    <w:rsid w:val="007F0026"/>
    <w:rsid w:val="007F2414"/>
    <w:rsid w:val="007F49DC"/>
    <w:rsid w:val="007F4AEB"/>
    <w:rsid w:val="007F75B2"/>
    <w:rsid w:val="00800DEE"/>
    <w:rsid w:val="008043C4"/>
    <w:rsid w:val="00805D73"/>
    <w:rsid w:val="00815A8E"/>
    <w:rsid w:val="008167BB"/>
    <w:rsid w:val="00820F40"/>
    <w:rsid w:val="00831B1B"/>
    <w:rsid w:val="00840130"/>
    <w:rsid w:val="00855FB3"/>
    <w:rsid w:val="00861D0E"/>
    <w:rsid w:val="00867569"/>
    <w:rsid w:val="00880452"/>
    <w:rsid w:val="00885C0D"/>
    <w:rsid w:val="00891354"/>
    <w:rsid w:val="00892F11"/>
    <w:rsid w:val="00897308"/>
    <w:rsid w:val="008A7267"/>
    <w:rsid w:val="008A750A"/>
    <w:rsid w:val="008B3970"/>
    <w:rsid w:val="008B641E"/>
    <w:rsid w:val="008C1792"/>
    <w:rsid w:val="008C384C"/>
    <w:rsid w:val="008C6AC3"/>
    <w:rsid w:val="008D0F11"/>
    <w:rsid w:val="008D11A0"/>
    <w:rsid w:val="008D2074"/>
    <w:rsid w:val="008D6E6F"/>
    <w:rsid w:val="008E103A"/>
    <w:rsid w:val="008F73B4"/>
    <w:rsid w:val="009032B4"/>
    <w:rsid w:val="009035E8"/>
    <w:rsid w:val="00905170"/>
    <w:rsid w:val="00912FF6"/>
    <w:rsid w:val="00920D34"/>
    <w:rsid w:val="00922DF4"/>
    <w:rsid w:val="00923C94"/>
    <w:rsid w:val="00947D67"/>
    <w:rsid w:val="00953416"/>
    <w:rsid w:val="009560F1"/>
    <w:rsid w:val="00957983"/>
    <w:rsid w:val="00961A11"/>
    <w:rsid w:val="00971374"/>
    <w:rsid w:val="009715B2"/>
    <w:rsid w:val="009879A1"/>
    <w:rsid w:val="00990038"/>
    <w:rsid w:val="00994314"/>
    <w:rsid w:val="00994D35"/>
    <w:rsid w:val="00996878"/>
    <w:rsid w:val="009B55B1"/>
    <w:rsid w:val="009B7D94"/>
    <w:rsid w:val="009C4D55"/>
    <w:rsid w:val="009D76FF"/>
    <w:rsid w:val="009E39C5"/>
    <w:rsid w:val="009F191D"/>
    <w:rsid w:val="009F3B26"/>
    <w:rsid w:val="009F7CCE"/>
    <w:rsid w:val="00A0696E"/>
    <w:rsid w:val="00A07BA7"/>
    <w:rsid w:val="00A17409"/>
    <w:rsid w:val="00A174B4"/>
    <w:rsid w:val="00A177D7"/>
    <w:rsid w:val="00A2316C"/>
    <w:rsid w:val="00A25974"/>
    <w:rsid w:val="00A35E5D"/>
    <w:rsid w:val="00A4343D"/>
    <w:rsid w:val="00A444D0"/>
    <w:rsid w:val="00A45D22"/>
    <w:rsid w:val="00A502F1"/>
    <w:rsid w:val="00A524BB"/>
    <w:rsid w:val="00A550B1"/>
    <w:rsid w:val="00A701EF"/>
    <w:rsid w:val="00A708C6"/>
    <w:rsid w:val="00A70A83"/>
    <w:rsid w:val="00A750C7"/>
    <w:rsid w:val="00A76A50"/>
    <w:rsid w:val="00A81EB3"/>
    <w:rsid w:val="00A85B8B"/>
    <w:rsid w:val="00A941F4"/>
    <w:rsid w:val="00AA27B1"/>
    <w:rsid w:val="00AA3AAC"/>
    <w:rsid w:val="00AA631B"/>
    <w:rsid w:val="00AB00E0"/>
    <w:rsid w:val="00AB0A4F"/>
    <w:rsid w:val="00AB4610"/>
    <w:rsid w:val="00AB6196"/>
    <w:rsid w:val="00AB6C40"/>
    <w:rsid w:val="00AC3140"/>
    <w:rsid w:val="00AD2209"/>
    <w:rsid w:val="00AD618A"/>
    <w:rsid w:val="00AE27C7"/>
    <w:rsid w:val="00AE47B4"/>
    <w:rsid w:val="00AF4346"/>
    <w:rsid w:val="00AF5183"/>
    <w:rsid w:val="00AF6911"/>
    <w:rsid w:val="00B00C1D"/>
    <w:rsid w:val="00B013F2"/>
    <w:rsid w:val="00B01C3B"/>
    <w:rsid w:val="00B121AC"/>
    <w:rsid w:val="00B13140"/>
    <w:rsid w:val="00B13C74"/>
    <w:rsid w:val="00B242A0"/>
    <w:rsid w:val="00B26ACD"/>
    <w:rsid w:val="00B35C26"/>
    <w:rsid w:val="00B544DE"/>
    <w:rsid w:val="00B555D3"/>
    <w:rsid w:val="00B632CC"/>
    <w:rsid w:val="00B644EA"/>
    <w:rsid w:val="00B7212A"/>
    <w:rsid w:val="00B73BB6"/>
    <w:rsid w:val="00B75F7F"/>
    <w:rsid w:val="00B82FA0"/>
    <w:rsid w:val="00B848F7"/>
    <w:rsid w:val="00B8540A"/>
    <w:rsid w:val="00B908C6"/>
    <w:rsid w:val="00B96A9A"/>
    <w:rsid w:val="00BA12F1"/>
    <w:rsid w:val="00BA439F"/>
    <w:rsid w:val="00BA5AB3"/>
    <w:rsid w:val="00BA6370"/>
    <w:rsid w:val="00BD6281"/>
    <w:rsid w:val="00BE08AB"/>
    <w:rsid w:val="00BE15DD"/>
    <w:rsid w:val="00BE397F"/>
    <w:rsid w:val="00BF524B"/>
    <w:rsid w:val="00C03AD9"/>
    <w:rsid w:val="00C05BF9"/>
    <w:rsid w:val="00C17CDE"/>
    <w:rsid w:val="00C245A8"/>
    <w:rsid w:val="00C2623B"/>
    <w:rsid w:val="00C269D4"/>
    <w:rsid w:val="00C33E29"/>
    <w:rsid w:val="00C4160D"/>
    <w:rsid w:val="00C46A8F"/>
    <w:rsid w:val="00C51ADE"/>
    <w:rsid w:val="00C5709F"/>
    <w:rsid w:val="00C607B3"/>
    <w:rsid w:val="00C646C6"/>
    <w:rsid w:val="00C6492D"/>
    <w:rsid w:val="00C67A98"/>
    <w:rsid w:val="00C72CC8"/>
    <w:rsid w:val="00C74C8B"/>
    <w:rsid w:val="00C76697"/>
    <w:rsid w:val="00C8406E"/>
    <w:rsid w:val="00C87EF9"/>
    <w:rsid w:val="00C93E33"/>
    <w:rsid w:val="00C945A6"/>
    <w:rsid w:val="00CA4569"/>
    <w:rsid w:val="00CB2709"/>
    <w:rsid w:val="00CB6159"/>
    <w:rsid w:val="00CB6F89"/>
    <w:rsid w:val="00CB743F"/>
    <w:rsid w:val="00CB76A0"/>
    <w:rsid w:val="00CD19C7"/>
    <w:rsid w:val="00CD452F"/>
    <w:rsid w:val="00CD67A1"/>
    <w:rsid w:val="00CE228C"/>
    <w:rsid w:val="00CE71D9"/>
    <w:rsid w:val="00CF50B6"/>
    <w:rsid w:val="00CF545B"/>
    <w:rsid w:val="00CF6D1E"/>
    <w:rsid w:val="00D029E0"/>
    <w:rsid w:val="00D05FB2"/>
    <w:rsid w:val="00D11545"/>
    <w:rsid w:val="00D14033"/>
    <w:rsid w:val="00D209A7"/>
    <w:rsid w:val="00D27D69"/>
    <w:rsid w:val="00D33738"/>
    <w:rsid w:val="00D448C2"/>
    <w:rsid w:val="00D47B67"/>
    <w:rsid w:val="00D510D6"/>
    <w:rsid w:val="00D56868"/>
    <w:rsid w:val="00D619A9"/>
    <w:rsid w:val="00D63EAC"/>
    <w:rsid w:val="00D659E4"/>
    <w:rsid w:val="00D661D6"/>
    <w:rsid w:val="00D666C3"/>
    <w:rsid w:val="00D70A4E"/>
    <w:rsid w:val="00D7547E"/>
    <w:rsid w:val="00D811AB"/>
    <w:rsid w:val="00D850D1"/>
    <w:rsid w:val="00D8678D"/>
    <w:rsid w:val="00D91892"/>
    <w:rsid w:val="00D95BCE"/>
    <w:rsid w:val="00DA1AB4"/>
    <w:rsid w:val="00DA20DA"/>
    <w:rsid w:val="00DA2E48"/>
    <w:rsid w:val="00DA5140"/>
    <w:rsid w:val="00DC0680"/>
    <w:rsid w:val="00DC53C7"/>
    <w:rsid w:val="00DD069F"/>
    <w:rsid w:val="00DD5E0E"/>
    <w:rsid w:val="00DF2376"/>
    <w:rsid w:val="00DF47FE"/>
    <w:rsid w:val="00E0156A"/>
    <w:rsid w:val="00E02355"/>
    <w:rsid w:val="00E04341"/>
    <w:rsid w:val="00E146E4"/>
    <w:rsid w:val="00E1630A"/>
    <w:rsid w:val="00E21133"/>
    <w:rsid w:val="00E25A5C"/>
    <w:rsid w:val="00E26704"/>
    <w:rsid w:val="00E31980"/>
    <w:rsid w:val="00E36E32"/>
    <w:rsid w:val="00E374A0"/>
    <w:rsid w:val="00E443E8"/>
    <w:rsid w:val="00E538DC"/>
    <w:rsid w:val="00E540C8"/>
    <w:rsid w:val="00E6423C"/>
    <w:rsid w:val="00E7072C"/>
    <w:rsid w:val="00E71483"/>
    <w:rsid w:val="00E749E0"/>
    <w:rsid w:val="00E82FAA"/>
    <w:rsid w:val="00E83B7D"/>
    <w:rsid w:val="00E91382"/>
    <w:rsid w:val="00E93830"/>
    <w:rsid w:val="00E93E0E"/>
    <w:rsid w:val="00E95D85"/>
    <w:rsid w:val="00E97D55"/>
    <w:rsid w:val="00EA109D"/>
    <w:rsid w:val="00EA4798"/>
    <w:rsid w:val="00EA65B2"/>
    <w:rsid w:val="00EA6CDE"/>
    <w:rsid w:val="00EB080B"/>
    <w:rsid w:val="00EB1484"/>
    <w:rsid w:val="00EB1A25"/>
    <w:rsid w:val="00EB1ED3"/>
    <w:rsid w:val="00EB2AB8"/>
    <w:rsid w:val="00EE34A0"/>
    <w:rsid w:val="00EE6E76"/>
    <w:rsid w:val="00EE70B7"/>
    <w:rsid w:val="00F002EF"/>
    <w:rsid w:val="00F01D07"/>
    <w:rsid w:val="00F02D8B"/>
    <w:rsid w:val="00F04B8D"/>
    <w:rsid w:val="00F06813"/>
    <w:rsid w:val="00F07897"/>
    <w:rsid w:val="00F07E6F"/>
    <w:rsid w:val="00F12A92"/>
    <w:rsid w:val="00F14927"/>
    <w:rsid w:val="00F157D1"/>
    <w:rsid w:val="00F260FD"/>
    <w:rsid w:val="00F30A5A"/>
    <w:rsid w:val="00F314B7"/>
    <w:rsid w:val="00F31BA5"/>
    <w:rsid w:val="00F40071"/>
    <w:rsid w:val="00F408B1"/>
    <w:rsid w:val="00F43126"/>
    <w:rsid w:val="00F43757"/>
    <w:rsid w:val="00F456BD"/>
    <w:rsid w:val="00F46193"/>
    <w:rsid w:val="00F50681"/>
    <w:rsid w:val="00F60015"/>
    <w:rsid w:val="00F619D5"/>
    <w:rsid w:val="00F61F23"/>
    <w:rsid w:val="00F65917"/>
    <w:rsid w:val="00F83C49"/>
    <w:rsid w:val="00F87E83"/>
    <w:rsid w:val="00F90219"/>
    <w:rsid w:val="00F94B10"/>
    <w:rsid w:val="00F950C7"/>
    <w:rsid w:val="00F95614"/>
    <w:rsid w:val="00F97221"/>
    <w:rsid w:val="00FA0D93"/>
    <w:rsid w:val="00FA21EA"/>
    <w:rsid w:val="00FA63B0"/>
    <w:rsid w:val="00FB5149"/>
    <w:rsid w:val="00FB668E"/>
    <w:rsid w:val="00FB687C"/>
    <w:rsid w:val="00FC5BB1"/>
    <w:rsid w:val="00FC7789"/>
    <w:rsid w:val="00FD47D9"/>
    <w:rsid w:val="00FE114D"/>
    <w:rsid w:val="00FF1C2E"/>
    <w:rsid w:val="00FF4E23"/>
    <w:rsid w:val="00FF698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6019B82"/>
  <w15:docId w15:val="{A8DD69D6-1382-4011-A7B8-539A9A22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Zkladntext3">
    <w:name w:val="Body Text 3"/>
    <w:basedOn w:val="Normln"/>
    <w:link w:val="Zkladntext3Char"/>
    <w:semiHidden/>
    <w:unhideWhenUsed/>
    <w:rsid w:val="00EB1484"/>
    <w:pPr>
      <w:spacing w:after="120"/>
    </w:pPr>
    <w:rPr>
      <w:sz w:val="16"/>
      <w:szCs w:val="16"/>
      <w:lang w:val="cs-CZ"/>
    </w:rPr>
  </w:style>
  <w:style w:type="character" w:customStyle="1" w:styleId="Zkladntext3Char">
    <w:name w:val="Základní text 3 Char"/>
    <w:link w:val="Zkladntext3"/>
    <w:semiHidden/>
    <w:rsid w:val="00EB1484"/>
    <w:rPr>
      <w:rFonts w:ascii="Arial" w:hAnsi="Arial"/>
      <w:sz w:val="16"/>
      <w:szCs w:val="16"/>
      <w:lang w:eastAsia="en-US"/>
    </w:rPr>
  </w:style>
  <w:style w:type="paragraph" w:customStyle="1" w:styleId="datum0">
    <w:name w:val="datum"/>
    <w:next w:val="Normln"/>
    <w:rsid w:val="00EB1484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rsid w:val="00EB1484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AA3AAC"/>
    <w:rPr>
      <w:color w:val="800080"/>
      <w:u w:val="single"/>
    </w:rPr>
  </w:style>
  <w:style w:type="character" w:customStyle="1" w:styleId="odkaz-style-wrapper">
    <w:name w:val="odkaz-style-wrapper"/>
    <w:rsid w:val="00A2316C"/>
  </w:style>
  <w:style w:type="character" w:styleId="Odkaznakoment">
    <w:name w:val="annotation reference"/>
    <w:uiPriority w:val="99"/>
    <w:semiHidden/>
    <w:unhideWhenUsed/>
    <w:rsid w:val="00C8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7EF9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87EF9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EF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7EF9"/>
    <w:rPr>
      <w:rFonts w:ascii="Arial" w:hAnsi="Arial"/>
      <w:b/>
      <w:bCs/>
      <w:lang w:val="en-GB" w:eastAsia="en-US"/>
    </w:rPr>
  </w:style>
  <w:style w:type="character" w:styleId="Nevyeenzmnka">
    <w:name w:val="Unresolved Mention"/>
    <w:uiPriority w:val="99"/>
    <w:semiHidden/>
    <w:unhideWhenUsed/>
    <w:rsid w:val="00206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ata.csu.gov.cz/datastat/dash?aPolozka=STAV0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ata.csu.gov.cz/datastat/dash?aPolozka=STAV0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a.kacirkova@csu.gov.cz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short-term-business-statistics/publications" TargetMode="External"/><Relationship Id="rId10" Type="http://schemas.openxmlformats.org/officeDocument/2006/relationships/hyperlink" Target="https://csu.gov.cz/sta_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data.csu.gov.cz/datastat/dash?aPolozka=STAV03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1013FC-BCFD-431F-9FDE-ABF9499D24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905989-8C83-495A-A28B-56E599BCFB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4507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Kačírková Petra</cp:lastModifiedBy>
  <cp:revision>2</cp:revision>
  <dcterms:created xsi:type="dcterms:W3CDTF">2026-05-06T07:55:00Z</dcterms:created>
  <dcterms:modified xsi:type="dcterms:W3CDTF">2026-05-06T07:55:00Z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