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rawings/drawing1.xml" ContentType="application/vnd.openxmlformats-officedocument.drawingml.chartshap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35" w:rsidRPr="008B1A1D" w:rsidRDefault="00E7442B" w:rsidP="00981D35">
      <w:pPr>
        <w:pStyle w:val="Nzev"/>
        <w:rPr>
          <w:rFonts w:eastAsia="Calibri" w:cs="Arial"/>
          <w:bCs w:val="0"/>
          <w:color w:val="auto"/>
          <w:sz w:val="18"/>
          <w:szCs w:val="22"/>
        </w:rPr>
      </w:pPr>
      <w:r>
        <w:rPr>
          <w:rFonts w:eastAsia="Calibri" w:cs="Arial"/>
          <w:bCs w:val="0"/>
          <w:color w:val="auto"/>
          <w:sz w:val="18"/>
          <w:szCs w:val="22"/>
        </w:rPr>
        <w:t>1</w:t>
      </w:r>
      <w:r w:rsidR="00981D35" w:rsidRPr="00424047">
        <w:rPr>
          <w:rFonts w:eastAsia="Calibri" w:cs="Arial"/>
          <w:bCs w:val="0"/>
          <w:color w:val="auto"/>
          <w:sz w:val="18"/>
          <w:szCs w:val="22"/>
        </w:rPr>
        <w:t xml:space="preserve">. </w:t>
      </w:r>
      <w:r>
        <w:rPr>
          <w:rFonts w:eastAsia="Calibri" w:cs="Arial"/>
          <w:bCs w:val="0"/>
          <w:color w:val="auto"/>
          <w:sz w:val="18"/>
          <w:szCs w:val="22"/>
        </w:rPr>
        <w:t>12</w:t>
      </w:r>
      <w:r w:rsidR="00981D35" w:rsidRPr="00424047">
        <w:rPr>
          <w:rFonts w:eastAsia="Calibri" w:cs="Arial"/>
          <w:bCs w:val="0"/>
          <w:color w:val="auto"/>
          <w:sz w:val="18"/>
          <w:szCs w:val="22"/>
        </w:rPr>
        <w:t>. 20</w:t>
      </w:r>
      <w:r w:rsidR="00981D35">
        <w:rPr>
          <w:rFonts w:eastAsia="Calibri" w:cs="Arial"/>
          <w:bCs w:val="0"/>
          <w:color w:val="auto"/>
          <w:sz w:val="18"/>
          <w:szCs w:val="22"/>
        </w:rPr>
        <w:t>2</w:t>
      </w:r>
      <w:r w:rsidR="006707F8">
        <w:rPr>
          <w:rFonts w:eastAsia="Calibri" w:cs="Arial"/>
          <w:bCs w:val="0"/>
          <w:color w:val="auto"/>
          <w:sz w:val="18"/>
          <w:szCs w:val="22"/>
        </w:rPr>
        <w:t>3</w:t>
      </w:r>
    </w:p>
    <w:p w:rsidR="004B0766" w:rsidRPr="00424047" w:rsidRDefault="001E6846" w:rsidP="004B0766">
      <w:pPr>
        <w:pStyle w:val="Nzev"/>
        <w:spacing w:after="360"/>
      </w:pPr>
      <w:r>
        <w:t>HDP klesl</w:t>
      </w:r>
      <w:r w:rsidR="004B0766">
        <w:t xml:space="preserve"> </w:t>
      </w:r>
      <w:proofErr w:type="spellStart"/>
      <w:r w:rsidR="005905E0">
        <w:t>mezičtvrtletně</w:t>
      </w:r>
      <w:proofErr w:type="spellEnd"/>
      <w:r w:rsidR="005905E0">
        <w:t xml:space="preserve"> </w:t>
      </w:r>
      <w:r w:rsidR="004B0766">
        <w:t>o 0,</w:t>
      </w:r>
      <w:r w:rsidR="009362D1">
        <w:t>5</w:t>
      </w:r>
      <w:r w:rsidR="004B0766">
        <w:t xml:space="preserve"> %</w:t>
      </w:r>
    </w:p>
    <w:p w:rsidR="00605168" w:rsidRPr="00424047" w:rsidRDefault="00605168" w:rsidP="00605168">
      <w:pPr>
        <w:pStyle w:val="Podtitulek"/>
      </w:pPr>
      <w:r w:rsidRPr="00424047">
        <w:t xml:space="preserve">Tvorba a užití HDP – </w:t>
      </w:r>
      <w:r w:rsidR="00E7442B">
        <w:t>3</w:t>
      </w:r>
      <w:r>
        <w:t>. čtvrtletí 202</w:t>
      </w:r>
      <w:r w:rsidR="00696C6E">
        <w:t>3</w:t>
      </w:r>
    </w:p>
    <w:p w:rsidR="00605168" w:rsidRDefault="00605168" w:rsidP="00605168">
      <w:pPr>
        <w:pStyle w:val="Perex"/>
      </w:pPr>
      <w:r>
        <w:t xml:space="preserve">Podle zpřesněného odhadu </w:t>
      </w:r>
      <w:r w:rsidR="00E7442B">
        <w:t xml:space="preserve">klesl </w:t>
      </w:r>
      <w:r>
        <w:t>hrubý domácí produkt v</w:t>
      </w:r>
      <w:r w:rsidR="00932BAB">
        <w:t>e</w:t>
      </w:r>
      <w:r>
        <w:t xml:space="preserve"> </w:t>
      </w:r>
      <w:r w:rsidR="00E7442B">
        <w:t>3</w:t>
      </w:r>
      <w:r>
        <w:t xml:space="preserve">. čtvrtletí </w:t>
      </w:r>
      <w:proofErr w:type="spellStart"/>
      <w:r w:rsidR="00E7442B">
        <w:t>mezičtvrtletně</w:t>
      </w:r>
      <w:proofErr w:type="spellEnd"/>
      <w:r w:rsidR="00E7442B">
        <w:t xml:space="preserve"> </w:t>
      </w:r>
      <w:r w:rsidR="005905E0">
        <w:t>o</w:t>
      </w:r>
      <w:r w:rsidR="007D3ACD">
        <w:t> </w:t>
      </w:r>
      <w:bookmarkStart w:id="0" w:name="_GoBack"/>
      <w:bookmarkEnd w:id="0"/>
      <w:r w:rsidR="004B0766">
        <w:t>0,</w:t>
      </w:r>
      <w:r w:rsidR="009362D1">
        <w:t>5</w:t>
      </w:r>
      <w:r w:rsidR="005905E0">
        <w:t> </w:t>
      </w:r>
      <w:r w:rsidR="004B0766">
        <w:t xml:space="preserve">% a </w:t>
      </w:r>
      <w:r w:rsidR="00E7442B">
        <w:t xml:space="preserve">meziročně </w:t>
      </w:r>
      <w:r>
        <w:t>o</w:t>
      </w:r>
      <w:r w:rsidR="007D3ACD">
        <w:t xml:space="preserve"> </w:t>
      </w:r>
      <w:r w:rsidR="00F60747">
        <w:t>0</w:t>
      </w:r>
      <w:r w:rsidRPr="009E1D32">
        <w:t>,</w:t>
      </w:r>
      <w:r w:rsidR="009362D1">
        <w:t>7</w:t>
      </w:r>
      <w:r w:rsidRPr="009E1D32">
        <w:t xml:space="preserve"> %. </w:t>
      </w:r>
      <w:r w:rsidR="00740083">
        <w:t>M</w:t>
      </w:r>
      <w:r w:rsidRPr="009E1D32">
        <w:t xml:space="preserve">eziroční </w:t>
      </w:r>
      <w:r w:rsidR="00F60747">
        <w:t>pokles</w:t>
      </w:r>
      <w:r w:rsidRPr="009E1D32">
        <w:t xml:space="preserve"> HDP byl </w:t>
      </w:r>
      <w:r w:rsidR="00F60747">
        <w:t>ovlivněn</w:t>
      </w:r>
      <w:r w:rsidRPr="009E1D32">
        <w:t xml:space="preserve"> </w:t>
      </w:r>
      <w:r w:rsidR="00F60747">
        <w:t xml:space="preserve">nižšími </w:t>
      </w:r>
      <w:r w:rsidR="00436230">
        <w:t>výdaji na</w:t>
      </w:r>
      <w:r w:rsidRPr="009E1D32">
        <w:t xml:space="preserve"> konečn</w:t>
      </w:r>
      <w:r w:rsidR="00436230">
        <w:t>ou</w:t>
      </w:r>
      <w:r w:rsidRPr="009E1D32">
        <w:t xml:space="preserve"> spotřeb</w:t>
      </w:r>
      <w:r w:rsidR="00436230">
        <w:t>u</w:t>
      </w:r>
      <w:r w:rsidRPr="009E1D32">
        <w:t xml:space="preserve"> domácností a </w:t>
      </w:r>
      <w:r w:rsidR="003F50CE">
        <w:rPr>
          <w:bCs/>
          <w:szCs w:val="20"/>
        </w:rPr>
        <w:t>úbytkem zásob</w:t>
      </w:r>
      <w:r w:rsidR="00436230">
        <w:rPr>
          <w:bCs/>
          <w:szCs w:val="20"/>
        </w:rPr>
        <w:t xml:space="preserve">, naopak </w:t>
      </w:r>
      <w:r w:rsidR="00F60747">
        <w:rPr>
          <w:bCs/>
          <w:szCs w:val="20"/>
        </w:rPr>
        <w:t>pozit</w:t>
      </w:r>
      <w:r w:rsidR="003F50CE">
        <w:rPr>
          <w:bCs/>
          <w:szCs w:val="20"/>
        </w:rPr>
        <w:t>i</w:t>
      </w:r>
      <w:r w:rsidR="00BC7C67">
        <w:rPr>
          <w:bCs/>
          <w:szCs w:val="20"/>
        </w:rPr>
        <w:t>vně působily</w:t>
      </w:r>
      <w:r w:rsidR="00436230">
        <w:rPr>
          <w:bCs/>
          <w:szCs w:val="20"/>
        </w:rPr>
        <w:t xml:space="preserve"> </w:t>
      </w:r>
      <w:r w:rsidR="00BC7C67">
        <w:rPr>
          <w:bCs/>
          <w:szCs w:val="20"/>
        </w:rPr>
        <w:t xml:space="preserve">výdaje na konečnou spotřebu vládních institucí, tvorba hrubého fixního kapitálu </w:t>
      </w:r>
      <w:r w:rsidR="005905E0">
        <w:rPr>
          <w:bCs/>
          <w:szCs w:val="20"/>
        </w:rPr>
        <w:t>i</w:t>
      </w:r>
      <w:r w:rsidR="00BC7C67">
        <w:rPr>
          <w:bCs/>
          <w:szCs w:val="20"/>
        </w:rPr>
        <w:t xml:space="preserve"> </w:t>
      </w:r>
      <w:r w:rsidR="00436230">
        <w:rPr>
          <w:bCs/>
          <w:szCs w:val="20"/>
        </w:rPr>
        <w:t>zahraniční poptávka.</w:t>
      </w:r>
    </w:p>
    <w:p w:rsidR="00605168" w:rsidRPr="00C14765" w:rsidRDefault="00132CC4" w:rsidP="00605168">
      <w:pPr>
        <w:spacing w:before="240"/>
        <w:rPr>
          <w:rFonts w:cs="Arial"/>
          <w:szCs w:val="20"/>
        </w:rPr>
      </w:pPr>
      <w:r>
        <w:t>Z</w:t>
      </w:r>
      <w:r w:rsidR="00A9050F">
        <w:t>přesněn</w:t>
      </w:r>
      <w:r>
        <w:t>ý</w:t>
      </w:r>
      <w:r w:rsidR="00605168">
        <w:t xml:space="preserve"> odhad </w:t>
      </w:r>
      <w:r>
        <w:t xml:space="preserve">potvrdil </w:t>
      </w:r>
      <w:r w:rsidR="006D303D">
        <w:t xml:space="preserve">pokles </w:t>
      </w:r>
      <w:r w:rsidR="00A9050F">
        <w:t>č</w:t>
      </w:r>
      <w:r w:rsidR="00605168">
        <w:t>esk</w:t>
      </w:r>
      <w:r>
        <w:t>é</w:t>
      </w:r>
      <w:r w:rsidR="00A9050F">
        <w:t xml:space="preserve"> ekonomik</w:t>
      </w:r>
      <w:r>
        <w:t>y</w:t>
      </w:r>
      <w:r w:rsidR="006F058A">
        <w:t>.</w:t>
      </w:r>
      <w:r w:rsidR="00436230">
        <w:t xml:space="preserve"> </w:t>
      </w:r>
      <w:r w:rsidR="00605168" w:rsidRPr="00C14765">
        <w:rPr>
          <w:b/>
        </w:rPr>
        <w:t>Hrubý</w:t>
      </w:r>
      <w:r w:rsidR="00605168">
        <w:rPr>
          <w:b/>
        </w:rPr>
        <w:t xml:space="preserve"> </w:t>
      </w:r>
      <w:r w:rsidR="00605168" w:rsidRPr="00C14765">
        <w:rPr>
          <w:b/>
        </w:rPr>
        <w:t>domácí produkt</w:t>
      </w:r>
      <w:r w:rsidR="00605168">
        <w:t xml:space="preserve"> (HDP) očištěný </w:t>
      </w:r>
      <w:r w:rsidR="00605168" w:rsidRPr="007D3ACD">
        <w:t>o</w:t>
      </w:r>
      <w:r w:rsidR="007D3ACD">
        <w:t> </w:t>
      </w:r>
      <w:r w:rsidR="00605168" w:rsidRPr="007D3ACD">
        <w:t>cenové</w:t>
      </w:r>
      <w:r w:rsidR="00605168" w:rsidRPr="00C14765">
        <w:t xml:space="preserve"> vlivy a</w:t>
      </w:r>
      <w:r w:rsidR="00605168">
        <w:t> </w:t>
      </w:r>
      <w:r w:rsidR="00605168" w:rsidRPr="00C14765">
        <w:t>sezónnost</w:t>
      </w:r>
      <w:r w:rsidR="00605168" w:rsidRPr="00C14765">
        <w:rPr>
          <w:rStyle w:val="Znakapoznpodarou"/>
          <w:rFonts w:cs="Arial"/>
          <w:szCs w:val="18"/>
        </w:rPr>
        <w:footnoteReference w:id="1"/>
      </w:r>
      <w:r w:rsidR="00605168" w:rsidRPr="00C14765">
        <w:t xml:space="preserve"> </w:t>
      </w:r>
      <w:r w:rsidR="006D303D">
        <w:rPr>
          <w:b/>
        </w:rPr>
        <w:t>klesl</w:t>
      </w:r>
      <w:r w:rsidR="00544164">
        <w:t xml:space="preserve"> </w:t>
      </w:r>
      <w:r w:rsidR="00605168" w:rsidRPr="00C14765">
        <w:rPr>
          <w:b/>
        </w:rPr>
        <w:t xml:space="preserve">ve srovnání s předchozím čtvrtletím </w:t>
      </w:r>
      <w:r w:rsidR="00544164">
        <w:rPr>
          <w:b/>
        </w:rPr>
        <w:t>o 0,</w:t>
      </w:r>
      <w:r w:rsidR="009362D1">
        <w:rPr>
          <w:b/>
        </w:rPr>
        <w:t>5</w:t>
      </w:r>
      <w:r w:rsidR="00544164">
        <w:rPr>
          <w:b/>
        </w:rPr>
        <w:t xml:space="preserve"> %</w:t>
      </w:r>
      <w:r w:rsidR="00740083">
        <w:rPr>
          <w:b/>
        </w:rPr>
        <w:t xml:space="preserve"> </w:t>
      </w:r>
      <w:r w:rsidR="00544164" w:rsidRPr="00544164">
        <w:t>a</w:t>
      </w:r>
      <w:r w:rsidR="005905E0">
        <w:t> </w:t>
      </w:r>
      <w:r w:rsidR="00740083">
        <w:rPr>
          <w:b/>
        </w:rPr>
        <w:t>m</w:t>
      </w:r>
      <w:r w:rsidR="00605168">
        <w:rPr>
          <w:b/>
        </w:rPr>
        <w:t>eziročně </w:t>
      </w:r>
      <w:r w:rsidR="00A9050F">
        <w:rPr>
          <w:b/>
        </w:rPr>
        <w:t xml:space="preserve">klesl </w:t>
      </w:r>
      <w:r w:rsidR="00605168" w:rsidRPr="00C14765">
        <w:rPr>
          <w:rFonts w:cs="Arial"/>
          <w:b/>
          <w:szCs w:val="20"/>
        </w:rPr>
        <w:t xml:space="preserve">o </w:t>
      </w:r>
      <w:r w:rsidR="00A9050F">
        <w:rPr>
          <w:rFonts w:cs="Arial"/>
          <w:b/>
          <w:szCs w:val="20"/>
        </w:rPr>
        <w:t>0</w:t>
      </w:r>
      <w:r w:rsidR="00605168" w:rsidRPr="00C14765">
        <w:rPr>
          <w:rFonts w:cs="Arial"/>
          <w:b/>
          <w:szCs w:val="20"/>
        </w:rPr>
        <w:t>,</w:t>
      </w:r>
      <w:r w:rsidR="009362D1">
        <w:rPr>
          <w:rFonts w:cs="Arial"/>
          <w:b/>
          <w:szCs w:val="20"/>
        </w:rPr>
        <w:t>7</w:t>
      </w:r>
      <w:r w:rsidR="00605168" w:rsidRPr="00C14765">
        <w:rPr>
          <w:rFonts w:cs="Arial"/>
          <w:b/>
          <w:szCs w:val="20"/>
        </w:rPr>
        <w:t xml:space="preserve"> %</w:t>
      </w:r>
      <w:r w:rsidR="00605168">
        <w:rPr>
          <w:rFonts w:cs="Arial"/>
          <w:szCs w:val="20"/>
        </w:rPr>
        <w:t>.</w:t>
      </w:r>
    </w:p>
    <w:p w:rsidR="00A40E2F" w:rsidRDefault="00A40E2F" w:rsidP="00A40E2F">
      <w:pPr>
        <w:spacing w:before="240" w:after="240"/>
      </w:pPr>
      <w:r w:rsidRPr="00457400">
        <w:rPr>
          <w:b/>
        </w:rPr>
        <w:t>Hrubá přidaná hodnota</w:t>
      </w:r>
      <w:r w:rsidRPr="00457400">
        <w:t xml:space="preserve"> (HPH) </w:t>
      </w:r>
      <w:r w:rsidR="002C5F38">
        <w:rPr>
          <w:b/>
        </w:rPr>
        <w:t>klesla</w:t>
      </w:r>
      <w:r w:rsidRPr="00457400">
        <w:t xml:space="preserve"> v</w:t>
      </w:r>
      <w:r w:rsidR="002C5F38">
        <w:t>e</w:t>
      </w:r>
      <w:r w:rsidRPr="00457400">
        <w:t xml:space="preserve"> </w:t>
      </w:r>
      <w:r w:rsidR="00BB2ACC">
        <w:t>3</w:t>
      </w:r>
      <w:r w:rsidRPr="00457400">
        <w:t xml:space="preserve">. čtvrtletí </w:t>
      </w:r>
      <w:proofErr w:type="spellStart"/>
      <w:r w:rsidRPr="00457400">
        <w:rPr>
          <w:b/>
        </w:rPr>
        <w:t>mezičtvrtletně</w:t>
      </w:r>
      <w:proofErr w:type="spellEnd"/>
      <w:r w:rsidRPr="00457400">
        <w:rPr>
          <w:b/>
        </w:rPr>
        <w:t xml:space="preserve"> o</w:t>
      </w:r>
      <w:r w:rsidRPr="00457400">
        <w:t> </w:t>
      </w:r>
      <w:r>
        <w:rPr>
          <w:b/>
        </w:rPr>
        <w:t>0</w:t>
      </w:r>
      <w:r w:rsidRPr="00457400">
        <w:rPr>
          <w:b/>
        </w:rPr>
        <w:t>,</w:t>
      </w:r>
      <w:r w:rsidR="00EC2C5D">
        <w:rPr>
          <w:b/>
        </w:rPr>
        <w:t>4</w:t>
      </w:r>
      <w:r w:rsidRPr="00457400">
        <w:rPr>
          <w:b/>
        </w:rPr>
        <w:t> %</w:t>
      </w:r>
      <w:r w:rsidRPr="00457400">
        <w:t xml:space="preserve"> </w:t>
      </w:r>
      <w:r w:rsidRPr="00E4172C">
        <w:t>a</w:t>
      </w:r>
      <w:r w:rsidRPr="00457400">
        <w:rPr>
          <w:b/>
        </w:rPr>
        <w:t xml:space="preserve"> meziročně</w:t>
      </w:r>
      <w:r>
        <w:rPr>
          <w:b/>
        </w:rPr>
        <w:t xml:space="preserve"> </w:t>
      </w:r>
      <w:r w:rsidRPr="009467E2">
        <w:rPr>
          <w:b/>
        </w:rPr>
        <w:t>o </w:t>
      </w:r>
      <w:r w:rsidR="002C5F38">
        <w:rPr>
          <w:b/>
        </w:rPr>
        <w:t>0</w:t>
      </w:r>
      <w:r>
        <w:rPr>
          <w:b/>
        </w:rPr>
        <w:t>,</w:t>
      </w:r>
      <w:r w:rsidR="00EC2C5D">
        <w:rPr>
          <w:b/>
        </w:rPr>
        <w:t>1</w:t>
      </w:r>
      <w:r w:rsidRPr="00457400">
        <w:rPr>
          <w:b/>
        </w:rPr>
        <w:t> %</w:t>
      </w:r>
      <w:r w:rsidRPr="00457400">
        <w:t>.</w:t>
      </w:r>
      <w:r w:rsidR="00B74175">
        <w:t xml:space="preserve"> </w:t>
      </w:r>
      <w:r w:rsidR="002C5F38">
        <w:t>M</w:t>
      </w:r>
      <w:r>
        <w:t xml:space="preserve">ezičtvrtletní srovnání </w:t>
      </w:r>
      <w:r w:rsidR="002C5F38">
        <w:t xml:space="preserve">HPH </w:t>
      </w:r>
      <w:r w:rsidR="0071302D">
        <w:t xml:space="preserve">negativně </w:t>
      </w:r>
      <w:r w:rsidR="002C5F38">
        <w:t>ovlivnil</w:t>
      </w:r>
      <w:r w:rsidR="007D3ACD">
        <w:t xml:space="preserve"> </w:t>
      </w:r>
      <w:r w:rsidR="005905E0">
        <w:t xml:space="preserve">zejména </w:t>
      </w:r>
      <w:r w:rsidR="003507FE">
        <w:t>zpracovatelský průmysl</w:t>
      </w:r>
      <w:r w:rsidR="003507FE">
        <w:br/>
        <w:t>(-</w:t>
      </w:r>
      <w:r w:rsidR="00EC2C5D">
        <w:t>0</w:t>
      </w:r>
      <w:r w:rsidR="00655BCE">
        <w:t>,</w:t>
      </w:r>
      <w:r w:rsidR="00EC2C5D">
        <w:t>7</w:t>
      </w:r>
      <w:r w:rsidR="005905E0">
        <w:t xml:space="preserve"> %), </w:t>
      </w:r>
      <w:r w:rsidR="005E5E4C">
        <w:t>skupina odvětví obchodu, dopravy, ubytování a</w:t>
      </w:r>
      <w:r w:rsidR="007D3ACD">
        <w:t xml:space="preserve"> </w:t>
      </w:r>
      <w:r w:rsidR="005E5E4C">
        <w:t>pohostinství</w:t>
      </w:r>
      <w:r w:rsidR="003507FE">
        <w:t xml:space="preserve"> (-0,6 %) a</w:t>
      </w:r>
      <w:r w:rsidR="007D3ACD">
        <w:t xml:space="preserve"> </w:t>
      </w:r>
      <w:r w:rsidR="003507FE">
        <w:t>odvětví veřejné správy, vzdělávání, zdravotní a</w:t>
      </w:r>
      <w:r w:rsidR="007D3ACD">
        <w:t xml:space="preserve"> </w:t>
      </w:r>
      <w:r w:rsidR="003507FE">
        <w:t>sociální péče (-0,8 %).</w:t>
      </w:r>
    </w:p>
    <w:p w:rsidR="00A40E2F" w:rsidRPr="00D33CA6" w:rsidRDefault="00655BCE" w:rsidP="00A40E2F">
      <w:pPr>
        <w:spacing w:before="240" w:after="240"/>
        <w:rPr>
          <w:rFonts w:cs="Arial"/>
          <w:szCs w:val="20"/>
        </w:rPr>
      </w:pPr>
      <w:r>
        <w:t>Na m</w:t>
      </w:r>
      <w:r w:rsidR="00A40E2F">
        <w:t xml:space="preserve">eziročním </w:t>
      </w:r>
      <w:r>
        <w:t>poklesu HPH (-</w:t>
      </w:r>
      <w:r w:rsidR="0009510C">
        <w:t>0</w:t>
      </w:r>
      <w:r w:rsidR="00A40E2F">
        <w:t>,</w:t>
      </w:r>
      <w:r w:rsidR="007D3ACD">
        <w:t>1</w:t>
      </w:r>
      <w:r w:rsidR="00A40E2F">
        <w:t xml:space="preserve"> %) </w:t>
      </w:r>
      <w:r>
        <w:t xml:space="preserve">se </w:t>
      </w:r>
      <w:r w:rsidR="00A40E2F">
        <w:t>nejvíce podílel</w:t>
      </w:r>
      <w:r w:rsidR="0061342F">
        <w:t xml:space="preserve"> </w:t>
      </w:r>
      <w:r>
        <w:t>průmysl -</w:t>
      </w:r>
      <w:r w:rsidR="0061342F">
        <w:t>0,</w:t>
      </w:r>
      <w:r>
        <w:t>5</w:t>
      </w:r>
      <w:r w:rsidR="006E38CF">
        <w:t xml:space="preserve"> p. b. (</w:t>
      </w:r>
      <w:r>
        <w:t>pokles</w:t>
      </w:r>
      <w:r w:rsidR="006E38CF">
        <w:t xml:space="preserve"> o</w:t>
      </w:r>
      <w:r w:rsidR="007D3ACD">
        <w:t xml:space="preserve"> </w:t>
      </w:r>
      <w:r>
        <w:t>1</w:t>
      </w:r>
      <w:r w:rsidR="0061342F">
        <w:t>,</w:t>
      </w:r>
      <w:r w:rsidR="00EC2C5D">
        <w:t>6</w:t>
      </w:r>
      <w:r w:rsidR="000455AA">
        <w:t xml:space="preserve"> %) </w:t>
      </w:r>
      <w:r w:rsidR="00BC4141">
        <w:t>a </w:t>
      </w:r>
      <w:r>
        <w:t>skupina odvětví obchodu, dopravy, ubytování a</w:t>
      </w:r>
      <w:r w:rsidR="007D3ACD">
        <w:t xml:space="preserve"> </w:t>
      </w:r>
      <w:r>
        <w:t>pohostinství -0,2 p. b.(-1,1 %). Pozitivní vliv</w:t>
      </w:r>
      <w:r w:rsidR="007F291A">
        <w:t xml:space="preserve"> měly </w:t>
      </w:r>
      <w:r w:rsidR="007D3ACD">
        <w:t xml:space="preserve">informační a </w:t>
      </w:r>
      <w:r w:rsidR="0009510C">
        <w:t>komunikační činnosti +0,</w:t>
      </w:r>
      <w:r w:rsidR="007F291A">
        <w:t>3 p. b. (+4</w:t>
      </w:r>
      <w:r w:rsidR="0009510C">
        <w:t>,</w:t>
      </w:r>
      <w:r w:rsidR="007F291A">
        <w:t>4</w:t>
      </w:r>
      <w:r w:rsidR="0009510C">
        <w:t xml:space="preserve"> %)</w:t>
      </w:r>
      <w:r w:rsidR="007F291A">
        <w:t xml:space="preserve">, </w:t>
      </w:r>
      <w:r w:rsidR="00BC4141">
        <w:t xml:space="preserve">peněžnictví a pojišťovnictví +0,1 p. b. (+2,5 %) a </w:t>
      </w:r>
      <w:r w:rsidR="007F291A">
        <w:t>p</w:t>
      </w:r>
      <w:r w:rsidR="007F291A" w:rsidRPr="00B63F22">
        <w:t>rofesní, vědeck</w:t>
      </w:r>
      <w:r w:rsidR="007F291A">
        <w:t>é</w:t>
      </w:r>
      <w:r w:rsidR="007F291A" w:rsidRPr="00B63F22">
        <w:t>, technick</w:t>
      </w:r>
      <w:r w:rsidR="007F291A">
        <w:t>é</w:t>
      </w:r>
      <w:r w:rsidR="007F291A" w:rsidRPr="00B63F22">
        <w:t xml:space="preserve"> a administrativní činnost</w:t>
      </w:r>
      <w:r w:rsidR="00BD786E">
        <w:t>i</w:t>
      </w:r>
      <w:r w:rsidR="007F291A">
        <w:t xml:space="preserve"> </w:t>
      </w:r>
      <w:r w:rsidR="00E16CF6">
        <w:t>+</w:t>
      </w:r>
      <w:r w:rsidR="00E0173D">
        <w:t>0,</w:t>
      </w:r>
      <w:r w:rsidR="00BD786E">
        <w:t>2</w:t>
      </w:r>
      <w:r w:rsidR="00E16CF6">
        <w:t xml:space="preserve"> p. b. (+</w:t>
      </w:r>
      <w:r w:rsidR="00E0173D">
        <w:t>2</w:t>
      </w:r>
      <w:r w:rsidR="00855891">
        <w:t>,</w:t>
      </w:r>
      <w:r w:rsidR="00BC4141">
        <w:t>2</w:t>
      </w:r>
      <w:r w:rsidR="00855891">
        <w:t xml:space="preserve"> %)</w:t>
      </w:r>
      <w:r w:rsidR="00BC4141">
        <w:t>.</w:t>
      </w:r>
      <w:r w:rsidR="007F291A">
        <w:t xml:space="preserve"> </w:t>
      </w:r>
    </w:p>
    <w:p w:rsidR="00C52C03" w:rsidRPr="00C52C03" w:rsidRDefault="00316E7C" w:rsidP="00A40E2F">
      <w:pPr>
        <w:spacing w:before="240" w:after="240"/>
      </w:pPr>
      <w:r w:rsidRPr="0000168F">
        <w:rPr>
          <w:i/>
        </w:rPr>
        <w:t>„</w:t>
      </w:r>
      <w:r w:rsidR="00C52C03" w:rsidRPr="0000168F">
        <w:rPr>
          <w:i/>
        </w:rPr>
        <w:t>Na straně poptávky</w:t>
      </w:r>
      <w:r w:rsidR="00C52C03" w:rsidRPr="00316E7C">
        <w:rPr>
          <w:i/>
        </w:rPr>
        <w:t xml:space="preserve"> byly ve 3.</w:t>
      </w:r>
      <w:r w:rsidR="009A409D" w:rsidRPr="00316E7C">
        <w:rPr>
          <w:i/>
        </w:rPr>
        <w:t xml:space="preserve"> </w:t>
      </w:r>
      <w:r w:rsidR="00C52C03" w:rsidRPr="00316E7C">
        <w:rPr>
          <w:i/>
        </w:rPr>
        <w:t xml:space="preserve">čtvrtletí hlavními faktory mezičtvrtletního </w:t>
      </w:r>
      <w:r w:rsidR="000B0410" w:rsidRPr="00316E7C">
        <w:rPr>
          <w:i/>
        </w:rPr>
        <w:t>poklesu</w:t>
      </w:r>
      <w:r w:rsidR="00C52C03" w:rsidRPr="00316E7C">
        <w:rPr>
          <w:i/>
        </w:rPr>
        <w:t xml:space="preserve"> HDP </w:t>
      </w:r>
      <w:r w:rsidR="00B022D0" w:rsidRPr="00316E7C">
        <w:rPr>
          <w:i/>
        </w:rPr>
        <w:t>změna stavu zásob</w:t>
      </w:r>
      <w:r w:rsidR="00C52C03" w:rsidRPr="00316E7C">
        <w:rPr>
          <w:i/>
        </w:rPr>
        <w:t xml:space="preserve"> a zahraniční poptávka. Pozitivn</w:t>
      </w:r>
      <w:r w:rsidR="00B022D0" w:rsidRPr="00316E7C">
        <w:rPr>
          <w:i/>
        </w:rPr>
        <w:t xml:space="preserve">í </w:t>
      </w:r>
      <w:r w:rsidR="00C52C03" w:rsidRPr="00316E7C">
        <w:rPr>
          <w:i/>
        </w:rPr>
        <w:t>př</w:t>
      </w:r>
      <w:r w:rsidR="00B022D0" w:rsidRPr="00316E7C">
        <w:rPr>
          <w:i/>
        </w:rPr>
        <w:t>í</w:t>
      </w:r>
      <w:r w:rsidR="00C52C03" w:rsidRPr="00316E7C">
        <w:rPr>
          <w:i/>
        </w:rPr>
        <w:t>spě</w:t>
      </w:r>
      <w:r w:rsidR="00B022D0" w:rsidRPr="00316E7C">
        <w:rPr>
          <w:i/>
        </w:rPr>
        <w:t>vek</w:t>
      </w:r>
      <w:r w:rsidR="00C52C03" w:rsidRPr="00316E7C">
        <w:rPr>
          <w:i/>
        </w:rPr>
        <w:t xml:space="preserve"> </w:t>
      </w:r>
      <w:r w:rsidR="00B022D0" w:rsidRPr="00316E7C">
        <w:rPr>
          <w:i/>
        </w:rPr>
        <w:t>měly</w:t>
      </w:r>
      <w:r w:rsidR="00C52C03" w:rsidRPr="00316E7C">
        <w:rPr>
          <w:i/>
        </w:rPr>
        <w:t xml:space="preserve"> </w:t>
      </w:r>
      <w:r w:rsidR="00B022D0" w:rsidRPr="00316E7C">
        <w:rPr>
          <w:i/>
        </w:rPr>
        <w:t xml:space="preserve">především </w:t>
      </w:r>
      <w:r w:rsidR="00C52C03" w:rsidRPr="00316E7C">
        <w:rPr>
          <w:i/>
        </w:rPr>
        <w:t xml:space="preserve">výdaje na konečnou spotřebu </w:t>
      </w:r>
      <w:r w:rsidR="00B022D0" w:rsidRPr="00316E7C">
        <w:rPr>
          <w:i/>
        </w:rPr>
        <w:t>vládních institucí</w:t>
      </w:r>
      <w:r w:rsidR="0000168F">
        <w:rPr>
          <w:i/>
        </w:rPr>
        <w:t>,</w:t>
      </w:r>
      <w:r w:rsidRPr="00812B55">
        <w:rPr>
          <w:i/>
        </w:rPr>
        <w:t>"</w:t>
      </w:r>
      <w:r>
        <w:t xml:space="preserve"> </w:t>
      </w:r>
      <w:r w:rsidRPr="004B4606">
        <w:t>komentuje údaje Vladimír Kermiet, ředitel odboru národních účtů ČSÚ</w:t>
      </w:r>
      <w:r>
        <w:t>.</w:t>
      </w:r>
    </w:p>
    <w:p w:rsidR="00F17A6F" w:rsidRDefault="00F17A6F" w:rsidP="00A40E2F">
      <w:pPr>
        <w:spacing w:before="240" w:after="240"/>
      </w:pPr>
      <w:r>
        <w:t>M</w:t>
      </w:r>
      <w:r w:rsidRPr="001F14DE">
        <w:t xml:space="preserve">eziroční </w:t>
      </w:r>
      <w:r w:rsidR="00B64D63">
        <w:t>vývoj</w:t>
      </w:r>
      <w:r w:rsidRPr="001F14DE">
        <w:t xml:space="preserve"> HDP </w:t>
      </w:r>
      <w:r w:rsidR="00B64D63">
        <w:t xml:space="preserve">negativně </w:t>
      </w:r>
      <w:r>
        <w:t>ovlivnily</w:t>
      </w:r>
      <w:r w:rsidRPr="001F14DE">
        <w:t xml:space="preserve"> </w:t>
      </w:r>
      <w:r w:rsidR="00B64D63">
        <w:t xml:space="preserve">výdaje na konečnou spotřebu domácností </w:t>
      </w:r>
      <w:r w:rsidR="00FF06A2">
        <w:br/>
      </w:r>
      <w:r w:rsidR="00B64D63">
        <w:t>-</w:t>
      </w:r>
      <w:r w:rsidR="00CD72AF">
        <w:t>0</w:t>
      </w:r>
      <w:r w:rsidR="00B64D63">
        <w:t>,</w:t>
      </w:r>
      <w:r w:rsidR="00CD72AF">
        <w:t>7</w:t>
      </w:r>
      <w:r w:rsidR="00B64D63" w:rsidRPr="001F14DE">
        <w:t> p.</w:t>
      </w:r>
      <w:r w:rsidR="00B64D63">
        <w:t> </w:t>
      </w:r>
      <w:r w:rsidR="00B64D63" w:rsidRPr="001F14DE">
        <w:t>b.</w:t>
      </w:r>
      <w:r w:rsidR="00B64D63" w:rsidRPr="001F14DE">
        <w:rPr>
          <w:rStyle w:val="Znakapoznpodarou"/>
          <w:rFonts w:cs="Arial"/>
          <w:szCs w:val="20"/>
        </w:rPr>
        <w:footnoteReference w:id="2"/>
      </w:r>
      <w:r w:rsidR="00B64D63">
        <w:t> a změna stavu zásob -2,</w:t>
      </w:r>
      <w:r w:rsidR="00CD72AF">
        <w:t>3</w:t>
      </w:r>
      <w:r w:rsidR="00B64D63">
        <w:t xml:space="preserve"> p. b. Pozitivně působily </w:t>
      </w:r>
      <w:r w:rsidRPr="001F14DE">
        <w:t xml:space="preserve">výdaje </w:t>
      </w:r>
      <w:r w:rsidR="004E5B99">
        <w:rPr>
          <w:rFonts w:cs="Arial"/>
          <w:szCs w:val="20"/>
        </w:rPr>
        <w:t xml:space="preserve">na </w:t>
      </w:r>
      <w:r w:rsidRPr="00D45424">
        <w:rPr>
          <w:rFonts w:cs="Arial"/>
          <w:szCs w:val="20"/>
        </w:rPr>
        <w:t xml:space="preserve">konečnou </w:t>
      </w:r>
      <w:r w:rsidRPr="009E32FB">
        <w:t xml:space="preserve">spotřebu vládních institucí </w:t>
      </w:r>
      <w:r>
        <w:t>+0,</w:t>
      </w:r>
      <w:r w:rsidR="00CD72AF">
        <w:t>8</w:t>
      </w:r>
      <w:r w:rsidR="009A409D">
        <w:t xml:space="preserve"> </w:t>
      </w:r>
      <w:r w:rsidRPr="001F14DE">
        <w:t>p.</w:t>
      </w:r>
      <w:r>
        <w:t xml:space="preserve"> </w:t>
      </w:r>
      <w:r w:rsidRPr="001F14DE">
        <w:t>b.</w:t>
      </w:r>
      <w:r>
        <w:t>, tvorba hrubého fixního kapitálu</w:t>
      </w:r>
      <w:r w:rsidRPr="001F14DE">
        <w:t xml:space="preserve"> </w:t>
      </w:r>
      <w:r>
        <w:t>+</w:t>
      </w:r>
      <w:r w:rsidR="00CD72AF">
        <w:t>1</w:t>
      </w:r>
      <w:r>
        <w:t>,</w:t>
      </w:r>
      <w:r w:rsidR="00CD72AF">
        <w:t>2</w:t>
      </w:r>
      <w:r w:rsidR="004E5B99">
        <w:t xml:space="preserve"> </w:t>
      </w:r>
      <w:proofErr w:type="gramStart"/>
      <w:r w:rsidRPr="001F14DE">
        <w:t>p.</w:t>
      </w:r>
      <w:r w:rsidR="004E5B99">
        <w:t xml:space="preserve"> </w:t>
      </w:r>
      <w:r w:rsidRPr="001F14DE">
        <w:t>b.</w:t>
      </w:r>
      <w:r w:rsidR="004E5B99">
        <w:t xml:space="preserve"> a </w:t>
      </w:r>
      <w:r w:rsidR="00B64D63">
        <w:t>z</w:t>
      </w:r>
      <w:r>
        <w:t>ahraniční</w:t>
      </w:r>
      <w:proofErr w:type="gramEnd"/>
      <w:r>
        <w:t xml:space="preserve"> poptávka </w:t>
      </w:r>
      <w:r w:rsidR="004E5B99">
        <w:br/>
      </w:r>
      <w:r w:rsidR="00B64D63">
        <w:t>+</w:t>
      </w:r>
      <w:r w:rsidR="004E5B99">
        <w:t> </w:t>
      </w:r>
      <w:r w:rsidR="00CD72AF">
        <w:t>0</w:t>
      </w:r>
      <w:r>
        <w:t>,</w:t>
      </w:r>
      <w:r w:rsidR="00CD72AF">
        <w:t>3</w:t>
      </w:r>
      <w:r>
        <w:t xml:space="preserve"> p.</w:t>
      </w:r>
      <w:r w:rsidR="004E5B99">
        <w:t xml:space="preserve"> </w:t>
      </w:r>
      <w:r>
        <w:t>b.</w:t>
      </w:r>
    </w:p>
    <w:p w:rsidR="00A40E2F" w:rsidRDefault="004E1D54" w:rsidP="00A40E2F">
      <w:pPr>
        <w:spacing w:before="240" w:after="240"/>
      </w:pPr>
      <w:r w:rsidRPr="006F418C">
        <w:rPr>
          <w:rFonts w:cs="Arial"/>
          <w:b/>
          <w:szCs w:val="20"/>
        </w:rPr>
        <w:t>Výdaje na konečnou spotřebu</w:t>
      </w:r>
      <w:r w:rsidRPr="006F418C">
        <w:rPr>
          <w:rFonts w:cs="Arial"/>
          <w:szCs w:val="20"/>
        </w:rPr>
        <w:t xml:space="preserve"> </w:t>
      </w:r>
      <w:r w:rsidR="00357529">
        <w:rPr>
          <w:rFonts w:cs="Arial"/>
          <w:szCs w:val="20"/>
        </w:rPr>
        <w:t>vzrostly</w:t>
      </w:r>
      <w:r w:rsidRPr="006F418C">
        <w:rPr>
          <w:rFonts w:cs="Arial"/>
          <w:szCs w:val="20"/>
        </w:rPr>
        <w:t xml:space="preserve"> </w:t>
      </w:r>
      <w:proofErr w:type="spellStart"/>
      <w:r w:rsidRPr="006F418C">
        <w:rPr>
          <w:rFonts w:cs="Arial"/>
          <w:szCs w:val="20"/>
        </w:rPr>
        <w:t>mezičtvrtletně</w:t>
      </w:r>
      <w:proofErr w:type="spellEnd"/>
      <w:r w:rsidRPr="006F418C">
        <w:rPr>
          <w:rFonts w:cs="Arial"/>
          <w:szCs w:val="20"/>
        </w:rPr>
        <w:t xml:space="preserve"> o </w:t>
      </w:r>
      <w:r>
        <w:rPr>
          <w:rFonts w:cs="Arial"/>
          <w:szCs w:val="20"/>
        </w:rPr>
        <w:t>0</w:t>
      </w:r>
      <w:r w:rsidRPr="006F418C">
        <w:rPr>
          <w:rFonts w:cs="Arial"/>
          <w:szCs w:val="20"/>
        </w:rPr>
        <w:t>,</w:t>
      </w:r>
      <w:r w:rsidR="002A0B6C">
        <w:rPr>
          <w:rFonts w:cs="Arial"/>
          <w:szCs w:val="20"/>
        </w:rPr>
        <w:t>2</w:t>
      </w:r>
      <w:r w:rsidRPr="006F418C">
        <w:rPr>
          <w:rFonts w:cs="Arial"/>
          <w:szCs w:val="20"/>
        </w:rPr>
        <w:t xml:space="preserve"> % a meziročně </w:t>
      </w:r>
      <w:r w:rsidR="00357529">
        <w:rPr>
          <w:rFonts w:cs="Arial"/>
          <w:szCs w:val="20"/>
        </w:rPr>
        <w:t xml:space="preserve">klesly </w:t>
      </w:r>
      <w:r w:rsidRPr="006F418C">
        <w:rPr>
          <w:rFonts w:cs="Arial"/>
          <w:szCs w:val="20"/>
        </w:rPr>
        <w:t xml:space="preserve">o </w:t>
      </w:r>
      <w:r w:rsidR="002A0B6C">
        <w:rPr>
          <w:rFonts w:cs="Arial"/>
          <w:szCs w:val="20"/>
        </w:rPr>
        <w:t>0</w:t>
      </w:r>
      <w:r w:rsidRPr="006F418C">
        <w:rPr>
          <w:rFonts w:cs="Arial"/>
          <w:szCs w:val="20"/>
        </w:rPr>
        <w:t>,</w:t>
      </w:r>
      <w:r w:rsidR="002A0B6C">
        <w:rPr>
          <w:rFonts w:cs="Arial"/>
          <w:szCs w:val="20"/>
        </w:rPr>
        <w:t>4</w:t>
      </w:r>
      <w:r w:rsidR="004A5A0E">
        <w:rPr>
          <w:rFonts w:cs="Arial"/>
          <w:szCs w:val="20"/>
        </w:rPr>
        <w:t xml:space="preserve"> %,</w:t>
      </w:r>
      <w:r>
        <w:rPr>
          <w:rFonts w:cs="Arial"/>
          <w:szCs w:val="20"/>
        </w:rPr>
        <w:t xml:space="preserve"> </w:t>
      </w:r>
      <w:r w:rsidR="004A5A0E">
        <w:rPr>
          <w:rFonts w:cs="Arial"/>
          <w:szCs w:val="20"/>
        </w:rPr>
        <w:t>z</w:t>
      </w:r>
      <w:r w:rsidR="009A409D">
        <w:rPr>
          <w:rFonts w:cs="Arial"/>
          <w:szCs w:val="20"/>
        </w:rPr>
        <w:t> </w:t>
      </w:r>
      <w:r w:rsidRPr="006F418C">
        <w:rPr>
          <w:rFonts w:cs="Arial"/>
          <w:szCs w:val="20"/>
        </w:rPr>
        <w:t xml:space="preserve">toho výdaje </w:t>
      </w:r>
      <w:r>
        <w:rPr>
          <w:rFonts w:cs="Arial"/>
          <w:szCs w:val="20"/>
        </w:rPr>
        <w:t xml:space="preserve">na konečnou spotřebu </w:t>
      </w:r>
      <w:r w:rsidRPr="006F418C">
        <w:rPr>
          <w:rFonts w:cs="Arial"/>
          <w:b/>
          <w:szCs w:val="20"/>
        </w:rPr>
        <w:t>domácností</w:t>
      </w:r>
      <w:r w:rsidRPr="006F418C">
        <w:rPr>
          <w:rFonts w:cs="Arial"/>
          <w:szCs w:val="20"/>
        </w:rPr>
        <w:t xml:space="preserve"> </w:t>
      </w:r>
      <w:proofErr w:type="spellStart"/>
      <w:r w:rsidR="00A40E2F">
        <w:t>mezičtvrtletně</w:t>
      </w:r>
      <w:proofErr w:type="spellEnd"/>
      <w:r w:rsidR="00A40E2F">
        <w:t xml:space="preserve"> </w:t>
      </w:r>
      <w:r w:rsidR="002A0B6C">
        <w:t>klesly</w:t>
      </w:r>
      <w:r w:rsidR="00A40E2F">
        <w:t xml:space="preserve"> o </w:t>
      </w:r>
      <w:r w:rsidR="00357529">
        <w:t>0</w:t>
      </w:r>
      <w:r w:rsidR="00A40E2F">
        <w:t>,</w:t>
      </w:r>
      <w:r w:rsidR="002A0B6C">
        <w:t>3</w:t>
      </w:r>
      <w:r w:rsidR="00A40E2F">
        <w:t> %</w:t>
      </w:r>
      <w:r w:rsidR="00A1568D">
        <w:t xml:space="preserve"> a m</w:t>
      </w:r>
      <w:r w:rsidR="00A40E2F">
        <w:t>eziročně</w:t>
      </w:r>
      <w:r w:rsidR="00332268">
        <w:t xml:space="preserve"> o</w:t>
      </w:r>
      <w:r w:rsidR="002A0B6C">
        <w:t xml:space="preserve"> 2</w:t>
      </w:r>
      <w:r w:rsidR="00A40E2F">
        <w:t>,</w:t>
      </w:r>
      <w:r w:rsidR="002A0B6C">
        <w:t xml:space="preserve">3 </w:t>
      </w:r>
      <w:r w:rsidR="00A40E2F">
        <w:t xml:space="preserve">%. </w:t>
      </w:r>
      <w:r w:rsidR="002A0B6C">
        <w:lastRenderedPageBreak/>
        <w:t xml:space="preserve">Pokles nastal zejména u výdajů za nákup předmětů střednědobé a krátkodobé spotřeby. </w:t>
      </w:r>
      <w:r w:rsidRPr="00D45424">
        <w:rPr>
          <w:rFonts w:cs="Arial"/>
          <w:szCs w:val="20"/>
        </w:rPr>
        <w:t>Výdaje</w:t>
      </w:r>
      <w:r w:rsidR="009A409D">
        <w:rPr>
          <w:rFonts w:cs="Arial"/>
          <w:szCs w:val="20"/>
        </w:rPr>
        <w:t xml:space="preserve"> </w:t>
      </w:r>
      <w:r w:rsidRPr="00D45424">
        <w:rPr>
          <w:rFonts w:cs="Arial"/>
          <w:szCs w:val="20"/>
        </w:rPr>
        <w:t>na</w:t>
      </w:r>
      <w:r w:rsidR="009A409D">
        <w:rPr>
          <w:rFonts w:cs="Arial"/>
          <w:szCs w:val="20"/>
        </w:rPr>
        <w:t xml:space="preserve"> </w:t>
      </w:r>
      <w:r w:rsidRPr="00D45424">
        <w:rPr>
          <w:rFonts w:cs="Arial"/>
          <w:szCs w:val="20"/>
        </w:rPr>
        <w:t>konečnou spotřebu</w:t>
      </w:r>
      <w:r w:rsidRPr="006F418C">
        <w:rPr>
          <w:rFonts w:cs="Arial"/>
          <w:b/>
          <w:szCs w:val="20"/>
        </w:rPr>
        <w:t xml:space="preserve"> vládních institucí</w:t>
      </w:r>
      <w:r w:rsidRPr="006F418C">
        <w:rPr>
          <w:rFonts w:cs="Arial"/>
          <w:szCs w:val="20"/>
        </w:rPr>
        <w:t xml:space="preserve"> </w:t>
      </w:r>
      <w:proofErr w:type="spellStart"/>
      <w:r w:rsidRPr="006F418C">
        <w:rPr>
          <w:rFonts w:cs="Arial"/>
          <w:szCs w:val="20"/>
        </w:rPr>
        <w:t>mezičtvrtletně</w:t>
      </w:r>
      <w:proofErr w:type="spellEnd"/>
      <w:r w:rsidRPr="006F418C">
        <w:rPr>
          <w:rFonts w:cs="Arial"/>
          <w:szCs w:val="20"/>
        </w:rPr>
        <w:t xml:space="preserve"> </w:t>
      </w:r>
      <w:r w:rsidR="00EA10D8">
        <w:rPr>
          <w:rFonts w:cs="Arial"/>
          <w:szCs w:val="20"/>
        </w:rPr>
        <w:t>vzrostly</w:t>
      </w:r>
      <w:r w:rsidR="00097BDD">
        <w:rPr>
          <w:rFonts w:cs="Arial"/>
          <w:szCs w:val="20"/>
        </w:rPr>
        <w:t xml:space="preserve"> o</w:t>
      </w:r>
      <w:r w:rsidR="002A0B6C">
        <w:rPr>
          <w:rFonts w:cs="Arial"/>
          <w:szCs w:val="20"/>
        </w:rPr>
        <w:t xml:space="preserve"> 1</w:t>
      </w:r>
      <w:r w:rsidRPr="006F418C">
        <w:rPr>
          <w:rFonts w:cs="Arial"/>
          <w:szCs w:val="20"/>
        </w:rPr>
        <w:t>,</w:t>
      </w:r>
      <w:r w:rsidR="002A0B6C">
        <w:rPr>
          <w:rFonts w:cs="Arial"/>
          <w:szCs w:val="20"/>
        </w:rPr>
        <w:t xml:space="preserve">2 </w:t>
      </w:r>
      <w:r w:rsidRPr="006F418C">
        <w:rPr>
          <w:rFonts w:cs="Arial"/>
          <w:szCs w:val="20"/>
        </w:rPr>
        <w:t>% a meziročně o</w:t>
      </w:r>
      <w:r w:rsidR="002A0B6C">
        <w:rPr>
          <w:rFonts w:cs="Arial"/>
          <w:szCs w:val="20"/>
        </w:rPr>
        <w:t xml:space="preserve"> </w:t>
      </w:r>
      <w:r w:rsidR="00EA10D8">
        <w:rPr>
          <w:rFonts w:cs="Arial"/>
          <w:szCs w:val="20"/>
        </w:rPr>
        <w:t>3</w:t>
      </w:r>
      <w:r>
        <w:rPr>
          <w:rFonts w:cs="Arial"/>
          <w:szCs w:val="20"/>
        </w:rPr>
        <w:t>,</w:t>
      </w:r>
      <w:r w:rsidR="002A0B6C">
        <w:rPr>
          <w:rFonts w:cs="Arial"/>
          <w:szCs w:val="20"/>
        </w:rPr>
        <w:t xml:space="preserve">9 </w:t>
      </w:r>
      <w:r w:rsidRPr="006F418C">
        <w:rPr>
          <w:rFonts w:cs="Arial"/>
          <w:szCs w:val="20"/>
        </w:rPr>
        <w:t>%.</w:t>
      </w:r>
    </w:p>
    <w:p w:rsidR="00A40E2F" w:rsidRDefault="00A40E2F" w:rsidP="00A40E2F">
      <w:pPr>
        <w:spacing w:before="240" w:after="240"/>
      </w:pPr>
      <w:r>
        <w:rPr>
          <w:b/>
        </w:rPr>
        <w:t>T</w:t>
      </w:r>
      <w:r w:rsidRPr="00737453">
        <w:rPr>
          <w:b/>
        </w:rPr>
        <w:t>vorb</w:t>
      </w:r>
      <w:r>
        <w:rPr>
          <w:b/>
        </w:rPr>
        <w:t>a</w:t>
      </w:r>
      <w:r w:rsidR="009A409D">
        <w:rPr>
          <w:b/>
        </w:rPr>
        <w:t xml:space="preserve"> </w:t>
      </w:r>
      <w:r w:rsidR="008E44ED">
        <w:rPr>
          <w:b/>
        </w:rPr>
        <w:t xml:space="preserve">hrubého </w:t>
      </w:r>
      <w:r w:rsidRPr="00737453">
        <w:rPr>
          <w:b/>
        </w:rPr>
        <w:t>fixního</w:t>
      </w:r>
      <w:r w:rsidR="009A409D">
        <w:rPr>
          <w:b/>
        </w:rPr>
        <w:t xml:space="preserve"> </w:t>
      </w:r>
      <w:r w:rsidRPr="00737453">
        <w:rPr>
          <w:b/>
        </w:rPr>
        <w:t>kapitálu</w:t>
      </w:r>
      <w:r>
        <w:t xml:space="preserve"> </w:t>
      </w:r>
      <w:proofErr w:type="spellStart"/>
      <w:r w:rsidR="00620F54">
        <w:t>mezičtvrtletně</w:t>
      </w:r>
      <w:proofErr w:type="spellEnd"/>
      <w:r w:rsidR="00521790">
        <w:t xml:space="preserve"> klesla</w:t>
      </w:r>
      <w:r w:rsidR="00620F54">
        <w:t xml:space="preserve"> </w:t>
      </w:r>
      <w:r w:rsidR="009A409D">
        <w:t xml:space="preserve">o </w:t>
      </w:r>
      <w:r w:rsidR="00521790">
        <w:t>0</w:t>
      </w:r>
      <w:r>
        <w:t>,</w:t>
      </w:r>
      <w:r w:rsidR="00521790">
        <w:t>3</w:t>
      </w:r>
      <w:r>
        <w:t xml:space="preserve"> % a </w:t>
      </w:r>
      <w:r w:rsidR="00B74175">
        <w:t xml:space="preserve">meziročně </w:t>
      </w:r>
      <w:r w:rsidR="00521790">
        <w:t xml:space="preserve">vzrostla </w:t>
      </w:r>
      <w:r>
        <w:t xml:space="preserve">o </w:t>
      </w:r>
      <w:r w:rsidR="00521790">
        <w:t>3</w:t>
      </w:r>
      <w:r>
        <w:t>,</w:t>
      </w:r>
      <w:r w:rsidR="00521790">
        <w:t>3</w:t>
      </w:r>
      <w:r>
        <w:t xml:space="preserve"> %. </w:t>
      </w:r>
      <w:r w:rsidR="008F6751">
        <w:t>Meziročně r</w:t>
      </w:r>
      <w:r>
        <w:t>ostly investice</w:t>
      </w:r>
      <w:r w:rsidR="00D54208">
        <w:t xml:space="preserve"> </w:t>
      </w:r>
      <w:r w:rsidR="00620F54">
        <w:t>do dopravních prostředků, ICT a ostatních strojů a zařízení</w:t>
      </w:r>
      <w:r w:rsidR="003F1812">
        <w:t>.</w:t>
      </w:r>
      <w:r w:rsidR="00620F54">
        <w:t xml:space="preserve"> Naopak klesaly investice do obydlí a ostatních budov a staveb</w:t>
      </w:r>
      <w:r w:rsidR="00521790">
        <w:t xml:space="preserve"> a produktů duševního vlastnictví</w:t>
      </w:r>
      <w:r w:rsidR="00620F54">
        <w:t>.</w:t>
      </w:r>
      <w:r>
        <w:t xml:space="preserve"> </w:t>
      </w:r>
      <w:r w:rsidR="00C3178F">
        <w:rPr>
          <w:b/>
        </w:rPr>
        <w:t>Změna stavu z</w:t>
      </w:r>
      <w:r w:rsidR="00C3178F" w:rsidRPr="00FB18A1">
        <w:rPr>
          <w:b/>
        </w:rPr>
        <w:t>ásob</w:t>
      </w:r>
      <w:r w:rsidR="00C3178F" w:rsidRPr="00E51FB7">
        <w:rPr>
          <w:rStyle w:val="Znakapoznpodarou"/>
        </w:rPr>
        <w:footnoteReference w:id="3"/>
      </w:r>
      <w:r w:rsidR="00C3178F">
        <w:t xml:space="preserve"> činila +</w:t>
      </w:r>
      <w:r w:rsidR="008F6751">
        <w:t>79</w:t>
      </w:r>
      <w:r w:rsidR="001E4C8F">
        <w:t>,</w:t>
      </w:r>
      <w:r w:rsidR="008F6751">
        <w:t>3</w:t>
      </w:r>
      <w:r w:rsidR="00C3178F">
        <w:t xml:space="preserve"> mld. Kč, což bylo o </w:t>
      </w:r>
      <w:r w:rsidR="002E2090">
        <w:t>5</w:t>
      </w:r>
      <w:r w:rsidR="008F6751">
        <w:t>0</w:t>
      </w:r>
      <w:r w:rsidR="00C3178F">
        <w:t>,</w:t>
      </w:r>
      <w:r w:rsidR="008F6751">
        <w:t>9</w:t>
      </w:r>
      <w:r w:rsidR="00C3178F">
        <w:t xml:space="preserve"> mld. Kč méně než ve stejném čtvrtletí předchozího roku.</w:t>
      </w:r>
    </w:p>
    <w:p w:rsidR="00F641C9" w:rsidRDefault="00A40E2F" w:rsidP="00A40E2F">
      <w:pPr>
        <w:spacing w:before="240" w:after="240"/>
        <w:rPr>
          <w:rFonts w:cs="Arial"/>
          <w:szCs w:val="20"/>
        </w:rPr>
      </w:pPr>
      <w:r>
        <w:rPr>
          <w:b/>
        </w:rPr>
        <w:t>Saldo</w:t>
      </w:r>
      <w:r w:rsidR="00220BBE">
        <w:rPr>
          <w:b/>
        </w:rPr>
        <w:t xml:space="preserve"> </w:t>
      </w:r>
      <w:r>
        <w:rPr>
          <w:b/>
        </w:rPr>
        <w:t xml:space="preserve">zahraničního obchodu se </w:t>
      </w:r>
      <w:r w:rsidRPr="00D36813">
        <w:rPr>
          <w:b/>
        </w:rPr>
        <w:t>zboží</w:t>
      </w:r>
      <w:r>
        <w:rPr>
          <w:b/>
        </w:rPr>
        <w:t>m</w:t>
      </w:r>
      <w:r w:rsidRPr="00D36813">
        <w:rPr>
          <w:b/>
        </w:rPr>
        <w:t xml:space="preserve"> a služb</w:t>
      </w:r>
      <w:r>
        <w:rPr>
          <w:b/>
        </w:rPr>
        <w:t>ami</w:t>
      </w:r>
      <w:r w:rsidR="00220BBE">
        <w:t xml:space="preserve"> dosáhlo v </w:t>
      </w:r>
      <w:r>
        <w:t xml:space="preserve">běžných cenách hodnoty </w:t>
      </w:r>
      <w:r w:rsidR="008F6751">
        <w:t>91</w:t>
      </w:r>
      <w:r>
        <w:t>,</w:t>
      </w:r>
      <w:r w:rsidR="008F6751">
        <w:t>5</w:t>
      </w:r>
      <w:r w:rsidR="009A409D">
        <w:t> </w:t>
      </w:r>
      <w:r>
        <w:t xml:space="preserve">mld. Kč, bylo tak o </w:t>
      </w:r>
      <w:r w:rsidR="008F6751">
        <w:t>60</w:t>
      </w:r>
      <w:r w:rsidR="00D54208">
        <w:t>,</w:t>
      </w:r>
      <w:r w:rsidR="008F6751">
        <w:t>1</w:t>
      </w:r>
      <w:r>
        <w:t xml:space="preserve"> mld. </w:t>
      </w:r>
      <w:r w:rsidR="00D7458C">
        <w:t>vyšší</w:t>
      </w:r>
      <w:r>
        <w:t xml:space="preserve"> než ve stejném období předchozího roku. </w:t>
      </w:r>
      <w:r w:rsidRPr="00D9259D">
        <w:rPr>
          <w:rFonts w:cs="Arial"/>
          <w:szCs w:val="20"/>
        </w:rPr>
        <w:t>Vývoz</w:t>
      </w:r>
      <w:r w:rsidRPr="00F10882">
        <w:rPr>
          <w:rFonts w:cs="Arial"/>
          <w:szCs w:val="20"/>
        </w:rPr>
        <w:t xml:space="preserve"> </w:t>
      </w:r>
      <w:r w:rsidR="004B25D5">
        <w:rPr>
          <w:rFonts w:cs="Arial"/>
          <w:szCs w:val="20"/>
        </w:rPr>
        <w:t>klesl</w:t>
      </w:r>
      <w:r w:rsidRPr="00F10882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mezičtvrtletně</w:t>
      </w:r>
      <w:proofErr w:type="spellEnd"/>
      <w:r w:rsidRPr="00F1088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reálně </w:t>
      </w:r>
      <w:r w:rsidRPr="00F10882">
        <w:rPr>
          <w:rFonts w:cs="Arial"/>
          <w:szCs w:val="20"/>
        </w:rPr>
        <w:t xml:space="preserve">o </w:t>
      </w:r>
      <w:r w:rsidR="0059308B">
        <w:rPr>
          <w:rFonts w:cs="Arial"/>
          <w:szCs w:val="20"/>
        </w:rPr>
        <w:t>1</w:t>
      </w:r>
      <w:r>
        <w:rPr>
          <w:rFonts w:cs="Arial"/>
          <w:szCs w:val="20"/>
        </w:rPr>
        <w:t>,</w:t>
      </w:r>
      <w:r w:rsidR="0059308B">
        <w:rPr>
          <w:rFonts w:cs="Arial"/>
          <w:szCs w:val="20"/>
        </w:rPr>
        <w:t>2</w:t>
      </w:r>
      <w:r w:rsidR="00220BBE">
        <w:rPr>
          <w:rFonts w:cs="Arial"/>
          <w:szCs w:val="20"/>
        </w:rPr>
        <w:t xml:space="preserve"> </w:t>
      </w:r>
      <w:r w:rsidRPr="00F10882">
        <w:rPr>
          <w:rFonts w:cs="Arial"/>
          <w:szCs w:val="20"/>
        </w:rPr>
        <w:t>%</w:t>
      </w:r>
      <w:r w:rsidR="00957983">
        <w:rPr>
          <w:rFonts w:cs="Arial"/>
          <w:szCs w:val="20"/>
        </w:rPr>
        <w:t>. V</w:t>
      </w:r>
      <w:r w:rsidR="00220BBE">
        <w:rPr>
          <w:rFonts w:cs="Arial"/>
          <w:szCs w:val="20"/>
        </w:rPr>
        <w:t xml:space="preserve"> </w:t>
      </w:r>
      <w:r w:rsidR="00957983">
        <w:rPr>
          <w:rFonts w:cs="Arial"/>
          <w:szCs w:val="20"/>
        </w:rPr>
        <w:t>meziročním srovnání</w:t>
      </w:r>
      <w:r>
        <w:rPr>
          <w:rFonts w:cs="Arial"/>
          <w:szCs w:val="20"/>
        </w:rPr>
        <w:t xml:space="preserve"> </w:t>
      </w:r>
      <w:r w:rsidR="0059308B">
        <w:rPr>
          <w:rFonts w:cs="Arial"/>
          <w:szCs w:val="20"/>
        </w:rPr>
        <w:t>klesl</w:t>
      </w:r>
      <w:r>
        <w:rPr>
          <w:rFonts w:cs="Arial"/>
          <w:szCs w:val="20"/>
        </w:rPr>
        <w:t xml:space="preserve"> o </w:t>
      </w:r>
      <w:r w:rsidR="0059308B">
        <w:rPr>
          <w:rFonts w:cs="Arial"/>
          <w:szCs w:val="20"/>
        </w:rPr>
        <w:t>0</w:t>
      </w:r>
      <w:r>
        <w:rPr>
          <w:rFonts w:cs="Arial"/>
          <w:szCs w:val="20"/>
        </w:rPr>
        <w:t>,</w:t>
      </w:r>
      <w:r w:rsidR="00D7458C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%</w:t>
      </w:r>
      <w:r w:rsidR="00957983">
        <w:rPr>
          <w:rFonts w:cs="Arial"/>
          <w:szCs w:val="20"/>
        </w:rPr>
        <w:t>, kde vývoj</w:t>
      </w:r>
      <w:r>
        <w:rPr>
          <w:rFonts w:cs="Arial"/>
          <w:szCs w:val="20"/>
        </w:rPr>
        <w:t xml:space="preserve"> nejvíce ovlivnil </w:t>
      </w:r>
      <w:r w:rsidR="0059308B">
        <w:rPr>
          <w:rFonts w:cs="Arial"/>
          <w:szCs w:val="20"/>
        </w:rPr>
        <w:t>pokles</w:t>
      </w:r>
      <w:r>
        <w:rPr>
          <w:rFonts w:cs="Arial"/>
          <w:szCs w:val="20"/>
        </w:rPr>
        <w:t xml:space="preserve"> vývozu </w:t>
      </w:r>
      <w:r w:rsidR="0059308B">
        <w:rPr>
          <w:rFonts w:cs="Arial"/>
          <w:szCs w:val="20"/>
        </w:rPr>
        <w:t>pryžových a plastových výrobků a elektronických</w:t>
      </w:r>
      <w:r w:rsidR="000E6D72">
        <w:rPr>
          <w:rFonts w:cs="Arial"/>
          <w:szCs w:val="20"/>
        </w:rPr>
        <w:t xml:space="preserve"> </w:t>
      </w:r>
      <w:r w:rsidR="0059308B">
        <w:rPr>
          <w:rFonts w:cs="Arial"/>
          <w:szCs w:val="20"/>
        </w:rPr>
        <w:t>a optických přístrojů</w:t>
      </w:r>
      <w:r>
        <w:rPr>
          <w:rFonts w:cs="Arial"/>
          <w:szCs w:val="20"/>
        </w:rPr>
        <w:t xml:space="preserve">. </w:t>
      </w:r>
      <w:r w:rsidR="0059308B">
        <w:rPr>
          <w:rFonts w:cs="Arial"/>
          <w:szCs w:val="20"/>
        </w:rPr>
        <w:t xml:space="preserve">Naopak rostl vývoz elektrických zařízení a motorových vozidel. </w:t>
      </w:r>
      <w:r>
        <w:rPr>
          <w:rFonts w:cs="Arial"/>
          <w:szCs w:val="20"/>
        </w:rPr>
        <w:t>D</w:t>
      </w:r>
      <w:r w:rsidRPr="00F10882">
        <w:rPr>
          <w:rFonts w:cs="Arial"/>
          <w:szCs w:val="20"/>
        </w:rPr>
        <w:t xml:space="preserve">ovoz </w:t>
      </w:r>
      <w:r w:rsidR="00D7458C">
        <w:rPr>
          <w:rFonts w:cs="Arial"/>
          <w:szCs w:val="20"/>
        </w:rPr>
        <w:t>klesl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mezičtvrtletně</w:t>
      </w:r>
      <w:proofErr w:type="spellEnd"/>
      <w:r>
        <w:rPr>
          <w:rFonts w:cs="Arial"/>
          <w:szCs w:val="20"/>
        </w:rPr>
        <w:t xml:space="preserve"> </w:t>
      </w:r>
      <w:r w:rsidRPr="00F10882">
        <w:rPr>
          <w:rFonts w:cs="Arial"/>
          <w:szCs w:val="20"/>
        </w:rPr>
        <w:t>o</w:t>
      </w:r>
      <w:r w:rsidR="00220BBE">
        <w:rPr>
          <w:rFonts w:cs="Arial"/>
          <w:szCs w:val="20"/>
        </w:rPr>
        <w:t xml:space="preserve"> </w:t>
      </w:r>
      <w:r w:rsidR="00D7458C">
        <w:rPr>
          <w:rFonts w:cs="Arial"/>
          <w:szCs w:val="20"/>
        </w:rPr>
        <w:t>1</w:t>
      </w:r>
      <w:r w:rsidRPr="00F10882">
        <w:rPr>
          <w:rFonts w:cs="Arial"/>
          <w:szCs w:val="20"/>
        </w:rPr>
        <w:t>,</w:t>
      </w:r>
      <w:r w:rsidR="00220BBE">
        <w:rPr>
          <w:rFonts w:cs="Arial"/>
          <w:szCs w:val="20"/>
        </w:rPr>
        <w:t xml:space="preserve">1 </w:t>
      </w:r>
      <w:r w:rsidRPr="00F10882">
        <w:rPr>
          <w:rFonts w:cs="Arial"/>
          <w:szCs w:val="20"/>
        </w:rPr>
        <w:t>%</w:t>
      </w:r>
      <w:r w:rsidR="007D2AB2">
        <w:rPr>
          <w:rFonts w:cs="Arial"/>
          <w:szCs w:val="20"/>
        </w:rPr>
        <w:t xml:space="preserve"> a</w:t>
      </w:r>
      <w:r w:rsidR="00220BBE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meziročně o </w:t>
      </w:r>
      <w:r w:rsidR="00220BBE">
        <w:rPr>
          <w:rFonts w:cs="Arial"/>
          <w:szCs w:val="20"/>
        </w:rPr>
        <w:t>1</w:t>
      </w:r>
      <w:r>
        <w:rPr>
          <w:rFonts w:cs="Arial"/>
          <w:szCs w:val="20"/>
        </w:rPr>
        <w:t>,</w:t>
      </w:r>
      <w:r w:rsidR="004B25D5">
        <w:rPr>
          <w:rFonts w:cs="Arial"/>
          <w:szCs w:val="20"/>
        </w:rPr>
        <w:t>8</w:t>
      </w:r>
      <w:r w:rsidR="00D745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%</w:t>
      </w:r>
      <w:r w:rsidR="004C3FA3">
        <w:rPr>
          <w:rFonts w:cs="Arial"/>
          <w:szCs w:val="20"/>
        </w:rPr>
        <w:t>.</w:t>
      </w:r>
    </w:p>
    <w:p w:rsidR="00097BDD" w:rsidRDefault="00030FB0" w:rsidP="00A40E2F">
      <w:pPr>
        <w:spacing w:before="240" w:after="240"/>
        <w:rPr>
          <w:rFonts w:cs="Arial"/>
          <w:szCs w:val="20"/>
        </w:rPr>
      </w:pPr>
      <w:r>
        <w:rPr>
          <w:noProof/>
          <w:lang w:eastAsia="cs-CZ"/>
        </w:rPr>
        <w:drawing>
          <wp:inline distT="0" distB="0" distL="0" distR="0" wp14:anchorId="0D2D061B" wp14:editId="649B4604">
            <wp:extent cx="5381623" cy="3291050"/>
            <wp:effectExtent l="0" t="0" r="0" b="508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6D72" w:rsidRDefault="00A40E2F" w:rsidP="00A40E2F">
      <w:pPr>
        <w:spacing w:before="240" w:after="240"/>
        <w:rPr>
          <w:rFonts w:cs="Arial"/>
          <w:szCs w:val="20"/>
        </w:rPr>
      </w:pPr>
      <w:r w:rsidRPr="00AF011D">
        <w:rPr>
          <w:rFonts w:cs="Arial"/>
          <w:szCs w:val="20"/>
        </w:rPr>
        <w:t>Z hlediska cenového vývoje v</w:t>
      </w:r>
      <w:r w:rsidR="00932BAB">
        <w:rPr>
          <w:rFonts w:cs="Arial"/>
          <w:szCs w:val="20"/>
        </w:rPr>
        <w:t>e</w:t>
      </w:r>
      <w:r w:rsidR="009A409D">
        <w:rPr>
          <w:rFonts w:cs="Arial"/>
          <w:szCs w:val="20"/>
        </w:rPr>
        <w:t xml:space="preserve"> </w:t>
      </w:r>
      <w:r w:rsidR="00BB2ACC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. čtvrtletí </w:t>
      </w:r>
      <w:r w:rsidRPr="00AF011D">
        <w:rPr>
          <w:rFonts w:cs="Arial"/>
          <w:szCs w:val="20"/>
        </w:rPr>
        <w:t xml:space="preserve">celkový deflátor HDP </w:t>
      </w:r>
      <w:r>
        <w:rPr>
          <w:rFonts w:cs="Arial"/>
          <w:szCs w:val="20"/>
        </w:rPr>
        <w:t>vzrostl meziročně o</w:t>
      </w:r>
      <w:r w:rsidRPr="00AF011D">
        <w:rPr>
          <w:rFonts w:cs="Arial"/>
          <w:szCs w:val="20"/>
        </w:rPr>
        <w:t xml:space="preserve"> </w:t>
      </w:r>
      <w:r w:rsidR="00030FB0">
        <w:rPr>
          <w:rFonts w:cs="Arial"/>
          <w:szCs w:val="20"/>
        </w:rPr>
        <w:t>7</w:t>
      </w:r>
      <w:r w:rsidRPr="00AF011D">
        <w:rPr>
          <w:rFonts w:cs="Arial"/>
          <w:szCs w:val="20"/>
        </w:rPr>
        <w:t>,</w:t>
      </w:r>
      <w:r w:rsidR="00030FB0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%</w:t>
      </w:r>
      <w:r w:rsidR="00B92579">
        <w:rPr>
          <w:rFonts w:cs="Arial"/>
          <w:szCs w:val="20"/>
        </w:rPr>
        <w:t>.</w:t>
      </w:r>
    </w:p>
    <w:p w:rsidR="00695AB0" w:rsidRDefault="00695AB0" w:rsidP="00A40E2F">
      <w:pPr>
        <w:spacing w:before="240" w:after="240"/>
        <w:rPr>
          <w:rFonts w:cs="Arial"/>
          <w:szCs w:val="20"/>
        </w:rPr>
      </w:pPr>
      <w:r w:rsidRPr="00D65975">
        <w:rPr>
          <w:rFonts w:cs="Arial"/>
          <w:szCs w:val="20"/>
        </w:rPr>
        <w:t>Objem mzdových nákladů</w:t>
      </w:r>
      <w:r>
        <w:rPr>
          <w:rStyle w:val="Znakapoznpodarou"/>
        </w:rPr>
        <w:t>3</w:t>
      </w:r>
      <w:r w:rsidRPr="00D65975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>e 3</w:t>
      </w:r>
      <w:r w:rsidRPr="00D65975">
        <w:rPr>
          <w:rFonts w:cs="Arial"/>
          <w:szCs w:val="20"/>
        </w:rPr>
        <w:t xml:space="preserve">. čtvrtletí vzrostl meziročně o </w:t>
      </w:r>
      <w:r>
        <w:rPr>
          <w:rFonts w:cs="Arial"/>
          <w:szCs w:val="20"/>
        </w:rPr>
        <w:t>7</w:t>
      </w:r>
      <w:r w:rsidRPr="00D65975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D65975">
        <w:rPr>
          <w:rFonts w:cs="Arial"/>
          <w:szCs w:val="20"/>
        </w:rPr>
        <w:t xml:space="preserve"> %.</w:t>
      </w:r>
    </w:p>
    <w:p w:rsidR="00A40E2F" w:rsidRDefault="00A40E2F" w:rsidP="00A40E2F">
      <w:pPr>
        <w:spacing w:before="240" w:after="240"/>
      </w:pPr>
      <w:r w:rsidRPr="00E50E52">
        <w:rPr>
          <w:rFonts w:cs="Arial"/>
          <w:b/>
          <w:szCs w:val="20"/>
        </w:rPr>
        <w:lastRenderedPageBreak/>
        <w:t>Celková zaměstnanost</w:t>
      </w:r>
      <w:r w:rsidRPr="00E50E52">
        <w:rPr>
          <w:rStyle w:val="Znakapoznpodarou"/>
          <w:rFonts w:cs="Arial"/>
          <w:szCs w:val="20"/>
        </w:rPr>
        <w:footnoteReference w:id="4"/>
      </w:r>
      <w:r w:rsidRPr="00E50E52">
        <w:rPr>
          <w:rFonts w:cs="Arial"/>
          <w:szCs w:val="20"/>
        </w:rPr>
        <w:t xml:space="preserve"> </w:t>
      </w:r>
      <w:r w:rsidR="004D4148">
        <w:t>klesla</w:t>
      </w:r>
      <w:r>
        <w:t xml:space="preserve"> </w:t>
      </w:r>
      <w:r>
        <w:rPr>
          <w:rFonts w:cs="Arial"/>
          <w:szCs w:val="20"/>
        </w:rPr>
        <w:t xml:space="preserve">v </w:t>
      </w:r>
      <w:r w:rsidRPr="006C6198">
        <w:t>porovnání s předchozím čtvrtletím</w:t>
      </w:r>
      <w:r>
        <w:t xml:space="preserve"> o </w:t>
      </w:r>
      <w:r w:rsidR="004D4148">
        <w:t>0</w:t>
      </w:r>
      <w:r>
        <w:t>,</w:t>
      </w:r>
      <w:r w:rsidR="004D4148">
        <w:t>7</w:t>
      </w:r>
      <w:r>
        <w:t xml:space="preserve"> % a</w:t>
      </w:r>
      <w:r w:rsidRPr="00E50E52">
        <w:rPr>
          <w:rFonts w:cs="Arial"/>
          <w:szCs w:val="20"/>
        </w:rPr>
        <w:t xml:space="preserve"> meziročně</w:t>
      </w:r>
      <w:r w:rsidR="000C6ABE">
        <w:rPr>
          <w:rFonts w:cs="Arial"/>
          <w:szCs w:val="20"/>
        </w:rPr>
        <w:t xml:space="preserve"> </w:t>
      </w:r>
      <w:r w:rsidR="004D4148">
        <w:rPr>
          <w:rFonts w:cs="Arial"/>
          <w:szCs w:val="20"/>
        </w:rPr>
        <w:t xml:space="preserve">vzrostla </w:t>
      </w:r>
      <w:r w:rsidR="000C6ABE">
        <w:rPr>
          <w:rFonts w:cs="Arial"/>
          <w:szCs w:val="20"/>
        </w:rPr>
        <w:t>o 0</w:t>
      </w:r>
      <w:r>
        <w:rPr>
          <w:rFonts w:cs="Arial"/>
          <w:szCs w:val="20"/>
        </w:rPr>
        <w:t>,</w:t>
      </w:r>
      <w:r w:rsidR="004D4148">
        <w:rPr>
          <w:rFonts w:cs="Arial"/>
          <w:szCs w:val="20"/>
        </w:rPr>
        <w:t>4</w:t>
      </w:r>
      <w:r w:rsidR="001322E7">
        <w:rPr>
          <w:rFonts w:cs="Arial"/>
          <w:szCs w:val="20"/>
        </w:rPr>
        <w:t> </w:t>
      </w:r>
      <w:r>
        <w:rPr>
          <w:rFonts w:cs="Arial"/>
          <w:szCs w:val="20"/>
        </w:rPr>
        <w:t>%.</w:t>
      </w:r>
      <w:r w:rsidR="00957983">
        <w:rPr>
          <w:rFonts w:cs="Arial"/>
          <w:szCs w:val="20"/>
        </w:rPr>
        <w:t xml:space="preserve"> </w:t>
      </w:r>
      <w:r w:rsidR="00957983" w:rsidRPr="007343C6">
        <w:t>Celkem bylo odpracováno o </w:t>
      </w:r>
      <w:r w:rsidR="000C6ABE">
        <w:t>0</w:t>
      </w:r>
      <w:r w:rsidR="00957983">
        <w:t>,</w:t>
      </w:r>
      <w:r w:rsidR="004D4148">
        <w:t>7</w:t>
      </w:r>
      <w:r w:rsidR="00957983">
        <w:t xml:space="preserve"> %</w:t>
      </w:r>
      <w:r w:rsidR="00957983" w:rsidRPr="007343C6">
        <w:t xml:space="preserve"> hodin </w:t>
      </w:r>
      <w:r w:rsidR="004D4148">
        <w:t>méně</w:t>
      </w:r>
      <w:r w:rsidR="00973EDD">
        <w:t xml:space="preserve"> než v předchozím čtvrtletí a </w:t>
      </w:r>
      <w:r w:rsidR="00957983">
        <w:t xml:space="preserve">meziročně </w:t>
      </w:r>
      <w:r w:rsidR="004D4148">
        <w:t>méně</w:t>
      </w:r>
      <w:r w:rsidR="00957983">
        <w:t xml:space="preserve"> o </w:t>
      </w:r>
      <w:r w:rsidR="000C6ABE">
        <w:t>0</w:t>
      </w:r>
      <w:r w:rsidR="00957983" w:rsidRPr="00031121">
        <w:t>,</w:t>
      </w:r>
      <w:r w:rsidR="004D4148">
        <w:t>1</w:t>
      </w:r>
      <w:r w:rsidR="00957983" w:rsidRPr="00031121">
        <w:t xml:space="preserve"> %</w:t>
      </w:r>
      <w:r w:rsidR="00957983">
        <w:t>.</w:t>
      </w:r>
    </w:p>
    <w:p w:rsidR="00097BDD" w:rsidRDefault="00097BDD" w:rsidP="00A40E2F">
      <w:pPr>
        <w:spacing w:before="240" w:after="240"/>
        <w:rPr>
          <w:rFonts w:cs="Arial"/>
          <w:szCs w:val="20"/>
        </w:rPr>
      </w:pPr>
    </w:p>
    <w:p w:rsidR="007C771E" w:rsidRDefault="007C771E" w:rsidP="00981D35">
      <w:pPr>
        <w:pStyle w:val="Poznmky"/>
        <w:tabs>
          <w:tab w:val="left" w:pos="284"/>
        </w:tabs>
        <w:spacing w:before="240"/>
        <w:ind w:left="4253" w:hanging="4253"/>
        <w:rPr>
          <w:i/>
        </w:rPr>
      </w:pPr>
      <w:r>
        <w:rPr>
          <w:i/>
        </w:rPr>
        <w:t>Poznámky:</w:t>
      </w:r>
    </w:p>
    <w:p w:rsidR="00981D35" w:rsidRPr="004E3EF6" w:rsidRDefault="00981D35" w:rsidP="00981D35">
      <w:pPr>
        <w:pStyle w:val="Poznmky"/>
        <w:tabs>
          <w:tab w:val="left" w:pos="284"/>
        </w:tabs>
        <w:spacing w:before="240"/>
        <w:ind w:left="4253" w:hanging="4253"/>
        <w:rPr>
          <w:i/>
        </w:rPr>
      </w:pPr>
      <w:r w:rsidRPr="004E3EF6">
        <w:rPr>
          <w:i/>
        </w:rPr>
        <w:t>Zodpovědný vedoucí pracovník:</w:t>
      </w:r>
      <w:r w:rsidRPr="004E3EF6">
        <w:rPr>
          <w:i/>
        </w:rPr>
        <w:tab/>
      </w:r>
      <w:r>
        <w:rPr>
          <w:i/>
        </w:rPr>
        <w:t>Ing. Vladimír Kermiet, ředitel o</w:t>
      </w:r>
      <w:r w:rsidRPr="004E3EF6">
        <w:rPr>
          <w:i/>
        </w:rPr>
        <w:t>dboru národních účtů, tel. 274 054 247, e</w:t>
      </w:r>
      <w:r w:rsidRPr="004E3EF6">
        <w:rPr>
          <w:i/>
        </w:rPr>
        <w:noBreakHyphen/>
        <w:t>mail: </w:t>
      </w:r>
      <w:hyperlink r:id="rId8" w:history="1">
        <w:r w:rsidRPr="004E3EF6">
          <w:rPr>
            <w:rStyle w:val="Hypertextovodkaz"/>
            <w:i/>
          </w:rPr>
          <w:t>vladimir.kermiet@czso.cz</w:t>
        </w:r>
      </w:hyperlink>
      <w:r w:rsidRPr="004E3EF6">
        <w:rPr>
          <w:i/>
        </w:rPr>
        <w:t xml:space="preserve"> </w:t>
      </w:r>
    </w:p>
    <w:p w:rsidR="00981D35" w:rsidRPr="004E3EF6" w:rsidRDefault="00981D35" w:rsidP="00981D35">
      <w:pPr>
        <w:pStyle w:val="Poznamkytexty"/>
        <w:spacing w:before="120"/>
        <w:ind w:left="4253" w:hanging="4253"/>
        <w:jc w:val="left"/>
      </w:pPr>
      <w:r w:rsidRPr="004E3EF6">
        <w:t>Kontaktní osoba:</w:t>
      </w:r>
      <w:r w:rsidRPr="004E3EF6">
        <w:tab/>
      </w:r>
      <w:r w:rsidRPr="005F6D4D">
        <w:t>Ing. Jan</w:t>
      </w:r>
      <w:r>
        <w:t xml:space="preserve"> Benedikt</w:t>
      </w:r>
      <w:r w:rsidRPr="00315471">
        <w:t xml:space="preserve">, </w:t>
      </w:r>
      <w:r>
        <w:t>oddělení čtvrtletních odhadů</w:t>
      </w:r>
      <w:r w:rsidRPr="004E3EF6">
        <w:t>, tel. </w:t>
      </w:r>
      <w:r w:rsidRPr="00315471">
        <w:t>274 052 750, e</w:t>
      </w:r>
      <w:r w:rsidRPr="00315471">
        <w:noBreakHyphen/>
        <w:t>mail: </w:t>
      </w:r>
      <w:hyperlink r:id="rId9" w:history="1">
        <w:r w:rsidRPr="00D82385">
          <w:rPr>
            <w:rStyle w:val="Hypertextovodkaz"/>
          </w:rPr>
          <w:t>jan.benedikt@czso.cz</w:t>
        </w:r>
      </w:hyperlink>
      <w:r w:rsidRPr="004E3EF6">
        <w:t xml:space="preserve"> </w:t>
      </w:r>
    </w:p>
    <w:p w:rsidR="00981D35" w:rsidRPr="004E3EF6" w:rsidRDefault="00981D35" w:rsidP="00981D35">
      <w:pPr>
        <w:pStyle w:val="Poznamkytexty"/>
        <w:spacing w:before="120"/>
        <w:ind w:left="4253" w:hanging="4253"/>
      </w:pPr>
      <w:r w:rsidRPr="004E3EF6">
        <w:t>Aktuálnost použitých datových zdrojů:</w:t>
      </w:r>
      <w:r w:rsidRPr="004E3EF6">
        <w:tab/>
        <w:t>2</w:t>
      </w:r>
      <w:r w:rsidR="00BB2ACC">
        <w:t>3</w:t>
      </w:r>
      <w:r w:rsidRPr="004E3EF6">
        <w:t>.</w:t>
      </w:r>
      <w:r>
        <w:t xml:space="preserve"> </w:t>
      </w:r>
      <w:r w:rsidR="00BB2ACC">
        <w:t>listopadu</w:t>
      </w:r>
      <w:r>
        <w:t xml:space="preserve"> 202</w:t>
      </w:r>
      <w:r w:rsidR="00696C6E">
        <w:t>3</w:t>
      </w:r>
    </w:p>
    <w:p w:rsidR="00CF58E0" w:rsidRDefault="00CF58E0" w:rsidP="00981D35">
      <w:pPr>
        <w:pStyle w:val="Poznamkytexty"/>
        <w:spacing w:before="120"/>
        <w:ind w:left="4253" w:hanging="4253"/>
        <w:jc w:val="left"/>
        <w:rPr>
          <w:rStyle w:val="Hypertextovodkaz"/>
        </w:rPr>
      </w:pPr>
      <w:r w:rsidRPr="00FE1D62">
        <w:t>Časové řady:</w:t>
      </w:r>
      <w:r w:rsidRPr="00FE1D62">
        <w:tab/>
      </w:r>
      <w:hyperlink r:id="rId10" w:history="1">
        <w:r w:rsidR="00D34DBC">
          <w:rPr>
            <w:rStyle w:val="Hypertextovodkaz"/>
          </w:rPr>
          <w:t>https://apl.czso.cz/pll/rocenka/</w:t>
        </w:r>
      </w:hyperlink>
    </w:p>
    <w:p w:rsidR="00981D35" w:rsidRPr="00424047" w:rsidRDefault="00981D35" w:rsidP="00981D35">
      <w:pPr>
        <w:pStyle w:val="Poznamkytexty"/>
        <w:spacing w:before="120"/>
        <w:ind w:left="4253" w:hanging="4253"/>
        <w:jc w:val="left"/>
        <w:rPr>
          <w:highlight w:val="yellow"/>
        </w:rPr>
      </w:pPr>
      <w:r w:rsidRPr="00FE1D62">
        <w:t>Internetové stránky RI:</w:t>
      </w:r>
      <w:r w:rsidRPr="00FE1D62">
        <w:tab/>
      </w:r>
      <w:hyperlink r:id="rId11" w:history="1">
        <w:r w:rsidRPr="00FE1D62">
          <w:rPr>
            <w:rStyle w:val="Hypertextovodkaz"/>
            <w:iCs/>
          </w:rPr>
          <w:t>https://www.czso.cz/csu/czso/ctvrtletni-narodni-ucty-tvorba-a-uziti-hdp-a-predbezny-odhad-hdp</w:t>
        </w:r>
      </w:hyperlink>
    </w:p>
    <w:p w:rsidR="00981D35" w:rsidRDefault="00981D35" w:rsidP="00981D35">
      <w:pPr>
        <w:pStyle w:val="Poznamkytexty"/>
        <w:spacing w:before="120"/>
        <w:ind w:left="4253" w:hanging="4253"/>
        <w:jc w:val="left"/>
      </w:pPr>
      <w:r w:rsidRPr="00FE1D62">
        <w:t>Termín zveřejnění další RI:</w:t>
      </w:r>
      <w:r w:rsidRPr="00FE1D62">
        <w:tab/>
      </w:r>
      <w:r w:rsidR="005F170D">
        <w:t>3</w:t>
      </w:r>
      <w:r w:rsidR="00BB2ACC">
        <w:t>0</w:t>
      </w:r>
      <w:r w:rsidRPr="00FE1D62">
        <w:t xml:space="preserve">. </w:t>
      </w:r>
      <w:r w:rsidR="00BB2ACC">
        <w:t>ledna</w:t>
      </w:r>
      <w:r>
        <w:t xml:space="preserve"> 202</w:t>
      </w:r>
      <w:r w:rsidR="00BB2ACC">
        <w:t>4</w:t>
      </w:r>
      <w:r w:rsidRPr="00FE1D62">
        <w:t xml:space="preserve"> </w:t>
      </w:r>
      <w:r w:rsidRPr="00FE1D62">
        <w:br/>
        <w:t xml:space="preserve">(Předběžný odhad HDP za </w:t>
      </w:r>
      <w:r w:rsidR="00BB2ACC">
        <w:t>4</w:t>
      </w:r>
      <w:r w:rsidRPr="00FE1D62">
        <w:t>. čtvrtletí 20</w:t>
      </w:r>
      <w:r>
        <w:t>2</w:t>
      </w:r>
      <w:r w:rsidR="00696C6E">
        <w:t>3</w:t>
      </w:r>
      <w:r w:rsidRPr="00FE1D62">
        <w:t>)</w:t>
      </w:r>
    </w:p>
    <w:p w:rsidR="00D209A7" w:rsidRPr="00981D35" w:rsidRDefault="00D209A7" w:rsidP="00981D35"/>
    <w:sectPr w:rsidR="00D209A7" w:rsidRPr="00981D35" w:rsidSect="00F641C9">
      <w:headerReference w:type="default" r:id="rId12"/>
      <w:footerReference w:type="default" r:id="rId13"/>
      <w:pgSz w:w="11907" w:h="16839" w:code="9"/>
      <w:pgMar w:top="2836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64" w:rsidRDefault="004A1E64" w:rsidP="00BA6370">
      <w:r>
        <w:separator/>
      </w:r>
    </w:p>
  </w:endnote>
  <w:endnote w:type="continuationSeparator" w:id="0">
    <w:p w:rsidR="004A1E64" w:rsidRDefault="004A1E6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71830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71830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9BB59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64" w:rsidRDefault="004A1E64" w:rsidP="00BA6370">
      <w:r>
        <w:separator/>
      </w:r>
    </w:p>
  </w:footnote>
  <w:footnote w:type="continuationSeparator" w:id="0">
    <w:p w:rsidR="004A1E64" w:rsidRDefault="004A1E64" w:rsidP="00BA6370">
      <w:r>
        <w:continuationSeparator/>
      </w:r>
    </w:p>
  </w:footnote>
  <w:footnote w:id="1">
    <w:p w:rsidR="00605168" w:rsidRPr="00652020" w:rsidRDefault="00605168" w:rsidP="00605168">
      <w:pPr>
        <w:pStyle w:val="Textpoznpodarou"/>
        <w:spacing w:after="60"/>
        <w:jc w:val="both"/>
        <w:rPr>
          <w:rFonts w:ascii="Arial" w:hAnsi="Arial" w:cs="Arial"/>
          <w:i/>
        </w:rPr>
      </w:pPr>
      <w:r w:rsidRPr="00652020">
        <w:rPr>
          <w:rStyle w:val="Znakapoznpodarou"/>
          <w:rFonts w:ascii="Arial" w:hAnsi="Arial" w:cs="Arial"/>
          <w:i/>
        </w:rPr>
        <w:footnoteRef/>
      </w:r>
      <w:r w:rsidRPr="00652020">
        <w:rPr>
          <w:rFonts w:ascii="Arial" w:hAnsi="Arial" w:cs="Arial"/>
          <w:i/>
        </w:rPr>
        <w:t xml:space="preserve"> </w:t>
      </w:r>
      <w:r w:rsidRPr="00652020">
        <w:rPr>
          <w:rFonts w:ascii="Arial" w:hAnsi="Arial" w:cs="Arial"/>
          <w:i/>
          <w:sz w:val="18"/>
          <w:szCs w:val="18"/>
        </w:rPr>
        <w:t>Pokud není uvedeno jinak, jsou všechny uváděné údaje očištěny o změny cen, sezónní vlivy a nestejný počet pracovních dnů</w:t>
      </w:r>
      <w:r>
        <w:rPr>
          <w:rFonts w:ascii="Arial" w:hAnsi="Arial" w:cs="Arial"/>
          <w:i/>
          <w:sz w:val="18"/>
          <w:szCs w:val="18"/>
        </w:rPr>
        <w:t>.</w:t>
      </w:r>
    </w:p>
  </w:footnote>
  <w:footnote w:id="2">
    <w:p w:rsidR="00B64D63" w:rsidRPr="00403FFD" w:rsidRDefault="00B64D63" w:rsidP="00B64D63">
      <w:pPr>
        <w:pStyle w:val="Textpoznpodarou"/>
        <w:spacing w:line="288" w:lineRule="auto"/>
        <w:rPr>
          <w:rFonts w:ascii="Arial" w:hAnsi="Arial" w:cs="Arial"/>
          <w:i/>
          <w:sz w:val="18"/>
          <w:szCs w:val="18"/>
        </w:rPr>
      </w:pPr>
      <w:r w:rsidRPr="00403FFD">
        <w:rPr>
          <w:rStyle w:val="Znakapoznpodarou"/>
          <w:rFonts w:ascii="Arial" w:hAnsi="Arial" w:cs="Arial"/>
          <w:i/>
        </w:rPr>
        <w:footnoteRef/>
      </w:r>
      <w:r w:rsidRPr="00403FFD">
        <w:rPr>
          <w:rFonts w:ascii="Arial" w:hAnsi="Arial" w:cs="Arial"/>
          <w:i/>
        </w:rPr>
        <w:t xml:space="preserve"> </w:t>
      </w:r>
      <w:r w:rsidRPr="00403FFD">
        <w:rPr>
          <w:rFonts w:ascii="Arial" w:hAnsi="Arial" w:cs="Arial"/>
          <w:i/>
          <w:sz w:val="18"/>
          <w:szCs w:val="18"/>
        </w:rPr>
        <w:t xml:space="preserve">Příspěvky k růstu </w:t>
      </w:r>
      <w:r>
        <w:rPr>
          <w:rFonts w:ascii="Arial" w:hAnsi="Arial" w:cs="Arial"/>
          <w:i/>
          <w:sz w:val="18"/>
          <w:szCs w:val="18"/>
        </w:rPr>
        <w:t xml:space="preserve">HDP </w:t>
      </w:r>
      <w:r w:rsidRPr="00403FFD">
        <w:rPr>
          <w:rFonts w:ascii="Arial" w:hAnsi="Arial" w:cs="Arial"/>
          <w:i/>
          <w:sz w:val="18"/>
          <w:szCs w:val="18"/>
        </w:rPr>
        <w:t xml:space="preserve">po vyloučení dovozu </w:t>
      </w:r>
      <w:r>
        <w:rPr>
          <w:rFonts w:ascii="Arial" w:hAnsi="Arial" w:cs="Arial"/>
          <w:i/>
          <w:sz w:val="18"/>
          <w:szCs w:val="18"/>
        </w:rPr>
        <w:t>pro konečné užití, pokud není uvedeno jinak.</w:t>
      </w:r>
    </w:p>
  </w:footnote>
  <w:footnote w:id="3">
    <w:p w:rsidR="00C3178F" w:rsidRDefault="00C3178F" w:rsidP="00C3178F">
      <w:pPr>
        <w:pStyle w:val="Textpoznpodarou"/>
      </w:pPr>
      <w:r w:rsidRPr="00DA73C5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DA73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 běžných cenách, neočištěno o sezónní vlivy.</w:t>
      </w:r>
    </w:p>
  </w:footnote>
  <w:footnote w:id="4">
    <w:p w:rsidR="00A40E2F" w:rsidRPr="00877248" w:rsidRDefault="00A40E2F" w:rsidP="00A40E2F">
      <w:pPr>
        <w:pStyle w:val="Textpoznpodarou"/>
        <w:spacing w:line="288" w:lineRule="auto"/>
        <w:rPr>
          <w:rFonts w:ascii="Arial" w:hAnsi="Arial" w:cs="Arial"/>
          <w:i/>
          <w:sz w:val="22"/>
        </w:rPr>
      </w:pPr>
      <w:r w:rsidRPr="00877248">
        <w:rPr>
          <w:rStyle w:val="Znakapoznpodarou"/>
          <w:rFonts w:ascii="Arial" w:hAnsi="Arial" w:cs="Arial"/>
          <w:i/>
          <w:sz w:val="18"/>
        </w:rPr>
        <w:footnoteRef/>
      </w:r>
      <w:r w:rsidRPr="00877248">
        <w:rPr>
          <w:rFonts w:ascii="Arial" w:hAnsi="Arial" w:cs="Arial"/>
          <w:i/>
          <w:sz w:val="18"/>
        </w:rPr>
        <w:t xml:space="preserve"> V pojetí národních účtů.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E73AC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DC"/>
    <w:rsid w:val="0000168F"/>
    <w:rsid w:val="00030FB0"/>
    <w:rsid w:val="00032254"/>
    <w:rsid w:val="000370A3"/>
    <w:rsid w:val="00043BF4"/>
    <w:rsid w:val="000455AA"/>
    <w:rsid w:val="00047F44"/>
    <w:rsid w:val="00057DC3"/>
    <w:rsid w:val="000671A9"/>
    <w:rsid w:val="000754C2"/>
    <w:rsid w:val="000843A5"/>
    <w:rsid w:val="000910DA"/>
    <w:rsid w:val="0009510C"/>
    <w:rsid w:val="00096D6C"/>
    <w:rsid w:val="00097BDD"/>
    <w:rsid w:val="000B0410"/>
    <w:rsid w:val="000B6F63"/>
    <w:rsid w:val="000C6ABE"/>
    <w:rsid w:val="000D093F"/>
    <w:rsid w:val="000D3E39"/>
    <w:rsid w:val="000E43CC"/>
    <w:rsid w:val="000E6D72"/>
    <w:rsid w:val="001058D6"/>
    <w:rsid w:val="00113CB6"/>
    <w:rsid w:val="00113D26"/>
    <w:rsid w:val="00120D26"/>
    <w:rsid w:val="001322E7"/>
    <w:rsid w:val="00132CC4"/>
    <w:rsid w:val="0013442D"/>
    <w:rsid w:val="00135DCB"/>
    <w:rsid w:val="001404AB"/>
    <w:rsid w:val="001511B3"/>
    <w:rsid w:val="00152BAF"/>
    <w:rsid w:val="0017231D"/>
    <w:rsid w:val="001810DC"/>
    <w:rsid w:val="00187632"/>
    <w:rsid w:val="001B607F"/>
    <w:rsid w:val="001D369A"/>
    <w:rsid w:val="001E4C8F"/>
    <w:rsid w:val="001E6846"/>
    <w:rsid w:val="001F08B3"/>
    <w:rsid w:val="001F2FE0"/>
    <w:rsid w:val="00200854"/>
    <w:rsid w:val="002070FB"/>
    <w:rsid w:val="00213729"/>
    <w:rsid w:val="00214096"/>
    <w:rsid w:val="00220BBE"/>
    <w:rsid w:val="0022697A"/>
    <w:rsid w:val="002406FA"/>
    <w:rsid w:val="00254511"/>
    <w:rsid w:val="0026107B"/>
    <w:rsid w:val="00275DF8"/>
    <w:rsid w:val="002764DE"/>
    <w:rsid w:val="00283787"/>
    <w:rsid w:val="00284C2C"/>
    <w:rsid w:val="002A0B6C"/>
    <w:rsid w:val="002B2E47"/>
    <w:rsid w:val="002C5F38"/>
    <w:rsid w:val="002D2649"/>
    <w:rsid w:val="002D44FD"/>
    <w:rsid w:val="002D7F4F"/>
    <w:rsid w:val="002E2090"/>
    <w:rsid w:val="002E7611"/>
    <w:rsid w:val="00307EEE"/>
    <w:rsid w:val="00316E7C"/>
    <w:rsid w:val="00324416"/>
    <w:rsid w:val="003301A3"/>
    <w:rsid w:val="00332268"/>
    <w:rsid w:val="0034625E"/>
    <w:rsid w:val="003507FE"/>
    <w:rsid w:val="00357529"/>
    <w:rsid w:val="00366572"/>
    <w:rsid w:val="0036777B"/>
    <w:rsid w:val="003734EA"/>
    <w:rsid w:val="0038282A"/>
    <w:rsid w:val="00397580"/>
    <w:rsid w:val="003A45C8"/>
    <w:rsid w:val="003C2DCF"/>
    <w:rsid w:val="003C4F7B"/>
    <w:rsid w:val="003C7FE7"/>
    <w:rsid w:val="003D0499"/>
    <w:rsid w:val="003D2AB9"/>
    <w:rsid w:val="003D3576"/>
    <w:rsid w:val="003D529B"/>
    <w:rsid w:val="003D5617"/>
    <w:rsid w:val="003E185A"/>
    <w:rsid w:val="003F1812"/>
    <w:rsid w:val="003F50CE"/>
    <w:rsid w:val="003F526A"/>
    <w:rsid w:val="00400818"/>
    <w:rsid w:val="00405244"/>
    <w:rsid w:val="004154C7"/>
    <w:rsid w:val="00427005"/>
    <w:rsid w:val="00436230"/>
    <w:rsid w:val="004436EE"/>
    <w:rsid w:val="0045547F"/>
    <w:rsid w:val="00464C5D"/>
    <w:rsid w:val="00471DEF"/>
    <w:rsid w:val="00472310"/>
    <w:rsid w:val="004920AD"/>
    <w:rsid w:val="004A1E64"/>
    <w:rsid w:val="004A5A0E"/>
    <w:rsid w:val="004B0766"/>
    <w:rsid w:val="004B25D5"/>
    <w:rsid w:val="004B4606"/>
    <w:rsid w:val="004C1BBB"/>
    <w:rsid w:val="004C3FA3"/>
    <w:rsid w:val="004C4C12"/>
    <w:rsid w:val="004D05B3"/>
    <w:rsid w:val="004D4148"/>
    <w:rsid w:val="004E1D54"/>
    <w:rsid w:val="004E479E"/>
    <w:rsid w:val="004E5B99"/>
    <w:rsid w:val="004F134E"/>
    <w:rsid w:val="004F686C"/>
    <w:rsid w:val="004F78E6"/>
    <w:rsid w:val="0050420E"/>
    <w:rsid w:val="00512D99"/>
    <w:rsid w:val="0051757B"/>
    <w:rsid w:val="00520D4F"/>
    <w:rsid w:val="005211E4"/>
    <w:rsid w:val="00521790"/>
    <w:rsid w:val="00531DBB"/>
    <w:rsid w:val="00544164"/>
    <w:rsid w:val="00573994"/>
    <w:rsid w:val="00585F13"/>
    <w:rsid w:val="005905E0"/>
    <w:rsid w:val="005924FB"/>
    <w:rsid w:val="0059308B"/>
    <w:rsid w:val="00595DD3"/>
    <w:rsid w:val="005D5C91"/>
    <w:rsid w:val="005E5E4C"/>
    <w:rsid w:val="005E7011"/>
    <w:rsid w:val="005F170D"/>
    <w:rsid w:val="005F79FB"/>
    <w:rsid w:val="00604406"/>
    <w:rsid w:val="00605168"/>
    <w:rsid w:val="00605F4A"/>
    <w:rsid w:val="00607822"/>
    <w:rsid w:val="006103AA"/>
    <w:rsid w:val="00612A8C"/>
    <w:rsid w:val="0061342F"/>
    <w:rsid w:val="00613BBF"/>
    <w:rsid w:val="00620F54"/>
    <w:rsid w:val="00622B80"/>
    <w:rsid w:val="0064139A"/>
    <w:rsid w:val="00642444"/>
    <w:rsid w:val="00654048"/>
    <w:rsid w:val="00655BCE"/>
    <w:rsid w:val="006707F8"/>
    <w:rsid w:val="00672CC5"/>
    <w:rsid w:val="00674462"/>
    <w:rsid w:val="00680927"/>
    <w:rsid w:val="00683F5C"/>
    <w:rsid w:val="00692211"/>
    <w:rsid w:val="00692545"/>
    <w:rsid w:val="006931CF"/>
    <w:rsid w:val="00695AB0"/>
    <w:rsid w:val="00696C6E"/>
    <w:rsid w:val="006C05CC"/>
    <w:rsid w:val="006C0678"/>
    <w:rsid w:val="006C0B2D"/>
    <w:rsid w:val="006D21EB"/>
    <w:rsid w:val="006D303D"/>
    <w:rsid w:val="006E024F"/>
    <w:rsid w:val="006E38CF"/>
    <w:rsid w:val="006E4E81"/>
    <w:rsid w:val="006F058A"/>
    <w:rsid w:val="006F45FD"/>
    <w:rsid w:val="00707F7D"/>
    <w:rsid w:val="0071302D"/>
    <w:rsid w:val="007154FE"/>
    <w:rsid w:val="00716267"/>
    <w:rsid w:val="00717EC5"/>
    <w:rsid w:val="007205F9"/>
    <w:rsid w:val="00734E3E"/>
    <w:rsid w:val="00740083"/>
    <w:rsid w:val="007454AE"/>
    <w:rsid w:val="0075316B"/>
    <w:rsid w:val="00754C20"/>
    <w:rsid w:val="007842A3"/>
    <w:rsid w:val="007917A3"/>
    <w:rsid w:val="007A2048"/>
    <w:rsid w:val="007A57F2"/>
    <w:rsid w:val="007B1333"/>
    <w:rsid w:val="007C771E"/>
    <w:rsid w:val="007D2AB2"/>
    <w:rsid w:val="007D3ACD"/>
    <w:rsid w:val="007D74DC"/>
    <w:rsid w:val="007F291A"/>
    <w:rsid w:val="007F4AEB"/>
    <w:rsid w:val="007F75B2"/>
    <w:rsid w:val="00803993"/>
    <w:rsid w:val="00803B60"/>
    <w:rsid w:val="008043C4"/>
    <w:rsid w:val="0080622A"/>
    <w:rsid w:val="00812B55"/>
    <w:rsid w:val="00815031"/>
    <w:rsid w:val="00817ADC"/>
    <w:rsid w:val="0083196C"/>
    <w:rsid w:val="00831B1B"/>
    <w:rsid w:val="00844154"/>
    <w:rsid w:val="008524F7"/>
    <w:rsid w:val="00855891"/>
    <w:rsid w:val="00855FB3"/>
    <w:rsid w:val="00861D0E"/>
    <w:rsid w:val="00862A04"/>
    <w:rsid w:val="008662BB"/>
    <w:rsid w:val="00867569"/>
    <w:rsid w:val="00870B17"/>
    <w:rsid w:val="00871830"/>
    <w:rsid w:val="00882882"/>
    <w:rsid w:val="00884917"/>
    <w:rsid w:val="00896680"/>
    <w:rsid w:val="008976A5"/>
    <w:rsid w:val="008A750A"/>
    <w:rsid w:val="008B3970"/>
    <w:rsid w:val="008C384C"/>
    <w:rsid w:val="008D0F11"/>
    <w:rsid w:val="008D2206"/>
    <w:rsid w:val="008D5290"/>
    <w:rsid w:val="008D7206"/>
    <w:rsid w:val="008D736F"/>
    <w:rsid w:val="008E44ED"/>
    <w:rsid w:val="008F24E5"/>
    <w:rsid w:val="008F6751"/>
    <w:rsid w:val="008F73B4"/>
    <w:rsid w:val="00904B72"/>
    <w:rsid w:val="00931641"/>
    <w:rsid w:val="00932BAB"/>
    <w:rsid w:val="009362D1"/>
    <w:rsid w:val="0094322B"/>
    <w:rsid w:val="00946707"/>
    <w:rsid w:val="00952760"/>
    <w:rsid w:val="0095440C"/>
    <w:rsid w:val="00957983"/>
    <w:rsid w:val="00973EDD"/>
    <w:rsid w:val="00974CB7"/>
    <w:rsid w:val="00981D35"/>
    <w:rsid w:val="00986DD7"/>
    <w:rsid w:val="009A409D"/>
    <w:rsid w:val="009B55B1"/>
    <w:rsid w:val="009B62A7"/>
    <w:rsid w:val="009C1088"/>
    <w:rsid w:val="00A00C19"/>
    <w:rsid w:val="00A025F9"/>
    <w:rsid w:val="00A0762A"/>
    <w:rsid w:val="00A1095E"/>
    <w:rsid w:val="00A15612"/>
    <w:rsid w:val="00A1568D"/>
    <w:rsid w:val="00A16A1F"/>
    <w:rsid w:val="00A40E2F"/>
    <w:rsid w:val="00A4343D"/>
    <w:rsid w:val="00A502F1"/>
    <w:rsid w:val="00A56CA1"/>
    <w:rsid w:val="00A70A83"/>
    <w:rsid w:val="00A81EB3"/>
    <w:rsid w:val="00A9050F"/>
    <w:rsid w:val="00A955BC"/>
    <w:rsid w:val="00AB3410"/>
    <w:rsid w:val="00AB4504"/>
    <w:rsid w:val="00AD04BF"/>
    <w:rsid w:val="00AD19D9"/>
    <w:rsid w:val="00AD3016"/>
    <w:rsid w:val="00AD7489"/>
    <w:rsid w:val="00AF7010"/>
    <w:rsid w:val="00B00C1D"/>
    <w:rsid w:val="00B01F86"/>
    <w:rsid w:val="00B022D0"/>
    <w:rsid w:val="00B53A5F"/>
    <w:rsid w:val="00B55375"/>
    <w:rsid w:val="00B557E3"/>
    <w:rsid w:val="00B632CC"/>
    <w:rsid w:val="00B64D63"/>
    <w:rsid w:val="00B72D52"/>
    <w:rsid w:val="00B74175"/>
    <w:rsid w:val="00B92579"/>
    <w:rsid w:val="00BA12F1"/>
    <w:rsid w:val="00BA439F"/>
    <w:rsid w:val="00BA6370"/>
    <w:rsid w:val="00BB0B5A"/>
    <w:rsid w:val="00BB2ACC"/>
    <w:rsid w:val="00BB5EEE"/>
    <w:rsid w:val="00BC4141"/>
    <w:rsid w:val="00BC7C67"/>
    <w:rsid w:val="00BD786E"/>
    <w:rsid w:val="00BE5E0B"/>
    <w:rsid w:val="00BF7B16"/>
    <w:rsid w:val="00C009CE"/>
    <w:rsid w:val="00C269D4"/>
    <w:rsid w:val="00C3178F"/>
    <w:rsid w:val="00C31AFC"/>
    <w:rsid w:val="00C31C8E"/>
    <w:rsid w:val="00C35900"/>
    <w:rsid w:val="00C37ADB"/>
    <w:rsid w:val="00C4160D"/>
    <w:rsid w:val="00C45750"/>
    <w:rsid w:val="00C52C03"/>
    <w:rsid w:val="00C56D08"/>
    <w:rsid w:val="00C627D2"/>
    <w:rsid w:val="00C64849"/>
    <w:rsid w:val="00C8406E"/>
    <w:rsid w:val="00CA2DB0"/>
    <w:rsid w:val="00CB2709"/>
    <w:rsid w:val="00CB6F89"/>
    <w:rsid w:val="00CC0AE9"/>
    <w:rsid w:val="00CD18D7"/>
    <w:rsid w:val="00CD618A"/>
    <w:rsid w:val="00CD72AF"/>
    <w:rsid w:val="00CE13A2"/>
    <w:rsid w:val="00CE228C"/>
    <w:rsid w:val="00CE71D9"/>
    <w:rsid w:val="00CF545B"/>
    <w:rsid w:val="00CF58E0"/>
    <w:rsid w:val="00D209A7"/>
    <w:rsid w:val="00D27D69"/>
    <w:rsid w:val="00D33658"/>
    <w:rsid w:val="00D34DBC"/>
    <w:rsid w:val="00D3597A"/>
    <w:rsid w:val="00D448C2"/>
    <w:rsid w:val="00D45424"/>
    <w:rsid w:val="00D54208"/>
    <w:rsid w:val="00D666C3"/>
    <w:rsid w:val="00D67AAE"/>
    <w:rsid w:val="00D73063"/>
    <w:rsid w:val="00D7458C"/>
    <w:rsid w:val="00D9189F"/>
    <w:rsid w:val="00DC014F"/>
    <w:rsid w:val="00DD6889"/>
    <w:rsid w:val="00DD6F49"/>
    <w:rsid w:val="00DF0E94"/>
    <w:rsid w:val="00DF1C35"/>
    <w:rsid w:val="00DF47FE"/>
    <w:rsid w:val="00E0156A"/>
    <w:rsid w:val="00E0173D"/>
    <w:rsid w:val="00E079A9"/>
    <w:rsid w:val="00E13264"/>
    <w:rsid w:val="00E16687"/>
    <w:rsid w:val="00E16CF6"/>
    <w:rsid w:val="00E256DA"/>
    <w:rsid w:val="00E26704"/>
    <w:rsid w:val="00E31980"/>
    <w:rsid w:val="00E505BF"/>
    <w:rsid w:val="00E57D17"/>
    <w:rsid w:val="00E6423C"/>
    <w:rsid w:val="00E7148B"/>
    <w:rsid w:val="00E720F7"/>
    <w:rsid w:val="00E7442B"/>
    <w:rsid w:val="00E80C64"/>
    <w:rsid w:val="00E85388"/>
    <w:rsid w:val="00E93830"/>
    <w:rsid w:val="00E93E0E"/>
    <w:rsid w:val="00EA10D8"/>
    <w:rsid w:val="00EB1ED3"/>
    <w:rsid w:val="00EC2C5D"/>
    <w:rsid w:val="00F17A6F"/>
    <w:rsid w:val="00F55E19"/>
    <w:rsid w:val="00F60747"/>
    <w:rsid w:val="00F60982"/>
    <w:rsid w:val="00F641C9"/>
    <w:rsid w:val="00F75F2A"/>
    <w:rsid w:val="00F8444C"/>
    <w:rsid w:val="00FB687C"/>
    <w:rsid w:val="00FC2017"/>
    <w:rsid w:val="00FD3810"/>
    <w:rsid w:val="00FF06A2"/>
    <w:rsid w:val="00FF37CD"/>
    <w:rsid w:val="00FF5D4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5:docId w15:val="{E6155C0E-5F67-4EC3-A7EB-F374DDEE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981D35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981D35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81D35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981D35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2140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505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ctvrtletni-narodni-ucty-tvorba-a-uziti-hdp-a-predbezny-odhad-hd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pl.czso.cz/pll/rocenka/rocenka.indexnu_kvart?mylang=CZ&amp;co=Q_HDP_Z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benedikt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cova8495\Downloads\Rychl&#225;%20informace%20CZ_2022-02-08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3\BARANNU\nu\QU\HDP\VYS\RI\2023\3Q\T60\Graf_P&#345;&#237;sp&#283;vky_T60_&#382;iv&#283;_23_3Q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35711942257218E-2"/>
          <c:y val="0.12358680923780517"/>
          <c:w val="0.91932872673952459"/>
          <c:h val="0.5692014924969429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data!$D$4</c:f>
              <c:strCache>
                <c:ptCount val="1"/>
                <c:pt idx="0">
                  <c:v>Výdaje na konečnou spotřebu domácností</c:v>
                </c:pt>
              </c:strCache>
            </c:strRef>
          </c:tx>
          <c:spPr>
            <a:solidFill>
              <a:srgbClr val="0071BC"/>
            </a:solidFill>
          </c:spPr>
          <c:invertIfNegative val="0"/>
          <c:cat>
            <c:multiLvlStrRef>
              <c:f>data!$B$89:$C$115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data!$D$89:$D$115</c:f>
              <c:numCache>
                <c:formatCode>#\ ##0.0</c:formatCode>
                <c:ptCount val="27"/>
                <c:pt idx="0">
                  <c:v>1.161734563493805</c:v>
                </c:pt>
                <c:pt idx="1">
                  <c:v>1.3317963639286627</c:v>
                </c:pt>
                <c:pt idx="2">
                  <c:v>1.2932050198554921</c:v>
                </c:pt>
                <c:pt idx="3">
                  <c:v>1.1221550075789346</c:v>
                </c:pt>
                <c:pt idx="4">
                  <c:v>1.540080312662943</c:v>
                </c:pt>
                <c:pt idx="5">
                  <c:v>1.2364606818393475</c:v>
                </c:pt>
                <c:pt idx="6">
                  <c:v>0.93963380194395907</c:v>
                </c:pt>
                <c:pt idx="7">
                  <c:v>0.9479187361797875</c:v>
                </c:pt>
                <c:pt idx="8">
                  <c:v>0.89975778114159266</c:v>
                </c:pt>
                <c:pt idx="9">
                  <c:v>1.2410325032352092</c:v>
                </c:pt>
                <c:pt idx="10">
                  <c:v>0.94788645941574889</c:v>
                </c:pt>
                <c:pt idx="11">
                  <c:v>1.3125840520821437</c:v>
                </c:pt>
                <c:pt idx="12">
                  <c:v>-1.0446704916645397</c:v>
                </c:pt>
                <c:pt idx="13">
                  <c:v>-3.3401453756905828</c:v>
                </c:pt>
                <c:pt idx="14">
                  <c:v>-1.8238505965980329</c:v>
                </c:pt>
                <c:pt idx="15">
                  <c:v>-4.3451439574225992</c:v>
                </c:pt>
                <c:pt idx="16">
                  <c:v>-2.8838668819945754</c:v>
                </c:pt>
                <c:pt idx="17">
                  <c:v>1.9930858902923905</c:v>
                </c:pt>
                <c:pt idx="18">
                  <c:v>1.7335129439561134</c:v>
                </c:pt>
                <c:pt idx="19">
                  <c:v>3.2860285615183655</c:v>
                </c:pt>
                <c:pt idx="20">
                  <c:v>3.1132919265413106</c:v>
                </c:pt>
                <c:pt idx="21">
                  <c:v>-0.20478152182535223</c:v>
                </c:pt>
                <c:pt idx="22">
                  <c:v>-2.6249574056935399</c:v>
                </c:pt>
                <c:pt idx="23">
                  <c:v>-2.9076885203083829</c:v>
                </c:pt>
                <c:pt idx="24">
                  <c:v>-2.5131763644201941</c:v>
                </c:pt>
                <c:pt idx="25">
                  <c:v>-1.8012784518924825</c:v>
                </c:pt>
                <c:pt idx="26">
                  <c:v>-0.70873240759317757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65-4293-B3CB-1D773635EEA9}"/>
            </c:ext>
          </c:extLst>
        </c:ser>
        <c:ser>
          <c:idx val="1"/>
          <c:order val="1"/>
          <c:tx>
            <c:strRef>
              <c:f>data!$E$4</c:f>
              <c:strCache>
                <c:ptCount val="1"/>
                <c:pt idx="0">
                  <c:v>Výdaje na konečnou spotřebu vládních institucí, vč. NISD **</c:v>
                </c:pt>
              </c:strCache>
            </c:strRef>
          </c:tx>
          <c:spPr>
            <a:solidFill>
              <a:srgbClr val="BD1B21"/>
            </a:solidFill>
          </c:spPr>
          <c:invertIfNegative val="0"/>
          <c:cat>
            <c:multiLvlStrRef>
              <c:f>data!$B$89:$C$115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data!$E$89:$E$115</c:f>
              <c:numCache>
                <c:formatCode>#\ ##0.0</c:formatCode>
                <c:ptCount val="27"/>
                <c:pt idx="0">
                  <c:v>0.6035114526435249</c:v>
                </c:pt>
                <c:pt idx="1">
                  <c:v>0.44525332535198747</c:v>
                </c:pt>
                <c:pt idx="2">
                  <c:v>0.29520697182297329</c:v>
                </c:pt>
                <c:pt idx="3">
                  <c:v>0.24663527278319713</c:v>
                </c:pt>
                <c:pt idx="4">
                  <c:v>0.71972295781703644</c:v>
                </c:pt>
                <c:pt idx="5">
                  <c:v>0.71855776409927741</c:v>
                </c:pt>
                <c:pt idx="6">
                  <c:v>0.9784319535339755</c:v>
                </c:pt>
                <c:pt idx="7">
                  <c:v>0.89346576093013674</c:v>
                </c:pt>
                <c:pt idx="8">
                  <c:v>0.472611629596833</c:v>
                </c:pt>
                <c:pt idx="9">
                  <c:v>0.59979001497159934</c:v>
                </c:pt>
                <c:pt idx="10">
                  <c:v>0.62118326213667296</c:v>
                </c:pt>
                <c:pt idx="11">
                  <c:v>0.23040194508045797</c:v>
                </c:pt>
                <c:pt idx="12">
                  <c:v>0.89985070513210696</c:v>
                </c:pt>
                <c:pt idx="13">
                  <c:v>0.65570068228219736</c:v>
                </c:pt>
                <c:pt idx="14">
                  <c:v>0.3267524411256077</c:v>
                </c:pt>
                <c:pt idx="15">
                  <c:v>1.3607407223572099</c:v>
                </c:pt>
                <c:pt idx="16">
                  <c:v>-5.7675313808420017E-2</c:v>
                </c:pt>
                <c:pt idx="17">
                  <c:v>-2.463085529021998E-2</c:v>
                </c:pt>
                <c:pt idx="18">
                  <c:v>1.0350421453644205</c:v>
                </c:pt>
                <c:pt idx="19">
                  <c:v>0.11213357280755634</c:v>
                </c:pt>
                <c:pt idx="20">
                  <c:v>0.38559884074533918</c:v>
                </c:pt>
                <c:pt idx="21">
                  <c:v>0.45491642168556778</c:v>
                </c:pt>
                <c:pt idx="22">
                  <c:v>-0.35664443618057645</c:v>
                </c:pt>
                <c:pt idx="23">
                  <c:v>0.11972798523220002</c:v>
                </c:pt>
                <c:pt idx="24">
                  <c:v>0.63701983901628412</c:v>
                </c:pt>
                <c:pt idx="25">
                  <c:v>0.71216816868466992</c:v>
                </c:pt>
                <c:pt idx="26">
                  <c:v>0.80663185211856547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65-4293-B3CB-1D773635EEA9}"/>
            </c:ext>
          </c:extLst>
        </c:ser>
        <c:ser>
          <c:idx val="2"/>
          <c:order val="2"/>
          <c:tx>
            <c:strRef>
              <c:f>data!$F$4</c:f>
              <c:strCache>
                <c:ptCount val="1"/>
                <c:pt idx="0">
                  <c:v>Tvorba hrubého kapitálu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multiLvlStrRef>
              <c:f>data!$B$89:$C$115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data!$F$89:$F$115</c:f>
              <c:numCache>
                <c:formatCode>#\ ##0.0</c:formatCode>
                <c:ptCount val="27"/>
                <c:pt idx="0">
                  <c:v>-1.212838884021858</c:v>
                </c:pt>
                <c:pt idx="1">
                  <c:v>0.81329612343477908</c:v>
                </c:pt>
                <c:pt idx="2">
                  <c:v>1.5898140622713139</c:v>
                </c:pt>
                <c:pt idx="3">
                  <c:v>2.3404214277313877</c:v>
                </c:pt>
                <c:pt idx="4">
                  <c:v>2.9352548616790068</c:v>
                </c:pt>
                <c:pt idx="5">
                  <c:v>1.5973936572525536</c:v>
                </c:pt>
                <c:pt idx="6">
                  <c:v>1.9032428436363991</c:v>
                </c:pt>
                <c:pt idx="7">
                  <c:v>0.52739302332578064</c:v>
                </c:pt>
                <c:pt idx="8">
                  <c:v>1.7207888666837232</c:v>
                </c:pt>
                <c:pt idx="9">
                  <c:v>-0.13624512912969519</c:v>
                </c:pt>
                <c:pt idx="10">
                  <c:v>2.6349821778156545E-2</c:v>
                </c:pt>
                <c:pt idx="11">
                  <c:v>2.3962671061535938</c:v>
                </c:pt>
                <c:pt idx="12">
                  <c:v>0.73366772544906411</c:v>
                </c:pt>
                <c:pt idx="13">
                  <c:v>0.94604237643066036</c:v>
                </c:pt>
                <c:pt idx="14">
                  <c:v>-2.6992053191866598</c:v>
                </c:pt>
                <c:pt idx="15">
                  <c:v>-3.5915252081670466</c:v>
                </c:pt>
                <c:pt idx="16">
                  <c:v>1.3078776910969938</c:v>
                </c:pt>
                <c:pt idx="17">
                  <c:v>2.7834964703436715</c:v>
                </c:pt>
                <c:pt idx="18">
                  <c:v>6.9465443740650086</c:v>
                </c:pt>
                <c:pt idx="19">
                  <c:v>6.4573116882792947</c:v>
                </c:pt>
                <c:pt idx="20">
                  <c:v>3.0229801257794047</c:v>
                </c:pt>
                <c:pt idx="21">
                  <c:v>2.7052027492122335</c:v>
                </c:pt>
                <c:pt idx="22">
                  <c:v>0.18129643625029598</c:v>
                </c:pt>
                <c:pt idx="23">
                  <c:v>2.4176361981314828E-2</c:v>
                </c:pt>
                <c:pt idx="24">
                  <c:v>-1.1845698094624559</c:v>
                </c:pt>
                <c:pt idx="25">
                  <c:v>-1.4612744657319634</c:v>
                </c:pt>
                <c:pt idx="26">
                  <c:v>-1.0865571156541667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65-4293-B3CB-1D773635EEA9}"/>
            </c:ext>
          </c:extLst>
        </c:ser>
        <c:ser>
          <c:idx val="4"/>
          <c:order val="3"/>
          <c:tx>
            <c:strRef>
              <c:f>data!$G$4</c:f>
              <c:strCache>
                <c:ptCount val="1"/>
                <c:pt idx="0">
                  <c:v>Saldo zahraničního obchodu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multiLvlStrRef>
              <c:f>data!$B$89:$C$115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data!$G$89:$G$115</c:f>
              <c:numCache>
                <c:formatCode>#\ ##0.0</c:formatCode>
                <c:ptCount val="27"/>
                <c:pt idx="0">
                  <c:v>3.13520071115388</c:v>
                </c:pt>
                <c:pt idx="1">
                  <c:v>3.328487086516601</c:v>
                </c:pt>
                <c:pt idx="2">
                  <c:v>2.6749501970194043</c:v>
                </c:pt>
                <c:pt idx="3">
                  <c:v>2.1943411801592489</c:v>
                </c:pt>
                <c:pt idx="4">
                  <c:v>-0.45416719953824236</c:v>
                </c:pt>
                <c:pt idx="5">
                  <c:v>-0.74378891592524266</c:v>
                </c:pt>
                <c:pt idx="6">
                  <c:v>-1.1266373010786319</c:v>
                </c:pt>
                <c:pt idx="7">
                  <c:v>0.26399371013949136</c:v>
                </c:pt>
                <c:pt idx="8">
                  <c:v>-0.10063574701283917</c:v>
                </c:pt>
                <c:pt idx="9">
                  <c:v>1.3529610725744319</c:v>
                </c:pt>
                <c:pt idx="10">
                  <c:v>1.4268251487477541</c:v>
                </c:pt>
                <c:pt idx="11">
                  <c:v>-1.1473798908006601</c:v>
                </c:pt>
                <c:pt idx="12">
                  <c:v>-2.0624772509655713</c:v>
                </c:pt>
                <c:pt idx="13">
                  <c:v>-9.0642749602481363</c:v>
                </c:pt>
                <c:pt idx="14">
                  <c:v>-1.0204260219992571</c:v>
                </c:pt>
                <c:pt idx="15">
                  <c:v>2.0095740720498343</c:v>
                </c:pt>
                <c:pt idx="16">
                  <c:v>-0.28507028363562315</c:v>
                </c:pt>
                <c:pt idx="17">
                  <c:v>4.4273326570028857</c:v>
                </c:pt>
                <c:pt idx="18">
                  <c:v>-5.8942461279131582</c:v>
                </c:pt>
                <c:pt idx="19">
                  <c:v>-6.4422946124320752</c:v>
                </c:pt>
                <c:pt idx="20">
                  <c:v>-1.8391101984644993</c:v>
                </c:pt>
                <c:pt idx="21">
                  <c:v>0.40419610251387095</c:v>
                </c:pt>
                <c:pt idx="22">
                  <c:v>4.1503989386715174</c:v>
                </c:pt>
                <c:pt idx="23">
                  <c:v>2.8839143571693651</c:v>
                </c:pt>
                <c:pt idx="24">
                  <c:v>2.6828416916448683</c:v>
                </c:pt>
                <c:pt idx="25">
                  <c:v>2.1305493058318561</c:v>
                </c:pt>
                <c:pt idx="26">
                  <c:v>0.26928370236368848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65-4293-B3CB-1D773635EE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7191680"/>
        <c:axId val="44617664"/>
      </c:barChart>
      <c:lineChart>
        <c:grouping val="standard"/>
        <c:varyColors val="0"/>
        <c:ser>
          <c:idx val="3"/>
          <c:order val="4"/>
          <c:tx>
            <c:strRef>
              <c:f>data!$H$4</c:f>
              <c:strCache>
                <c:ptCount val="1"/>
                <c:pt idx="0">
                  <c:v>HDP - meziroční reálná změna, sezónně očištěno (v %)</c:v>
                </c:pt>
              </c:strCache>
            </c:strRef>
          </c:tx>
          <c:spPr>
            <a:ln w="15875">
              <a:solidFill>
                <a:srgbClr val="7030A0"/>
              </a:solidFill>
            </a:ln>
          </c:spPr>
          <c:marker>
            <c:symbol val="none"/>
          </c:marker>
          <c:cat>
            <c:multiLvlStrRef>
              <c:f>data!$B$89:$C$115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data!$H$89:$H$115</c:f>
              <c:numCache>
                <c:formatCode>#\ ##0.0</c:formatCode>
                <c:ptCount val="27"/>
                <c:pt idx="0">
                  <c:v>3.6874658877103172</c:v>
                </c:pt>
                <c:pt idx="1">
                  <c:v>5.9188604906604354</c:v>
                </c:pt>
                <c:pt idx="2">
                  <c:v>5.8530181348493784</c:v>
                </c:pt>
                <c:pt idx="3">
                  <c:v>5.9035875406048888</c:v>
                </c:pt>
                <c:pt idx="4">
                  <c:v>4.7409690869492067</c:v>
                </c:pt>
                <c:pt idx="5">
                  <c:v>2.8084745992628513</c:v>
                </c:pt>
                <c:pt idx="6">
                  <c:v>2.6946757492296172</c:v>
                </c:pt>
                <c:pt idx="7">
                  <c:v>2.6327282626460686</c:v>
                </c:pt>
                <c:pt idx="8">
                  <c:v>2.9925598229108203</c:v>
                </c:pt>
                <c:pt idx="9">
                  <c:v>3.0577797411869341</c:v>
                </c:pt>
                <c:pt idx="10">
                  <c:v>3.022282133028483</c:v>
                </c:pt>
                <c:pt idx="11">
                  <c:v>2.7919398416799623</c:v>
                </c:pt>
                <c:pt idx="12">
                  <c:v>-1.4737630559722419</c:v>
                </c:pt>
                <c:pt idx="13">
                  <c:v>-10.802828827516109</c:v>
                </c:pt>
                <c:pt idx="14">
                  <c:v>-5.2166971565464166</c:v>
                </c:pt>
                <c:pt idx="15">
                  <c:v>-4.5664791785978451</c:v>
                </c:pt>
                <c:pt idx="16">
                  <c:v>-1.9186413648622107</c:v>
                </c:pt>
                <c:pt idx="17">
                  <c:v>9.1792884100474765</c:v>
                </c:pt>
                <c:pt idx="18">
                  <c:v>3.8208995035486311</c:v>
                </c:pt>
                <c:pt idx="19">
                  <c:v>3.4133294018282072</c:v>
                </c:pt>
                <c:pt idx="20">
                  <c:v>4.6827760503125972</c:v>
                </c:pt>
                <c:pt idx="21">
                  <c:v>3.3595353964859953</c:v>
                </c:pt>
                <c:pt idx="22">
                  <c:v>1.3500170189121974</c:v>
                </c:pt>
                <c:pt idx="23">
                  <c:v>0.12011038697296783</c:v>
                </c:pt>
                <c:pt idx="24">
                  <c:v>-0.37781887870443143</c:v>
                </c:pt>
                <c:pt idx="25">
                  <c:v>-0.41983242491993167</c:v>
                </c:pt>
                <c:pt idx="26">
                  <c:v>-0.71929526766406582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B65-4293-B3CB-1D773635EE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191680"/>
        <c:axId val="44617664"/>
      </c:lineChart>
      <c:catAx>
        <c:axId val="197191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600" baseline="0"/>
                </a:pPr>
                <a:r>
                  <a:rPr lang="cs-CZ" sz="600" baseline="0"/>
                  <a:t>Čtvrtletí</a:t>
                </a:r>
              </a:p>
            </c:rich>
          </c:tx>
          <c:layout>
            <c:manualLayout>
              <c:xMode val="edge"/>
              <c:yMode val="edge"/>
              <c:x val="0.49221538713910762"/>
              <c:y val="0.77998391927443889"/>
            </c:manualLayout>
          </c:layout>
          <c:overlay val="0"/>
        </c:title>
        <c:numFmt formatCode="General" sourceLinked="0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500" baseline="0"/>
            </a:pPr>
            <a:endParaRPr lang="cs-CZ"/>
          </a:p>
        </c:txPr>
        <c:crossAx val="44617664"/>
        <c:crosses val="autoZero"/>
        <c:auto val="1"/>
        <c:lblAlgn val="ctr"/>
        <c:lblOffset val="100"/>
        <c:noMultiLvlLbl val="0"/>
      </c:catAx>
      <c:valAx>
        <c:axId val="4461766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600" baseline="0"/>
                </a:pPr>
                <a:r>
                  <a:rPr lang="cs-CZ" sz="600" baseline="0"/>
                  <a:t>Procentní body</a:t>
                </a:r>
              </a:p>
            </c:rich>
          </c:tx>
          <c:layout>
            <c:manualLayout>
              <c:xMode val="edge"/>
              <c:yMode val="edge"/>
              <c:x val="1.5790775385046481E-2"/>
              <c:y val="0.31343856823810029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500" baseline="0"/>
            </a:pPr>
            <a:endParaRPr lang="cs-CZ"/>
          </a:p>
        </c:txPr>
        <c:crossAx val="197191680"/>
        <c:crosses val="autoZero"/>
        <c:crossBetween val="between"/>
        <c:majorUnit val="2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2.6787442585301836E-2"/>
          <c:y val="0.82667719059046463"/>
          <c:w val="0.95976603510498693"/>
          <c:h val="0.10819985520972079"/>
        </c:manualLayout>
      </c:layout>
      <c:overlay val="0"/>
      <c:spPr>
        <a:solidFill>
          <a:schemeClr val="bg1">
            <a:lumMod val="95000"/>
          </a:schemeClr>
        </a:solidFill>
      </c:spPr>
      <c:txPr>
        <a:bodyPr/>
        <a:lstStyle/>
        <a:p>
          <a:pPr>
            <a:defRPr sz="550" baseline="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0.01609</cdr:x>
      <cdr:y>0.02262</cdr:y>
    </cdr:from>
    <cdr:to>
      <cdr:x>0.9889</cdr:x>
      <cdr:y>0.10114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56935" y="112908"/>
          <a:ext cx="9488400" cy="39191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/>
          <a:r>
            <a:rPr lang="cs-CZ" sz="1000" b="1" i="0" cap="none" baseline="0">
              <a:latin typeface="Arial" pitchFamily="34" charset="0"/>
              <a:ea typeface="+mn-ea"/>
              <a:cs typeface="Arial" pitchFamily="34" charset="0"/>
            </a:rPr>
            <a:t>Příspěvky* k meziročnímu reálnému růstu HDP – sezónně očištěno</a:t>
          </a:r>
        </a:p>
      </cdr:txBody>
    </cdr:sp>
  </cdr:relSizeAnchor>
  <cdr:relSizeAnchor xmlns:cdr="http://schemas.openxmlformats.org/drawingml/2006/chartDrawing">
    <cdr:from>
      <cdr:x>0.02734</cdr:x>
      <cdr:y>0.94497</cdr:y>
    </cdr:from>
    <cdr:to>
      <cdr:x>0.98872</cdr:x>
      <cdr:y>0.98982</cdr:y>
    </cdr:to>
    <cdr:sp macro="" textlink="">
      <cdr:nvSpPr>
        <cdr:cNvPr id="4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6663" y="4743449"/>
          <a:ext cx="9376916" cy="22512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22860" rIns="0" bIns="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lnSpc>
              <a:spcPct val="114000"/>
            </a:lnSpc>
            <a:defRPr sz="1000"/>
          </a:pPr>
          <a:r>
            <a:rPr lang="cs-CZ" sz="550" b="1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Arial"/>
              <a:cs typeface="Arial"/>
            </a:rPr>
            <a:t>      * Příspěvky po vyloučení dovozu pro konečné užití.                                              </a:t>
          </a:r>
          <a:r>
            <a:rPr lang="cs-CZ" sz="550" b="0" i="1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Arial"/>
              <a:cs typeface="Arial"/>
            </a:rPr>
            <a:t>** </a:t>
          </a:r>
          <a:r>
            <a:rPr kumimoji="0" lang="cs-CZ" sz="550" b="1" i="0" u="none" strike="noStrike" kern="0" cap="none" spc="0" normalizeH="0" baseline="0" noProof="0">
              <a:ln>
                <a:noFill/>
              </a:ln>
              <a:solidFill>
                <a:prstClr val="black">
                  <a:lumMod val="75000"/>
                  <a:lumOff val="25000"/>
                </a:prstClr>
              </a:solidFill>
              <a:effectLst/>
              <a:uLnTx/>
              <a:uFillTx/>
              <a:latin typeface="Arial"/>
              <a:ea typeface="+mn-ea"/>
              <a:cs typeface="Arial"/>
            </a:rPr>
            <a:t>Neziskové instituce sloužící domácnostem.</a:t>
          </a:r>
          <a:endParaRPr lang="cs-CZ" sz="550" b="0" i="1" u="none" strike="noStrike" baseline="0">
            <a:solidFill>
              <a:schemeClr val="tx1">
                <a:lumMod val="75000"/>
                <a:lumOff val="25000"/>
              </a:schemeClr>
            </a:solidFill>
            <a:latin typeface="Arial"/>
            <a:cs typeface="Arial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5" ma:contentTypeDescription="Vytvoří nový dokument" ma:contentTypeScope="" ma:versionID="0b1ff963a2bca36c183a4f00a69526c8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c3177584e2fb1dfb4199887aa6cec013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EDE594-A1E7-4690-AF7C-6652B9D1A1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FE08A-521C-442B-8273-B17351272247}"/>
</file>

<file path=customXml/itemProps3.xml><?xml version="1.0" encoding="utf-8"?>
<ds:datastoreItem xmlns:ds="http://schemas.openxmlformats.org/officeDocument/2006/customXml" ds:itemID="{1105541F-B302-4C99-B364-672D97A14280}"/>
</file>

<file path=customXml/itemProps4.xml><?xml version="1.0" encoding="utf-8"?>
<ds:datastoreItem xmlns:ds="http://schemas.openxmlformats.org/officeDocument/2006/customXml" ds:itemID="{8DFE231A-0A4E-473E-AC6A-AAE678B38715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480</TotalTime>
  <Pages>3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4320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svecova8495</dc:creator>
  <cp:lastModifiedBy>Benedikt Jan</cp:lastModifiedBy>
  <cp:revision>106</cp:revision>
  <cp:lastPrinted>2023-08-28T06:49:00Z</cp:lastPrinted>
  <dcterms:created xsi:type="dcterms:W3CDTF">2022-05-30T07:51:00Z</dcterms:created>
  <dcterms:modified xsi:type="dcterms:W3CDTF">2023-11-29T14:14:00Z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-782555252</vt:i4>
  </property>
  <property fmtid="{D5CDD505-2E9C-101B-9397-08002B2CF9AE}" pid="3" name="ContentTypeId">
    <vt:lpwstr>0x0101009B8972258C6CE84A9BC1C4F526E18580</vt:lpwstr>
  </property>
</Properties>
</file>