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F5F12" w14:textId="0A6E577E" w:rsidR="00F21B6A" w:rsidRDefault="00531326" w:rsidP="00F21B6A">
      <w:pPr>
        <w:pStyle w:val="Nadpis1"/>
      </w:pPr>
      <w:r w:rsidRPr="003534DF">
        <w:t>Stavební produkce v 1. pololetí 2026 vzrostla o</w:t>
      </w:r>
      <w:r w:rsidR="003534DF">
        <w:t> </w:t>
      </w:r>
      <w:r w:rsidRPr="003534DF">
        <w:t>4,2 %</w:t>
      </w:r>
    </w:p>
    <w:p w14:paraId="767F2C5F" w14:textId="288922CB" w:rsidR="00F21B6A" w:rsidRDefault="00000000" w:rsidP="00200551">
      <w:pPr>
        <w:jc w:val="left"/>
      </w:pPr>
      <w:sdt>
        <w:sdtPr>
          <w:id w:val="902409853"/>
          <w:placeholder>
            <w:docPart w:val="0C05D1EB91874125B9144B96B1236119"/>
          </w:placeholder>
          <w:date w:fullDate="2026-08-06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531326">
            <w:t>06. 08. 2026</w:t>
          </w:r>
        </w:sdtContent>
      </w:sdt>
      <w:r w:rsidR="00C744B6" w:rsidRPr="00C744B6">
        <w:t xml:space="preserve"> </w:t>
      </w:r>
    </w:p>
    <w:p w14:paraId="794A03FE" w14:textId="77777777" w:rsidR="00531326" w:rsidRDefault="00531326" w:rsidP="00531326">
      <w:pPr>
        <w:pStyle w:val="Nadpis2"/>
      </w:pPr>
      <w:r w:rsidRPr="002F05A1">
        <w:t>Doplňující informace k RI Stavebnictví – červen 2026</w:t>
      </w:r>
    </w:p>
    <w:p w14:paraId="52920C97" w14:textId="053DDEB4" w:rsidR="00531326" w:rsidRDefault="00531326" w:rsidP="00531326">
      <w:pPr>
        <w:jc w:val="left"/>
        <w:rPr>
          <w:rFonts w:cs="Arial"/>
        </w:rPr>
      </w:pPr>
      <w:r>
        <w:rPr>
          <w:rFonts w:cs="Arial"/>
        </w:rPr>
        <w:t xml:space="preserve">Stavební </w:t>
      </w:r>
      <w:r w:rsidRPr="00B176CB">
        <w:rPr>
          <w:rFonts w:cs="Arial"/>
        </w:rPr>
        <w:t xml:space="preserve">produkce v </w:t>
      </w:r>
      <w:r w:rsidRPr="00715E5B">
        <w:rPr>
          <w:rFonts w:cs="Arial"/>
        </w:rPr>
        <w:t>1.</w:t>
      </w:r>
      <w:r w:rsidRPr="004725CA">
        <w:rPr>
          <w:rFonts w:cs="Arial"/>
        </w:rPr>
        <w:t> </w:t>
      </w:r>
      <w:r w:rsidRPr="00082CAF">
        <w:rPr>
          <w:rFonts w:cs="Arial"/>
        </w:rPr>
        <w:t>pololetí</w:t>
      </w:r>
      <w:r w:rsidRPr="004725CA">
        <w:rPr>
          <w:rFonts w:cs="Arial"/>
        </w:rPr>
        <w:t xml:space="preserve"> 20</w:t>
      </w:r>
      <w:r>
        <w:rPr>
          <w:rFonts w:cs="Arial"/>
        </w:rPr>
        <w:t>26</w:t>
      </w:r>
      <w:r w:rsidRPr="00B176CB">
        <w:rPr>
          <w:rFonts w:cs="Arial"/>
        </w:rPr>
        <w:t xml:space="preserve"> meziročně </w:t>
      </w:r>
      <w:r>
        <w:rPr>
          <w:rFonts w:cs="Arial"/>
        </w:rPr>
        <w:t>vzrostla</w:t>
      </w:r>
      <w:r w:rsidRPr="00B176CB">
        <w:rPr>
          <w:rFonts w:cs="Arial"/>
        </w:rPr>
        <w:t xml:space="preserve"> o</w:t>
      </w:r>
      <w:r>
        <w:rPr>
          <w:rFonts w:cs="Arial"/>
        </w:rPr>
        <w:t xml:space="preserve"> 4,2 </w:t>
      </w:r>
      <w:r w:rsidRPr="00CF6368">
        <w:rPr>
          <w:rFonts w:cs="Arial"/>
        </w:rPr>
        <w:t>%</w:t>
      </w:r>
      <w:r>
        <w:rPr>
          <w:rFonts w:cs="Arial"/>
        </w:rPr>
        <w:t>. K růstu přispělo pozemní stavitelství, které se meziročně zvýšilo o 6,4 % (s příspěvkem +4,3 procentního bodu). Produkce v</w:t>
      </w:r>
      <w:r w:rsidR="003534DF">
        <w:rPr>
          <w:rFonts w:cs="Arial"/>
        </w:rPr>
        <w:t> </w:t>
      </w:r>
      <w:r>
        <w:rPr>
          <w:rFonts w:cs="Arial"/>
        </w:rPr>
        <w:t>inženýrském</w:t>
      </w:r>
      <w:r w:rsidRPr="00B176CB">
        <w:rPr>
          <w:rFonts w:cs="Arial"/>
        </w:rPr>
        <w:t xml:space="preserve"> stavitels</w:t>
      </w:r>
      <w:r>
        <w:rPr>
          <w:rFonts w:cs="Arial"/>
        </w:rPr>
        <w:t>tví naopak klesla o 0,4 % (s příspěvkem -0,1</w:t>
      </w:r>
      <w:r w:rsidRPr="00B176CB">
        <w:rPr>
          <w:rFonts w:cs="Arial"/>
        </w:rPr>
        <w:t xml:space="preserve"> p</w:t>
      </w:r>
      <w:r>
        <w:rPr>
          <w:rFonts w:cs="Arial"/>
        </w:rPr>
        <w:t>. b.</w:t>
      </w:r>
      <w:r w:rsidRPr="00B176CB">
        <w:rPr>
          <w:rFonts w:cs="Arial"/>
        </w:rPr>
        <w:t>)</w:t>
      </w:r>
      <w:r>
        <w:rPr>
          <w:rFonts w:cs="Arial"/>
        </w:rPr>
        <w:t>. U obou čtvrtletí došlo k meziročnímu růstu stavební produkce, a to jen díky pozemnímu stavitelství. V 1. čtvrtletí pozemní stavitelství meziročně vzrostlo o 5,6 % a ve 2. čtvrtletí o 7,0 %. Oproti tomu inženýrské stavitelství v 1.</w:t>
      </w:r>
      <w:r w:rsidR="003534DF">
        <w:rPr>
          <w:rFonts w:cs="Arial"/>
        </w:rPr>
        <w:t> </w:t>
      </w:r>
      <w:r>
        <w:rPr>
          <w:rFonts w:cs="Arial"/>
        </w:rPr>
        <w:t xml:space="preserve">čtvrtletí meziročně kleslo o 1,0 % a ve 2. čtvrtletí kleslo o 0,1 %. </w:t>
      </w:r>
    </w:p>
    <w:p w14:paraId="47F9ECE0" w14:textId="77777777" w:rsidR="00531326" w:rsidRDefault="00531326" w:rsidP="00531326">
      <w:pPr>
        <w:jc w:val="left"/>
        <w:rPr>
          <w:rFonts w:cs="Arial"/>
        </w:rPr>
      </w:pPr>
      <w:r w:rsidRPr="00B176CB">
        <w:rPr>
          <w:rFonts w:cs="Arial"/>
        </w:rPr>
        <w:t xml:space="preserve">Stavební podniky s 50 a více zaměstnanci v </w:t>
      </w:r>
      <w:r w:rsidRPr="00715E5B">
        <w:rPr>
          <w:rFonts w:cs="Arial"/>
        </w:rPr>
        <w:t>1.</w:t>
      </w:r>
      <w:r w:rsidRPr="004725CA">
        <w:rPr>
          <w:rFonts w:cs="Arial"/>
        </w:rPr>
        <w:t> </w:t>
      </w:r>
      <w:r w:rsidRPr="00082CAF">
        <w:rPr>
          <w:rFonts w:cs="Arial"/>
        </w:rPr>
        <w:t>pololetí</w:t>
      </w:r>
      <w:r w:rsidRPr="004725CA">
        <w:rPr>
          <w:rFonts w:cs="Arial"/>
        </w:rPr>
        <w:t xml:space="preserve"> 20</w:t>
      </w:r>
      <w:r>
        <w:rPr>
          <w:rFonts w:cs="Arial"/>
        </w:rPr>
        <w:t xml:space="preserve">26 v tuzemsku uzavřely 32 399 </w:t>
      </w:r>
      <w:r w:rsidRPr="00B176CB">
        <w:rPr>
          <w:rFonts w:cs="Arial"/>
        </w:rPr>
        <w:t>stavebních zakázek</w:t>
      </w:r>
      <w:r>
        <w:rPr>
          <w:rFonts w:cs="Arial"/>
        </w:rPr>
        <w:t xml:space="preserve"> a</w:t>
      </w:r>
      <w:r w:rsidRPr="00B176CB">
        <w:rPr>
          <w:rFonts w:cs="Arial"/>
        </w:rPr>
        <w:t xml:space="preserve"> </w:t>
      </w:r>
      <w:r>
        <w:rPr>
          <w:rFonts w:cs="Arial"/>
        </w:rPr>
        <w:t xml:space="preserve">tento počet </w:t>
      </w:r>
      <w:r w:rsidRPr="00B176CB">
        <w:rPr>
          <w:rFonts w:cs="Arial"/>
        </w:rPr>
        <w:t>me</w:t>
      </w:r>
      <w:r>
        <w:rPr>
          <w:rFonts w:cs="Arial"/>
        </w:rPr>
        <w:t>ziročně vzrostl o 7,5 </w:t>
      </w:r>
      <w:r w:rsidRPr="00B176CB">
        <w:rPr>
          <w:rFonts w:cs="Arial"/>
        </w:rPr>
        <w:t xml:space="preserve">%. Celková hodnota těchto zakázek se meziročně </w:t>
      </w:r>
      <w:r>
        <w:rPr>
          <w:rFonts w:cs="Arial"/>
        </w:rPr>
        <w:t xml:space="preserve">zvýšila o 1,7 </w:t>
      </w:r>
      <w:r w:rsidRPr="00B176CB">
        <w:rPr>
          <w:rFonts w:cs="Arial"/>
        </w:rPr>
        <w:t xml:space="preserve">% a činila </w:t>
      </w:r>
      <w:r>
        <w:rPr>
          <w:rFonts w:cs="Arial"/>
        </w:rPr>
        <w:t>222,7 mld. </w:t>
      </w:r>
      <w:r w:rsidRPr="00B176CB">
        <w:rPr>
          <w:rFonts w:cs="Arial"/>
        </w:rPr>
        <w:t xml:space="preserve">Kč běžných cen. </w:t>
      </w:r>
      <w:r>
        <w:rPr>
          <w:rFonts w:cs="Arial"/>
        </w:rPr>
        <w:t xml:space="preserve">Na pozemním stavitelství dosáhly nové stavební zakázky 102,1 mld. Kč a meziročně vzrostly o 13,9 %, naopak inženýrské stavby klesly o 6,9 % na 120,6 mld. Kč. </w:t>
      </w:r>
      <w:r w:rsidRPr="00B176CB">
        <w:rPr>
          <w:rFonts w:cs="Arial"/>
        </w:rPr>
        <w:t xml:space="preserve">Průměrná hodnota nově uzavřené zakázky </w:t>
      </w:r>
      <w:r>
        <w:rPr>
          <w:rFonts w:cs="Arial"/>
        </w:rPr>
        <w:t xml:space="preserve">v 1. </w:t>
      </w:r>
      <w:r w:rsidRPr="00082CAF">
        <w:rPr>
          <w:rFonts w:cs="Arial"/>
        </w:rPr>
        <w:t>pololetí</w:t>
      </w:r>
      <w:r>
        <w:rPr>
          <w:rFonts w:cs="Arial"/>
        </w:rPr>
        <w:t xml:space="preserve"> 2026 </w:t>
      </w:r>
      <w:r w:rsidRPr="00B176CB">
        <w:rPr>
          <w:rFonts w:cs="Arial"/>
        </w:rPr>
        <w:t>činila</w:t>
      </w:r>
      <w:r>
        <w:rPr>
          <w:rFonts w:cs="Arial"/>
        </w:rPr>
        <w:t xml:space="preserve"> 6,9 mil. Kč a byla meziročně o 5,5 </w:t>
      </w:r>
      <w:r w:rsidRPr="00B176CB">
        <w:rPr>
          <w:rFonts w:cs="Arial"/>
        </w:rPr>
        <w:t xml:space="preserve">% </w:t>
      </w:r>
      <w:r>
        <w:rPr>
          <w:rFonts w:cs="Arial"/>
        </w:rPr>
        <w:t>nižší</w:t>
      </w:r>
      <w:r w:rsidRPr="00B176CB">
        <w:rPr>
          <w:rFonts w:cs="Arial"/>
        </w:rPr>
        <w:t>.</w:t>
      </w:r>
    </w:p>
    <w:p w14:paraId="5A01160E" w14:textId="1C44A88D" w:rsidR="00531326" w:rsidRDefault="00531326" w:rsidP="00531326">
      <w:pPr>
        <w:jc w:val="left"/>
        <w:rPr>
          <w:rFonts w:cs="Arial"/>
        </w:rPr>
      </w:pPr>
      <w:r w:rsidRPr="00B51CEC">
        <w:rPr>
          <w:rFonts w:cs="Arial"/>
        </w:rPr>
        <w:t>V 1. pololetí 2026 bylo vydáno 31 576 stavebních povolení a tento počet meziročně vzrostl o 8,1 % díky nové výstavbě ve všech kategoriích</w:t>
      </w:r>
      <w:r w:rsidR="003534DF">
        <w:rPr>
          <w:rFonts w:cs="Arial"/>
        </w:rPr>
        <w:t>, p</w:t>
      </w:r>
      <w:r>
        <w:rPr>
          <w:rFonts w:cs="Arial"/>
        </w:rPr>
        <w:t>očet s</w:t>
      </w:r>
      <w:r w:rsidRPr="006E5627">
        <w:rPr>
          <w:rFonts w:cs="Arial"/>
        </w:rPr>
        <w:t xml:space="preserve">tavebních povolení </w:t>
      </w:r>
      <w:r>
        <w:rPr>
          <w:rFonts w:cs="Arial"/>
        </w:rPr>
        <w:t xml:space="preserve">na změny dokončených staveb </w:t>
      </w:r>
      <w:r w:rsidRPr="00B51CEC">
        <w:rPr>
          <w:rFonts w:cs="Arial"/>
        </w:rPr>
        <w:t xml:space="preserve">meziročně </w:t>
      </w:r>
      <w:r>
        <w:rPr>
          <w:rFonts w:cs="Arial"/>
        </w:rPr>
        <w:t xml:space="preserve">klesl o 7,9 %. Nejvíce staveb se </w:t>
      </w:r>
      <w:r w:rsidRPr="00C1567A">
        <w:rPr>
          <w:rFonts w:cs="Arial"/>
        </w:rPr>
        <w:t xml:space="preserve">povolilo </w:t>
      </w:r>
      <w:r w:rsidRPr="00C1567A">
        <w:t>ve Středočeském,</w:t>
      </w:r>
      <w:r w:rsidRPr="00C1567A">
        <w:rPr>
          <w:rFonts w:cs="Arial"/>
        </w:rPr>
        <w:t xml:space="preserve"> v Jihomoravském a Moravskoslezském kraji. Podla</w:t>
      </w:r>
      <w:r w:rsidRPr="006E5627">
        <w:rPr>
          <w:rFonts w:cs="Arial"/>
        </w:rPr>
        <w:t xml:space="preserve">hová plocha u výstavby nových budov meziročně vzrostla o </w:t>
      </w:r>
      <w:r>
        <w:rPr>
          <w:rFonts w:cs="Arial"/>
        </w:rPr>
        <w:t>31</w:t>
      </w:r>
      <w:r w:rsidRPr="006E5627">
        <w:rPr>
          <w:rFonts w:cs="Arial"/>
        </w:rPr>
        <w:t>,</w:t>
      </w:r>
      <w:r>
        <w:rPr>
          <w:rFonts w:cs="Arial"/>
        </w:rPr>
        <w:t>8 </w:t>
      </w:r>
      <w:r w:rsidRPr="006E5627">
        <w:rPr>
          <w:rFonts w:cs="Arial"/>
        </w:rPr>
        <w:t>%</w:t>
      </w:r>
      <w:r>
        <w:rPr>
          <w:rFonts w:cs="Arial"/>
        </w:rPr>
        <w:t xml:space="preserve"> na</w:t>
      </w:r>
      <w:r w:rsidRPr="000A408F">
        <w:rPr>
          <w:rFonts w:cs="Arial"/>
        </w:rPr>
        <w:t xml:space="preserve"> </w:t>
      </w:r>
      <w:r>
        <w:rPr>
          <w:rFonts w:cs="Arial"/>
        </w:rPr>
        <w:t>3 893</w:t>
      </w:r>
      <w:r w:rsidRPr="000A408F">
        <w:rPr>
          <w:rFonts w:cs="Arial"/>
        </w:rPr>
        <w:t xml:space="preserve"> tisíc m</w:t>
      </w:r>
      <w:r w:rsidRPr="000A408F">
        <w:rPr>
          <w:rFonts w:cs="Arial"/>
          <w:vertAlign w:val="superscript"/>
        </w:rPr>
        <w:t>2</w:t>
      </w:r>
      <w:r w:rsidRPr="000A408F">
        <w:rPr>
          <w:rFonts w:cs="Arial"/>
        </w:rPr>
        <w:t>.</w:t>
      </w:r>
      <w:r>
        <w:rPr>
          <w:rFonts w:cs="Arial"/>
        </w:rPr>
        <w:t xml:space="preserve"> </w:t>
      </w:r>
      <w:r w:rsidRPr="006E5627">
        <w:rPr>
          <w:rFonts w:cs="Arial"/>
        </w:rPr>
        <w:t xml:space="preserve">Podlahová plocha nových </w:t>
      </w:r>
      <w:r>
        <w:rPr>
          <w:rFonts w:cs="Arial"/>
        </w:rPr>
        <w:t xml:space="preserve">bytových </w:t>
      </w:r>
      <w:r w:rsidRPr="006E5627">
        <w:rPr>
          <w:rFonts w:cs="Arial"/>
        </w:rPr>
        <w:t>budov</w:t>
      </w:r>
      <w:r>
        <w:rPr>
          <w:rFonts w:cs="Arial"/>
        </w:rPr>
        <w:t xml:space="preserve"> vzrostla o 54,4 %, u nových nebytových budov rostla o 10,2 %</w:t>
      </w:r>
      <w:r w:rsidRPr="006E5627">
        <w:rPr>
          <w:rFonts w:cs="Arial"/>
        </w:rPr>
        <w:t xml:space="preserve">. </w:t>
      </w:r>
    </w:p>
    <w:p w14:paraId="76B7F844" w14:textId="7FCDC933" w:rsidR="00531326" w:rsidRDefault="00531326" w:rsidP="00531326">
      <w:pPr>
        <w:jc w:val="left"/>
      </w:pPr>
      <w:r w:rsidRPr="00E15488">
        <w:t>V </w:t>
      </w:r>
      <w:r w:rsidRPr="00422FF1">
        <w:rPr>
          <w:rFonts w:cs="Arial"/>
        </w:rPr>
        <w:t>1. </w:t>
      </w:r>
      <w:r w:rsidRPr="00082CAF">
        <w:rPr>
          <w:rFonts w:cs="Arial"/>
        </w:rPr>
        <w:t>pololetí</w:t>
      </w:r>
      <w:r w:rsidRPr="004725CA">
        <w:rPr>
          <w:rFonts w:cs="Arial"/>
        </w:rPr>
        <w:t xml:space="preserve"> 20</w:t>
      </w:r>
      <w:r>
        <w:rPr>
          <w:rFonts w:cs="Arial"/>
        </w:rPr>
        <w:t>26</w:t>
      </w:r>
      <w:r w:rsidRPr="00E15488">
        <w:t xml:space="preserve"> byla zahájena výstavba </w:t>
      </w:r>
      <w:r w:rsidRPr="00D91D4F">
        <w:t>22</w:t>
      </w:r>
      <w:r>
        <w:t xml:space="preserve"> </w:t>
      </w:r>
      <w:r w:rsidRPr="00D91D4F">
        <w:t>785</w:t>
      </w:r>
      <w:r w:rsidRPr="00E15488">
        <w:t xml:space="preserve"> bytů, </w:t>
      </w:r>
      <w:r w:rsidRPr="002E564D">
        <w:t>což znamenalo meziroční růst o </w:t>
      </w:r>
      <w:r>
        <w:t>39</w:t>
      </w:r>
      <w:r w:rsidRPr="002E564D">
        <w:t>,</w:t>
      </w:r>
      <w:r>
        <w:t>8</w:t>
      </w:r>
      <w:r w:rsidRPr="002E564D">
        <w:t> %.</w:t>
      </w:r>
      <w:r w:rsidRPr="00E15488">
        <w:t xml:space="preserve"> </w:t>
      </w:r>
      <w:r w:rsidRPr="006C07F0">
        <w:t xml:space="preserve">K růstu přispěly téměř všechny kategorie, meziroční pokles zaznamenaly byty v nových nebytových budovách a také konverze bytových domů. </w:t>
      </w:r>
      <w:r w:rsidRPr="00B144B6">
        <w:t>Počty zahájených bytů rostly v obou čtvrtletích. Nejvíce bytů se zahájilo v Jihomoravském kraji (</w:t>
      </w:r>
      <w:r w:rsidR="00B144B6" w:rsidRPr="00B144B6">
        <w:t xml:space="preserve">4 312) a z velké části šlo o výstavbu bytových domů. Na druhém místě s odstupem 75 bytů byla Praha, kde také většinový podíl tvoří bytové domy. Rodinné domy se naopak uplatňují více ve Středočeském kraji, kde tvoří téměř polovinu z celkového počtu 3 601 </w:t>
      </w:r>
      <w:r w:rsidR="007C3C43">
        <w:t>zahájených</w:t>
      </w:r>
      <w:r w:rsidR="00B144B6" w:rsidRPr="00B144B6">
        <w:t xml:space="preserve"> bytů v 1. pololetí.</w:t>
      </w:r>
    </w:p>
    <w:p w14:paraId="0ABC3919" w14:textId="47FEE7DD" w:rsidR="00531326" w:rsidRDefault="00531326" w:rsidP="00531326">
      <w:pPr>
        <w:jc w:val="left"/>
      </w:pPr>
      <w:r w:rsidRPr="0089553E">
        <w:rPr>
          <w:bCs/>
        </w:rPr>
        <w:t>V </w:t>
      </w:r>
      <w:r w:rsidRPr="00422FF1">
        <w:rPr>
          <w:rFonts w:cs="Arial"/>
        </w:rPr>
        <w:t>1. </w:t>
      </w:r>
      <w:r w:rsidRPr="00082CAF">
        <w:rPr>
          <w:rFonts w:cs="Arial"/>
        </w:rPr>
        <w:t>pololetí</w:t>
      </w:r>
      <w:r w:rsidRPr="004725CA">
        <w:rPr>
          <w:rFonts w:cs="Arial"/>
        </w:rPr>
        <w:t xml:space="preserve"> 20</w:t>
      </w:r>
      <w:r>
        <w:rPr>
          <w:rFonts w:cs="Arial"/>
        </w:rPr>
        <w:t>26</w:t>
      </w:r>
      <w:r w:rsidRPr="0089553E">
        <w:rPr>
          <w:bCs/>
        </w:rPr>
        <w:t xml:space="preserve"> bylo dokončeno </w:t>
      </w:r>
      <w:r w:rsidRPr="008D76C6">
        <w:t>16</w:t>
      </w:r>
      <w:r>
        <w:t xml:space="preserve"> </w:t>
      </w:r>
      <w:r w:rsidRPr="008D76C6">
        <w:t>263</w:t>
      </w:r>
      <w:r w:rsidRPr="0089553E">
        <w:t> bytů a tento p</w:t>
      </w:r>
      <w:r w:rsidRPr="0089553E">
        <w:rPr>
          <w:bCs/>
        </w:rPr>
        <w:t xml:space="preserve">očet </w:t>
      </w:r>
      <w:r w:rsidRPr="0089553E">
        <w:t xml:space="preserve">meziročně </w:t>
      </w:r>
      <w:r>
        <w:t>klesl</w:t>
      </w:r>
      <w:r w:rsidRPr="0089553E">
        <w:t xml:space="preserve"> o </w:t>
      </w:r>
      <w:r>
        <w:t>4</w:t>
      </w:r>
      <w:r w:rsidRPr="0089553E">
        <w:t>,</w:t>
      </w:r>
      <w:r>
        <w:t>4 </w:t>
      </w:r>
      <w:r w:rsidRPr="0089553E">
        <w:t xml:space="preserve">%. </w:t>
      </w:r>
      <w:r w:rsidRPr="008D76C6">
        <w:t xml:space="preserve">Meziroční růst zaznamenaly byty dokončené v bytových domech, </w:t>
      </w:r>
      <w:r w:rsidR="003534DF">
        <w:t>na</w:t>
      </w:r>
      <w:r w:rsidRPr="008D76C6">
        <w:t>opak počet dokončených bytů v nových rodinných domech meziročně klesl o 13,7 %.</w:t>
      </w:r>
      <w:r w:rsidRPr="002E564D">
        <w:t xml:space="preserve"> </w:t>
      </w:r>
      <w:r>
        <w:t>Dokončené byty klesly v 1. i 2. čtvrtletí.</w:t>
      </w:r>
      <w:r w:rsidR="003534DF">
        <w:t xml:space="preserve"> Nejvíce bytů se v 1. pololetí dokončilo v Praze (3 542 a v 84 % se jednalo o byty v bytových domech), s větším odstupem následovalo Brno se 744 dokončenými byty a Plzeň (607 bytů). Kromě dalších krajských měst se v žebříčku vysoko umístila Třebíč se 187 byty převážně v bytových domech</w:t>
      </w:r>
      <w:r w:rsidR="00CE6555">
        <w:t xml:space="preserve"> a Havířov (153 bytů), kde probíhá rozsáhlá výstavba ve stávajících bytových domech. Výstavba neustává ani v Milovicích, kde bylo v 1. pololetí dokončeno 100 nových bytů většinou v bytových domech.</w:t>
      </w:r>
    </w:p>
    <w:p w14:paraId="71E7393D" w14:textId="77777777" w:rsidR="00531326" w:rsidRPr="00295711" w:rsidRDefault="00531326" w:rsidP="00531326">
      <w:pPr>
        <w:pStyle w:val="Poznmky0"/>
        <w:pBdr>
          <w:top w:val="single" w:sz="4" w:space="1" w:color="auto"/>
        </w:pBdr>
        <w:spacing w:before="0" w:line="240" w:lineRule="auto"/>
        <w:rPr>
          <w:rFonts w:asciiTheme="minorHAnsi" w:hAnsiTheme="minorHAnsi" w:cstheme="minorHAnsi"/>
          <w:iCs/>
        </w:rPr>
      </w:pPr>
      <w:r w:rsidRPr="00295711">
        <w:rPr>
          <w:rFonts w:asciiTheme="minorHAnsi" w:hAnsiTheme="minorHAnsi" w:cstheme="minorHAnsi"/>
        </w:rPr>
        <w:t xml:space="preserve">Poznámky: </w:t>
      </w:r>
      <w:r w:rsidRPr="00295711">
        <w:rPr>
          <w:rFonts w:asciiTheme="minorHAnsi" w:hAnsiTheme="minorHAnsi" w:cstheme="minorHAnsi"/>
          <w:iCs/>
        </w:rPr>
        <w:t>Meziroční vývoj stavební produkce je publikován po očištění o vliv počtu pracovních dnů.</w:t>
      </w:r>
    </w:p>
    <w:p w14:paraId="4E8BCC19" w14:textId="66CD15DF" w:rsidR="00531326" w:rsidRPr="00295711" w:rsidRDefault="00531326" w:rsidP="00531326">
      <w:pPr>
        <w:pStyle w:val="Poznmky0"/>
        <w:pBdr>
          <w:top w:val="none" w:sz="0" w:space="0" w:color="auto"/>
        </w:pBdr>
        <w:tabs>
          <w:tab w:val="left" w:pos="709"/>
          <w:tab w:val="left" w:pos="851"/>
          <w:tab w:val="left" w:pos="2694"/>
          <w:tab w:val="left" w:pos="3544"/>
        </w:tabs>
        <w:spacing w:before="0" w:line="247" w:lineRule="auto"/>
        <w:rPr>
          <w:rFonts w:asciiTheme="minorHAnsi" w:hAnsiTheme="minorHAnsi" w:cstheme="minorHAnsi"/>
          <w:iCs/>
        </w:rPr>
      </w:pPr>
      <w:r w:rsidRPr="00295711">
        <w:rPr>
          <w:rFonts w:asciiTheme="minorHAnsi" w:hAnsiTheme="minorHAnsi" w:cstheme="minorHAnsi"/>
          <w:iCs/>
        </w:rPr>
        <w:t>Metodika</w:t>
      </w:r>
      <w:r>
        <w:rPr>
          <w:rFonts w:asciiTheme="minorHAnsi" w:hAnsiTheme="minorHAnsi" w:cstheme="minorHAnsi"/>
          <w:iCs/>
        </w:rPr>
        <w:t>:</w:t>
      </w:r>
      <w:r>
        <w:rPr>
          <w:rFonts w:asciiTheme="minorHAnsi" w:hAnsiTheme="minorHAnsi" w:cstheme="minorHAnsi"/>
          <w:iCs/>
        </w:rPr>
        <w:tab/>
      </w:r>
      <w:r>
        <w:rPr>
          <w:rFonts w:asciiTheme="minorHAnsi" w:hAnsiTheme="minorHAnsi" w:cstheme="minorHAnsi"/>
          <w:iCs/>
        </w:rPr>
        <w:tab/>
      </w:r>
      <w:hyperlink r:id="rId11" w:history="1">
        <w:r w:rsidRPr="0021658A">
          <w:rPr>
            <w:rStyle w:val="Hypertextovodkaz"/>
            <w:rFonts w:asciiTheme="minorHAnsi" w:hAnsiTheme="minorHAnsi" w:cstheme="minorHAnsi"/>
            <w:iCs/>
          </w:rPr>
          <w:t>https://csu.gov.cz/stavebnictvi_metodika</w:t>
        </w:r>
      </w:hyperlink>
      <w:r w:rsidRPr="00295711">
        <w:rPr>
          <w:rFonts w:asciiTheme="minorHAnsi" w:hAnsiTheme="minorHAnsi" w:cstheme="minorHAnsi"/>
          <w:iCs/>
        </w:rPr>
        <w:t xml:space="preserve"> </w:t>
      </w:r>
    </w:p>
    <w:p w14:paraId="6421CD7F" w14:textId="77777777" w:rsidR="00531326" w:rsidRPr="00295711" w:rsidRDefault="00531326" w:rsidP="00531326">
      <w:pPr>
        <w:pStyle w:val="Poznmky"/>
        <w:pBdr>
          <w:top w:val="none" w:sz="0" w:space="0" w:color="auto"/>
        </w:pBdr>
        <w:spacing w:line="247" w:lineRule="auto"/>
        <w:ind w:left="2694" w:hanging="2694"/>
        <w:jc w:val="both"/>
        <w:rPr>
          <w:rFonts w:cstheme="minorHAnsi"/>
          <w:i w:val="0"/>
        </w:rPr>
      </w:pPr>
      <w:r w:rsidRPr="00295711">
        <w:rPr>
          <w:rFonts w:cstheme="minorHAnsi"/>
        </w:rPr>
        <w:t>Kontaktní osoba:</w:t>
      </w:r>
      <w:r w:rsidRPr="00295711">
        <w:rPr>
          <w:rFonts w:cstheme="minorHAnsi"/>
        </w:rPr>
        <w:tab/>
        <w:t xml:space="preserve">Ing. Petra Cuřínová, vedoucí oddělení statistiky stavebnictví a bytové výstavby, tel.: 737280494, e-mail: </w:t>
      </w:r>
      <w:hyperlink r:id="rId12" w:history="1">
        <w:r w:rsidRPr="00295711">
          <w:rPr>
            <w:rStyle w:val="Hypertextovodkaz"/>
            <w:rFonts w:cstheme="minorHAnsi"/>
          </w:rPr>
          <w:t>petra.curinova@csu.gov.cz</w:t>
        </w:r>
      </w:hyperlink>
      <w:r w:rsidRPr="00295711">
        <w:rPr>
          <w:rFonts w:cstheme="minorHAnsi"/>
        </w:rPr>
        <w:t xml:space="preserve">  </w:t>
      </w:r>
    </w:p>
    <w:p w14:paraId="7FD568FC" w14:textId="77777777" w:rsidR="00531326" w:rsidRPr="00295711" w:rsidRDefault="00531326" w:rsidP="00531326">
      <w:pPr>
        <w:pStyle w:val="Poznmky"/>
        <w:pBdr>
          <w:top w:val="none" w:sz="0" w:space="0" w:color="auto"/>
        </w:pBdr>
        <w:spacing w:line="240" w:lineRule="auto"/>
        <w:ind w:left="2694" w:hanging="2694"/>
        <w:jc w:val="both"/>
        <w:rPr>
          <w:rFonts w:cstheme="minorHAnsi"/>
        </w:rPr>
      </w:pPr>
      <w:r w:rsidRPr="00295711">
        <w:rPr>
          <w:rFonts w:cstheme="minorHAnsi"/>
        </w:rPr>
        <w:lastRenderedPageBreak/>
        <w:t>Navazující výstupy:</w:t>
      </w:r>
      <w:r w:rsidRPr="00295711">
        <w:rPr>
          <w:rFonts w:cstheme="minorHAnsi"/>
        </w:rPr>
        <w:tab/>
      </w:r>
      <w:hyperlink r:id="rId13" w:history="1">
        <w:r w:rsidRPr="00295711">
          <w:rPr>
            <w:rStyle w:val="Hypertextovodkaz"/>
            <w:rFonts w:cstheme="minorHAnsi"/>
          </w:rPr>
          <w:t>https://data.csu.gov.cz/datastat/dash?aPolozka=STAV01</w:t>
        </w:r>
      </w:hyperlink>
    </w:p>
    <w:p w14:paraId="3929824F" w14:textId="77777777" w:rsidR="00531326" w:rsidRPr="00295711" w:rsidRDefault="00531326" w:rsidP="00531326">
      <w:pPr>
        <w:pStyle w:val="Poznmky"/>
        <w:pBdr>
          <w:top w:val="none" w:sz="0" w:space="0" w:color="auto"/>
        </w:pBdr>
        <w:spacing w:line="240" w:lineRule="auto"/>
        <w:ind w:left="2694"/>
        <w:jc w:val="both"/>
        <w:rPr>
          <w:rFonts w:cstheme="minorHAnsi"/>
        </w:rPr>
      </w:pPr>
      <w:hyperlink r:id="rId14" w:history="1">
        <w:r w:rsidRPr="00295711">
          <w:rPr>
            <w:rStyle w:val="Hypertextovodkaz"/>
            <w:rFonts w:cstheme="minorHAnsi"/>
            <w:iCs/>
          </w:rPr>
          <w:t>https://data.csu.gov.cz/datastat/dash?aPolozka=STAV02</w:t>
        </w:r>
      </w:hyperlink>
      <w:r w:rsidRPr="00295711">
        <w:rPr>
          <w:rFonts w:cstheme="minorHAnsi"/>
        </w:rPr>
        <w:t xml:space="preserve"> </w:t>
      </w:r>
      <w:hyperlink r:id="rId15" w:history="1">
        <w:r w:rsidRPr="00295711">
          <w:rPr>
            <w:rStyle w:val="Hypertextovodkaz"/>
            <w:rFonts w:cstheme="minorHAnsi"/>
            <w:iCs/>
          </w:rPr>
          <w:t>https://data.csu.gov.cz/datastat/dash?aPolozka=STAV03</w:t>
        </w:r>
      </w:hyperlink>
    </w:p>
    <w:p w14:paraId="0878E6CC" w14:textId="77777777" w:rsidR="00531326" w:rsidRPr="00295711" w:rsidRDefault="00531326" w:rsidP="00531326">
      <w:pPr>
        <w:pStyle w:val="Poznmky"/>
        <w:pBdr>
          <w:top w:val="none" w:sz="0" w:space="0" w:color="auto"/>
        </w:pBdr>
        <w:spacing w:line="247" w:lineRule="auto"/>
        <w:ind w:left="2694" w:hanging="2694"/>
        <w:jc w:val="both"/>
        <w:rPr>
          <w:rFonts w:cstheme="minorHAnsi"/>
        </w:rPr>
      </w:pPr>
      <w:r w:rsidRPr="00295711">
        <w:rPr>
          <w:rFonts w:cstheme="minorHAnsi"/>
        </w:rPr>
        <w:tab/>
        <w:t xml:space="preserve">mezinárodní srovnání v zemích EU: </w:t>
      </w:r>
      <w:hyperlink r:id="rId16" w:history="1">
        <w:r w:rsidRPr="00295711">
          <w:rPr>
            <w:rStyle w:val="Hypertextovodkaz"/>
            <w:rFonts w:cstheme="minorHAnsi"/>
          </w:rPr>
          <w:t>Eurostat</w:t>
        </w:r>
      </w:hyperlink>
    </w:p>
    <w:p w14:paraId="213AC846" w14:textId="77777777" w:rsidR="00531326" w:rsidRPr="00D259CB" w:rsidRDefault="00531326" w:rsidP="00531326">
      <w:pPr>
        <w:pStyle w:val="Nadpis2"/>
      </w:pPr>
    </w:p>
    <w:p w14:paraId="1B637BD3" w14:textId="77777777" w:rsidR="00531326" w:rsidRPr="00531326" w:rsidRDefault="00531326" w:rsidP="00531326"/>
    <w:sectPr w:rsidR="00531326" w:rsidRPr="00531326" w:rsidSect="00BE2E0B">
      <w:headerReference w:type="default" r:id="rId17"/>
      <w:footerReference w:type="default" r:id="rId18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274B" w14:textId="77777777" w:rsidR="00515106" w:rsidRDefault="00515106" w:rsidP="004A01A7">
      <w:pPr>
        <w:spacing w:after="0" w:line="240" w:lineRule="auto"/>
      </w:pPr>
      <w:r>
        <w:separator/>
      </w:r>
    </w:p>
  </w:endnote>
  <w:endnote w:type="continuationSeparator" w:id="0">
    <w:p w14:paraId="2FC4092E" w14:textId="77777777" w:rsidR="00515106" w:rsidRDefault="00515106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904F0" w14:textId="77777777" w:rsidR="006A57CC" w:rsidRDefault="006A57CC" w:rsidP="00F21B6A">
    <w:pPr>
      <w:pStyle w:val="Zpat"/>
    </w:pPr>
    <w:r w:rsidRPr="006A57CC">
      <w:t>Český statistický úřad</w:t>
    </w:r>
  </w:p>
  <w:p w14:paraId="20CF34C5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48282B47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48112819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7F660" w14:textId="77777777" w:rsidR="00515106" w:rsidRDefault="00515106" w:rsidP="004A01A7">
      <w:pPr>
        <w:spacing w:after="0" w:line="240" w:lineRule="auto"/>
      </w:pPr>
    </w:p>
  </w:footnote>
  <w:footnote w:type="continuationSeparator" w:id="0">
    <w:p w14:paraId="5DE00FF7" w14:textId="77777777" w:rsidR="00515106" w:rsidRDefault="00515106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7234D9D2" w14:textId="77777777" w:rsidTr="00F21B6A">
      <w:trPr>
        <w:jc w:val="right"/>
      </w:trPr>
      <w:tc>
        <w:tcPr>
          <w:tcW w:w="4253" w:type="dxa"/>
        </w:tcPr>
        <w:p w14:paraId="30095CAB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70954BFD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97"/>
    <w:rsid w:val="000106FE"/>
    <w:rsid w:val="000120B4"/>
    <w:rsid w:val="00021B9A"/>
    <w:rsid w:val="0002560E"/>
    <w:rsid w:val="00032CCE"/>
    <w:rsid w:val="00035F16"/>
    <w:rsid w:val="00043335"/>
    <w:rsid w:val="00054392"/>
    <w:rsid w:val="0005510C"/>
    <w:rsid w:val="00062565"/>
    <w:rsid w:val="00070445"/>
    <w:rsid w:val="00071F0F"/>
    <w:rsid w:val="00073994"/>
    <w:rsid w:val="00083A55"/>
    <w:rsid w:val="00085436"/>
    <w:rsid w:val="000968A9"/>
    <w:rsid w:val="000B4F0B"/>
    <w:rsid w:val="000C11F2"/>
    <w:rsid w:val="000C2452"/>
    <w:rsid w:val="000C67FA"/>
    <w:rsid w:val="000C68F4"/>
    <w:rsid w:val="000D2954"/>
    <w:rsid w:val="000D5C58"/>
    <w:rsid w:val="000E00C3"/>
    <w:rsid w:val="000E3099"/>
    <w:rsid w:val="000F141D"/>
    <w:rsid w:val="000F5A54"/>
    <w:rsid w:val="00102994"/>
    <w:rsid w:val="0010606B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60FEB"/>
    <w:rsid w:val="00164790"/>
    <w:rsid w:val="001712FE"/>
    <w:rsid w:val="00171B3E"/>
    <w:rsid w:val="00175680"/>
    <w:rsid w:val="00185EBE"/>
    <w:rsid w:val="001909FA"/>
    <w:rsid w:val="0019514E"/>
    <w:rsid w:val="001D52C5"/>
    <w:rsid w:val="001D719A"/>
    <w:rsid w:val="001E0520"/>
    <w:rsid w:val="001E1B82"/>
    <w:rsid w:val="001E417F"/>
    <w:rsid w:val="001E513B"/>
    <w:rsid w:val="001E691A"/>
    <w:rsid w:val="001F493F"/>
    <w:rsid w:val="002000F6"/>
    <w:rsid w:val="00200551"/>
    <w:rsid w:val="002013B0"/>
    <w:rsid w:val="0020716F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C4C20"/>
    <w:rsid w:val="002D11B9"/>
    <w:rsid w:val="002D796B"/>
    <w:rsid w:val="002F7004"/>
    <w:rsid w:val="0030061B"/>
    <w:rsid w:val="00303A0E"/>
    <w:rsid w:val="00307360"/>
    <w:rsid w:val="003206E7"/>
    <w:rsid w:val="003208E6"/>
    <w:rsid w:val="0032285E"/>
    <w:rsid w:val="003351B8"/>
    <w:rsid w:val="00342E5E"/>
    <w:rsid w:val="003534DF"/>
    <w:rsid w:val="003540FA"/>
    <w:rsid w:val="00356332"/>
    <w:rsid w:val="00363815"/>
    <w:rsid w:val="003654CD"/>
    <w:rsid w:val="00370110"/>
    <w:rsid w:val="00372598"/>
    <w:rsid w:val="00392F53"/>
    <w:rsid w:val="00393EC0"/>
    <w:rsid w:val="003A2A49"/>
    <w:rsid w:val="003A3966"/>
    <w:rsid w:val="003A7E6A"/>
    <w:rsid w:val="003C027F"/>
    <w:rsid w:val="003C3F6A"/>
    <w:rsid w:val="003D2BE1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3ED9"/>
    <w:rsid w:val="004977D7"/>
    <w:rsid w:val="004A01A7"/>
    <w:rsid w:val="004A09C5"/>
    <w:rsid w:val="004A38DD"/>
    <w:rsid w:val="004B4A94"/>
    <w:rsid w:val="004C7DCA"/>
    <w:rsid w:val="004E7E0E"/>
    <w:rsid w:val="00500A63"/>
    <w:rsid w:val="00515106"/>
    <w:rsid w:val="00521746"/>
    <w:rsid w:val="0053132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67AE4"/>
    <w:rsid w:val="005801BB"/>
    <w:rsid w:val="005865A4"/>
    <w:rsid w:val="00586756"/>
    <w:rsid w:val="0058729F"/>
    <w:rsid w:val="00593FA2"/>
    <w:rsid w:val="005970F5"/>
    <w:rsid w:val="005A012C"/>
    <w:rsid w:val="005A4EC9"/>
    <w:rsid w:val="005A60C3"/>
    <w:rsid w:val="005C14EB"/>
    <w:rsid w:val="005C29C9"/>
    <w:rsid w:val="005C781E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950C1"/>
    <w:rsid w:val="0069631F"/>
    <w:rsid w:val="006A4940"/>
    <w:rsid w:val="006A57CC"/>
    <w:rsid w:val="006C0860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65263"/>
    <w:rsid w:val="00773B0B"/>
    <w:rsid w:val="00787190"/>
    <w:rsid w:val="007B3B77"/>
    <w:rsid w:val="007C3C43"/>
    <w:rsid w:val="007D6A0E"/>
    <w:rsid w:val="007D6F07"/>
    <w:rsid w:val="00801CDD"/>
    <w:rsid w:val="00811964"/>
    <w:rsid w:val="008340C9"/>
    <w:rsid w:val="00834A49"/>
    <w:rsid w:val="00837E45"/>
    <w:rsid w:val="0084277E"/>
    <w:rsid w:val="00851074"/>
    <w:rsid w:val="008541DA"/>
    <w:rsid w:val="00870D3E"/>
    <w:rsid w:val="00877CF1"/>
    <w:rsid w:val="00881BA3"/>
    <w:rsid w:val="00884306"/>
    <w:rsid w:val="008A4895"/>
    <w:rsid w:val="008B0E87"/>
    <w:rsid w:val="008B5737"/>
    <w:rsid w:val="008C4A49"/>
    <w:rsid w:val="008D405D"/>
    <w:rsid w:val="008D5575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83393"/>
    <w:rsid w:val="00984352"/>
    <w:rsid w:val="00985819"/>
    <w:rsid w:val="00985E6B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A15A28"/>
    <w:rsid w:val="00A274A1"/>
    <w:rsid w:val="00A3283F"/>
    <w:rsid w:val="00A47859"/>
    <w:rsid w:val="00A55A71"/>
    <w:rsid w:val="00A7786D"/>
    <w:rsid w:val="00A851CE"/>
    <w:rsid w:val="00A91166"/>
    <w:rsid w:val="00A91452"/>
    <w:rsid w:val="00A95D0B"/>
    <w:rsid w:val="00AA0C58"/>
    <w:rsid w:val="00AA1D72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144B6"/>
    <w:rsid w:val="00B2195A"/>
    <w:rsid w:val="00B31BB1"/>
    <w:rsid w:val="00B40D87"/>
    <w:rsid w:val="00B43D9B"/>
    <w:rsid w:val="00B47092"/>
    <w:rsid w:val="00B51C8F"/>
    <w:rsid w:val="00B602D0"/>
    <w:rsid w:val="00B62344"/>
    <w:rsid w:val="00B70022"/>
    <w:rsid w:val="00B7165F"/>
    <w:rsid w:val="00B733E5"/>
    <w:rsid w:val="00B759AD"/>
    <w:rsid w:val="00B84D39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B77C7"/>
    <w:rsid w:val="00BC23FF"/>
    <w:rsid w:val="00BC5C99"/>
    <w:rsid w:val="00BD27B2"/>
    <w:rsid w:val="00BE2E0B"/>
    <w:rsid w:val="00BE3BE4"/>
    <w:rsid w:val="00BE5550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0639"/>
    <w:rsid w:val="00C311A5"/>
    <w:rsid w:val="00C4391D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A3ABB"/>
    <w:rsid w:val="00CB1B52"/>
    <w:rsid w:val="00CB1E4F"/>
    <w:rsid w:val="00CB5768"/>
    <w:rsid w:val="00CB6B2A"/>
    <w:rsid w:val="00CC0409"/>
    <w:rsid w:val="00CC309B"/>
    <w:rsid w:val="00CC35A2"/>
    <w:rsid w:val="00CC5B97"/>
    <w:rsid w:val="00CC7927"/>
    <w:rsid w:val="00CD0856"/>
    <w:rsid w:val="00CD784B"/>
    <w:rsid w:val="00CE0BC6"/>
    <w:rsid w:val="00CE6555"/>
    <w:rsid w:val="00CF6697"/>
    <w:rsid w:val="00D066AA"/>
    <w:rsid w:val="00D12AC4"/>
    <w:rsid w:val="00D15B3B"/>
    <w:rsid w:val="00D20AC3"/>
    <w:rsid w:val="00D50FAD"/>
    <w:rsid w:val="00D63056"/>
    <w:rsid w:val="00D70040"/>
    <w:rsid w:val="00D7143F"/>
    <w:rsid w:val="00DA10DB"/>
    <w:rsid w:val="00DD3D93"/>
    <w:rsid w:val="00DD4E3E"/>
    <w:rsid w:val="00DD6689"/>
    <w:rsid w:val="00DF3F66"/>
    <w:rsid w:val="00E12747"/>
    <w:rsid w:val="00E14659"/>
    <w:rsid w:val="00E24FEA"/>
    <w:rsid w:val="00E34849"/>
    <w:rsid w:val="00E414DB"/>
    <w:rsid w:val="00E456D4"/>
    <w:rsid w:val="00E47767"/>
    <w:rsid w:val="00E54F30"/>
    <w:rsid w:val="00E62893"/>
    <w:rsid w:val="00E67257"/>
    <w:rsid w:val="00E704CC"/>
    <w:rsid w:val="00E721D1"/>
    <w:rsid w:val="00E72CDB"/>
    <w:rsid w:val="00E825EC"/>
    <w:rsid w:val="00E8736C"/>
    <w:rsid w:val="00E9571D"/>
    <w:rsid w:val="00E97FB6"/>
    <w:rsid w:val="00EB5DA8"/>
    <w:rsid w:val="00EB6FA7"/>
    <w:rsid w:val="00EC2292"/>
    <w:rsid w:val="00EF1981"/>
    <w:rsid w:val="00EF4611"/>
    <w:rsid w:val="00F0418D"/>
    <w:rsid w:val="00F049CC"/>
    <w:rsid w:val="00F04EC6"/>
    <w:rsid w:val="00F152C4"/>
    <w:rsid w:val="00F21784"/>
    <w:rsid w:val="00F21B6A"/>
    <w:rsid w:val="00F26AB3"/>
    <w:rsid w:val="00F30E1E"/>
    <w:rsid w:val="00F34410"/>
    <w:rsid w:val="00F51E64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40DD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2947C"/>
  <w15:chartTrackingRefBased/>
  <w15:docId w15:val="{9B0873D0-4618-4DCB-AD73-C2D535DD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oznmky0">
    <w:name w:val="Poznámky_"/>
    <w:next w:val="Normln"/>
    <w:qFormat/>
    <w:rsid w:val="00531326"/>
    <w:pPr>
      <w:pBdr>
        <w:top w:val="single" w:sz="4" w:space="9" w:color="auto"/>
      </w:pBdr>
      <w:spacing w:before="280" w:after="0"/>
    </w:pPr>
    <w:rPr>
      <w:rFonts w:ascii="Arial" w:eastAsia="Calibri" w:hAnsi="Arial" w:cs="ArialMT"/>
      <w:i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ata.csu.gov.cz/datastat/dash?aPolozka=STAV01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petra.curinova@csu.gov.c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eurostat/web/short-term-business-statistics/publications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stavebnictvi_metodik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ata.csu.gov.cz/datastat/dash?aPolozka=STAV03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ata.csu.gov.cz/datastat/dash?aPolozka=STAV0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irkova33306\Downloads\Form_c463_Rychla%20informace_CZ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05D1EB91874125B9144B96B12361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89C3CE-73B1-4F29-A431-670B1C0377A0}"/>
      </w:docPartPr>
      <w:docPartBody>
        <w:p w:rsidR="00B154F1" w:rsidRDefault="00B154F1">
          <w:pPr>
            <w:pStyle w:val="0C05D1EB91874125B9144B96B1236119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F1"/>
    <w:rsid w:val="00073994"/>
    <w:rsid w:val="00130CE7"/>
    <w:rsid w:val="003B5864"/>
    <w:rsid w:val="00814B1C"/>
    <w:rsid w:val="0085231A"/>
    <w:rsid w:val="008B5737"/>
    <w:rsid w:val="00B154F1"/>
    <w:rsid w:val="00B84D39"/>
    <w:rsid w:val="00CD11E8"/>
    <w:rsid w:val="00E54F30"/>
    <w:rsid w:val="00F51E64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0C05D1EB91874125B9144B96B1236119">
    <w:name w:val="0C05D1EB91874125B9144B96B12361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2.xml><?xml version="1.0" encoding="utf-8"?>
<ds:datastoreItem xmlns:ds="http://schemas.openxmlformats.org/officeDocument/2006/customXml" ds:itemID="{CDF25BBB-6175-4C6D-8145-2580E3414A3F}"/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 (1).dotx</Template>
  <TotalTime>54</TotalTime>
  <Pages>2</Pages>
  <Words>578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Kačírková Petra</dc:creator>
  <cp:keywords/>
  <dc:description/>
  <cp:lastModifiedBy>Cuřínová Petra</cp:lastModifiedBy>
  <cp:revision>6</cp:revision>
  <dcterms:created xsi:type="dcterms:W3CDTF">2026-08-03T10:16:00Z</dcterms:created>
  <dcterms:modified xsi:type="dcterms:W3CDTF">2026-08-05T05:19:00Z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