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9C" w:rsidRPr="000533DD" w:rsidRDefault="002E019C" w:rsidP="002E019C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Pr="000533DD">
        <w:rPr>
          <w:lang w:val="cs-CZ"/>
        </w:rPr>
        <w:t xml:space="preserve">. </w:t>
      </w:r>
      <w:r w:rsidR="00423D77">
        <w:rPr>
          <w:lang w:val="cs-CZ"/>
        </w:rPr>
        <w:t>2</w:t>
      </w:r>
      <w:r w:rsidRPr="000533DD">
        <w:rPr>
          <w:lang w:val="cs-CZ"/>
        </w:rPr>
        <w:t>. 202</w:t>
      </w:r>
      <w:r w:rsidR="00423D77">
        <w:rPr>
          <w:lang w:val="cs-CZ"/>
        </w:rPr>
        <w:t>5</w:t>
      </w:r>
      <w:r>
        <w:rPr>
          <w:lang w:val="cs-CZ"/>
        </w:rPr>
        <w:t xml:space="preserve"> </w:t>
      </w:r>
    </w:p>
    <w:p w:rsidR="002E019C" w:rsidRDefault="002E019C" w:rsidP="002E019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1A720E">
        <w:rPr>
          <w:color w:val="BD1B21"/>
          <w:sz w:val="32"/>
          <w:szCs w:val="32"/>
        </w:rPr>
        <w:t>Stavební produkce v </w:t>
      </w:r>
      <w:r w:rsidR="00166F1A" w:rsidRPr="001A720E">
        <w:rPr>
          <w:color w:val="BD1B21"/>
          <w:sz w:val="32"/>
          <w:szCs w:val="32"/>
        </w:rPr>
        <w:t>roce</w:t>
      </w:r>
      <w:r w:rsidR="00423D77" w:rsidRPr="001A720E">
        <w:rPr>
          <w:color w:val="BD1B21"/>
          <w:sz w:val="32"/>
          <w:szCs w:val="32"/>
        </w:rPr>
        <w:t xml:space="preserve"> 2024</w:t>
      </w:r>
      <w:r w:rsidRPr="001A720E">
        <w:rPr>
          <w:color w:val="BD1B21"/>
          <w:sz w:val="32"/>
          <w:szCs w:val="32"/>
        </w:rPr>
        <w:t xml:space="preserve"> klesla o </w:t>
      </w:r>
      <w:r w:rsidR="00423D77" w:rsidRPr="001A720E">
        <w:rPr>
          <w:color w:val="BD1B21"/>
          <w:sz w:val="32"/>
          <w:szCs w:val="32"/>
        </w:rPr>
        <w:t>2,4</w:t>
      </w:r>
      <w:r w:rsidRPr="001A720E">
        <w:rPr>
          <w:color w:val="BD1B21"/>
          <w:sz w:val="32"/>
          <w:szCs w:val="32"/>
        </w:rPr>
        <w:t> %</w:t>
      </w:r>
    </w:p>
    <w:p w:rsidR="002E019C" w:rsidRPr="00C6404B" w:rsidRDefault="002E019C" w:rsidP="002E019C">
      <w:pPr>
        <w:pStyle w:val="Podtitulek"/>
      </w:pPr>
      <w:r>
        <w:t>Doplňující informace k RI Stavebnictví</w:t>
      </w:r>
      <w:r w:rsidRPr="00C6404B">
        <w:t xml:space="preserve"> – </w:t>
      </w:r>
      <w:r w:rsidR="00166F1A">
        <w:t>prosinec</w:t>
      </w:r>
      <w:r w:rsidRPr="00C6404B">
        <w:t xml:space="preserve"> 202</w:t>
      </w:r>
      <w:r>
        <w:t>4</w:t>
      </w:r>
    </w:p>
    <w:p w:rsidR="00DB2ECF" w:rsidRDefault="002E019C" w:rsidP="002E019C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produkce v </w:t>
      </w:r>
      <w:r w:rsidR="00477F30">
        <w:rPr>
          <w:rFonts w:cs="Arial"/>
        </w:rPr>
        <w:t>roce</w:t>
      </w:r>
      <w:r w:rsidRPr="004725CA">
        <w:rPr>
          <w:rFonts w:cs="Arial"/>
        </w:rPr>
        <w:t xml:space="preserve"> 20</w:t>
      </w:r>
      <w:r>
        <w:rPr>
          <w:rFonts w:cs="Arial"/>
        </w:rPr>
        <w:t>24</w:t>
      </w:r>
      <w:r w:rsidRPr="00B176CB">
        <w:rPr>
          <w:rFonts w:cs="Arial"/>
        </w:rPr>
        <w:t xml:space="preserve"> meziročně klesla o </w:t>
      </w:r>
      <w:r w:rsidR="00E073AE">
        <w:rPr>
          <w:rFonts w:cs="Arial"/>
        </w:rPr>
        <w:t>2,4 </w:t>
      </w:r>
      <w:r w:rsidRPr="00CF6368">
        <w:rPr>
          <w:rFonts w:cs="Arial"/>
        </w:rPr>
        <w:t>%</w:t>
      </w:r>
      <w:r w:rsidR="00220277">
        <w:rPr>
          <w:rFonts w:cs="Arial"/>
        </w:rPr>
        <w:t xml:space="preserve"> a</w:t>
      </w:r>
      <w:r w:rsidRPr="00CF6368">
        <w:rPr>
          <w:rFonts w:cs="Arial"/>
          <w:szCs w:val="20"/>
        </w:rPr>
        <w:t xml:space="preserve"> </w:t>
      </w:r>
      <w:r w:rsidR="00220277">
        <w:rPr>
          <w:rFonts w:cs="Arial"/>
          <w:szCs w:val="20"/>
        </w:rPr>
        <w:t>p</w:t>
      </w:r>
      <w:r w:rsidR="00505571">
        <w:rPr>
          <w:rFonts w:cs="Arial"/>
          <w:szCs w:val="20"/>
        </w:rPr>
        <w:t xml:space="preserve">řispělo k tomu především </w:t>
      </w:r>
      <w:r>
        <w:rPr>
          <w:rFonts w:cs="Arial"/>
          <w:szCs w:val="20"/>
        </w:rPr>
        <w:t>pozemní</w:t>
      </w:r>
      <w:r w:rsidRPr="00CF6368">
        <w:rPr>
          <w:rFonts w:cs="Arial"/>
          <w:szCs w:val="20"/>
        </w:rPr>
        <w:t xml:space="preserve"> stavitelství</w:t>
      </w:r>
      <w:r>
        <w:rPr>
          <w:rFonts w:cs="Arial"/>
          <w:szCs w:val="20"/>
        </w:rPr>
        <w:t xml:space="preserve">, </w:t>
      </w:r>
      <w:r w:rsidR="00505571">
        <w:rPr>
          <w:rFonts w:cs="Arial"/>
          <w:szCs w:val="20"/>
        </w:rPr>
        <w:t xml:space="preserve">které se meziročně snížilo </w:t>
      </w:r>
      <w:r w:rsidR="00E073AE">
        <w:rPr>
          <w:rFonts w:cs="Arial"/>
        </w:rPr>
        <w:t>o </w:t>
      </w:r>
      <w:r w:rsidR="00423D77">
        <w:rPr>
          <w:rFonts w:cs="Arial"/>
        </w:rPr>
        <w:t>4,1</w:t>
      </w:r>
      <w:r>
        <w:rPr>
          <w:rFonts w:cs="Arial"/>
        </w:rPr>
        <w:t> % (příspěv</w:t>
      </w:r>
      <w:r w:rsidR="00220277">
        <w:rPr>
          <w:rFonts w:cs="Arial"/>
        </w:rPr>
        <w:t>e</w:t>
      </w:r>
      <w:r>
        <w:rPr>
          <w:rFonts w:cs="Arial"/>
        </w:rPr>
        <w:t>k -</w:t>
      </w:r>
      <w:r w:rsidR="00E073AE">
        <w:rPr>
          <w:rFonts w:cs="Arial"/>
        </w:rPr>
        <w:t xml:space="preserve">2,7 </w:t>
      </w:r>
      <w:r>
        <w:rPr>
          <w:rFonts w:cs="Arial"/>
        </w:rPr>
        <w:t>procentního bodu). Produkce v inženýrském</w:t>
      </w:r>
      <w:r w:rsidRPr="00B176CB">
        <w:rPr>
          <w:rFonts w:cs="Arial"/>
        </w:rPr>
        <w:t xml:space="preserve"> stavitels</w:t>
      </w:r>
      <w:r>
        <w:rPr>
          <w:rFonts w:cs="Arial"/>
        </w:rPr>
        <w:t xml:space="preserve">tví </w:t>
      </w:r>
      <w:r w:rsidR="002E51D9">
        <w:rPr>
          <w:rFonts w:cs="Arial"/>
        </w:rPr>
        <w:t>spíše stagnovala (</w:t>
      </w:r>
      <w:r w:rsidR="00423D77">
        <w:rPr>
          <w:rFonts w:cs="Arial"/>
        </w:rPr>
        <w:t>růst</w:t>
      </w:r>
      <w:r>
        <w:rPr>
          <w:rFonts w:cs="Arial"/>
        </w:rPr>
        <w:t xml:space="preserve"> o </w:t>
      </w:r>
      <w:r w:rsidR="00423D77">
        <w:rPr>
          <w:rFonts w:cs="Arial"/>
        </w:rPr>
        <w:t xml:space="preserve">0,8 </w:t>
      </w:r>
      <w:r w:rsidRPr="00B176CB">
        <w:rPr>
          <w:rFonts w:cs="Arial"/>
        </w:rPr>
        <w:t>%</w:t>
      </w:r>
      <w:r w:rsidR="002E51D9">
        <w:rPr>
          <w:rFonts w:cs="Arial"/>
        </w:rPr>
        <w:t xml:space="preserve">, příspěvek </w:t>
      </w:r>
      <w:r w:rsidR="00423D77">
        <w:rPr>
          <w:rFonts w:cs="Arial"/>
        </w:rPr>
        <w:t>+0,3</w:t>
      </w:r>
      <w:r w:rsidRPr="00B176CB">
        <w:rPr>
          <w:rFonts w:cs="Arial"/>
        </w:rPr>
        <w:t xml:space="preserve"> p</w:t>
      </w:r>
      <w:r w:rsidR="00E073AE">
        <w:rPr>
          <w:rFonts w:cs="Arial"/>
        </w:rPr>
        <w:t>. </w:t>
      </w:r>
      <w:r>
        <w:rPr>
          <w:rFonts w:cs="Arial"/>
        </w:rPr>
        <w:t>b.</w:t>
      </w:r>
      <w:r w:rsidRPr="00B176CB">
        <w:rPr>
          <w:rFonts w:cs="Arial"/>
        </w:rPr>
        <w:t>)</w:t>
      </w:r>
      <w:r w:rsidR="007F5BD6">
        <w:rPr>
          <w:rFonts w:cs="Arial"/>
        </w:rPr>
        <w:t xml:space="preserve">. </w:t>
      </w:r>
      <w:r w:rsidR="002E51D9">
        <w:rPr>
          <w:rFonts w:cs="Arial"/>
        </w:rPr>
        <w:t>V 1. </w:t>
      </w:r>
      <w:r w:rsidR="00FA0879" w:rsidRPr="008F34F3">
        <w:rPr>
          <w:rFonts w:cs="Arial"/>
        </w:rPr>
        <w:t xml:space="preserve">čtvrtletí </w:t>
      </w:r>
      <w:r w:rsidR="00423D77">
        <w:rPr>
          <w:rFonts w:cs="Arial"/>
        </w:rPr>
        <w:t>stavební produkce</w:t>
      </w:r>
      <w:r w:rsidR="001A720E">
        <w:rPr>
          <w:rFonts w:cs="Arial"/>
        </w:rPr>
        <w:t xml:space="preserve"> meziročně klesl</w:t>
      </w:r>
      <w:r w:rsidR="00E073AE">
        <w:rPr>
          <w:rFonts w:cs="Arial"/>
        </w:rPr>
        <w:t>a o 4,4 </w:t>
      </w:r>
      <w:r w:rsidR="001A720E">
        <w:rPr>
          <w:rFonts w:cs="Arial"/>
        </w:rPr>
        <w:t>%. Na poklesu se podepsalo pozemní</w:t>
      </w:r>
      <w:r w:rsidR="00423D77">
        <w:rPr>
          <w:rFonts w:cs="Arial"/>
        </w:rPr>
        <w:t xml:space="preserve"> stavitelství, naopak inženýrské stavitelství se pohybovalo v kladných číslech</w:t>
      </w:r>
      <w:r w:rsidR="00FA0879" w:rsidRPr="008F34F3">
        <w:rPr>
          <w:rFonts w:cs="Arial"/>
        </w:rPr>
        <w:t>.</w:t>
      </w:r>
      <w:r w:rsidR="001A720E">
        <w:rPr>
          <w:rFonts w:cs="Arial"/>
        </w:rPr>
        <w:t xml:space="preserve"> </w:t>
      </w:r>
      <w:r w:rsidR="00783CE8" w:rsidRPr="008F34F3">
        <w:rPr>
          <w:rFonts w:cs="Arial"/>
        </w:rPr>
        <w:t>Ve 2. </w:t>
      </w:r>
      <w:r w:rsidR="00834510" w:rsidRPr="008F34F3">
        <w:rPr>
          <w:rFonts w:cs="Arial"/>
        </w:rPr>
        <w:t>čtvrtletí</w:t>
      </w:r>
      <w:r w:rsidR="00832327" w:rsidRPr="008F34F3">
        <w:rPr>
          <w:rFonts w:cs="Arial"/>
        </w:rPr>
        <w:t xml:space="preserve"> </w:t>
      </w:r>
      <w:r w:rsidR="001A720E">
        <w:rPr>
          <w:rFonts w:cs="Arial"/>
        </w:rPr>
        <w:t>meziroční pokles zrychlil na -6</w:t>
      </w:r>
      <w:r w:rsidR="00E073AE">
        <w:rPr>
          <w:rFonts w:cs="Arial"/>
        </w:rPr>
        <w:t>,0 </w:t>
      </w:r>
      <w:r w:rsidR="001A720E">
        <w:rPr>
          <w:rFonts w:cs="Arial"/>
        </w:rPr>
        <w:t>% a v poklesu byly oba segmenty.</w:t>
      </w:r>
      <w:r w:rsidR="00783CE8" w:rsidRPr="008F34F3">
        <w:rPr>
          <w:rFonts w:cs="Arial"/>
        </w:rPr>
        <w:t xml:space="preserve"> </w:t>
      </w:r>
      <w:r w:rsidR="00E073AE">
        <w:rPr>
          <w:rFonts w:cs="Arial"/>
        </w:rPr>
        <w:t>Ve 3. </w:t>
      </w:r>
      <w:r w:rsidR="002C12D0">
        <w:rPr>
          <w:rFonts w:cs="Arial"/>
        </w:rPr>
        <w:t xml:space="preserve">čtvrtletí </w:t>
      </w:r>
      <w:r w:rsidR="00E073AE">
        <w:rPr>
          <w:rFonts w:cs="Arial"/>
        </w:rPr>
        <w:t>meziroční pokles z</w:t>
      </w:r>
      <w:r w:rsidR="00E073AE">
        <w:rPr>
          <w:rFonts w:cs="Arial"/>
        </w:rPr>
        <w:t>mírnil</w:t>
      </w:r>
      <w:r w:rsidR="00E073AE">
        <w:rPr>
          <w:rFonts w:cs="Arial"/>
        </w:rPr>
        <w:t xml:space="preserve"> </w:t>
      </w:r>
      <w:r w:rsidR="00E073AE">
        <w:rPr>
          <w:rFonts w:cs="Arial"/>
        </w:rPr>
        <w:t xml:space="preserve">na </w:t>
      </w:r>
      <w:r w:rsidR="00E073AE">
        <w:rPr>
          <w:rFonts w:cs="Arial"/>
        </w:rPr>
        <w:noBreakHyphen/>
      </w:r>
      <w:r w:rsidR="00E073AE">
        <w:rPr>
          <w:rFonts w:cs="Arial"/>
        </w:rPr>
        <w:t>2,7</w:t>
      </w:r>
      <w:r w:rsidR="00E073AE">
        <w:rPr>
          <w:rFonts w:cs="Arial"/>
        </w:rPr>
        <w:t> </w:t>
      </w:r>
      <w:r w:rsidR="00E073AE">
        <w:rPr>
          <w:rFonts w:cs="Arial"/>
        </w:rPr>
        <w:t>%</w:t>
      </w:r>
      <w:r w:rsidR="00E073AE">
        <w:rPr>
          <w:rFonts w:cs="Arial"/>
        </w:rPr>
        <w:t xml:space="preserve">. Tlumilo jej inženýrské stavitelství, které se </w:t>
      </w:r>
      <w:r w:rsidR="002C12D0">
        <w:rPr>
          <w:rFonts w:cs="Arial"/>
        </w:rPr>
        <w:t>vrátilo k mírnému růstu (+</w:t>
      </w:r>
      <w:r w:rsidR="001A720E">
        <w:rPr>
          <w:rFonts w:cs="Arial"/>
        </w:rPr>
        <w:t>0,8</w:t>
      </w:r>
      <w:r w:rsidR="00E073AE">
        <w:rPr>
          <w:rFonts w:cs="Arial"/>
        </w:rPr>
        <w:t> </w:t>
      </w:r>
      <w:r w:rsidR="001A720E">
        <w:rPr>
          <w:rFonts w:cs="Arial"/>
        </w:rPr>
        <w:t>%)</w:t>
      </w:r>
      <w:r w:rsidR="00E073AE">
        <w:rPr>
          <w:rFonts w:cs="Arial"/>
        </w:rPr>
        <w:t>, zatímco</w:t>
      </w:r>
      <w:r w:rsidR="002C12D0">
        <w:rPr>
          <w:rFonts w:cs="Arial"/>
        </w:rPr>
        <w:t xml:space="preserve"> pozemní</w:t>
      </w:r>
      <w:r w:rsidR="001A720E">
        <w:rPr>
          <w:rFonts w:cs="Arial"/>
        </w:rPr>
        <w:t xml:space="preserve"> stavitelství</w:t>
      </w:r>
      <w:r w:rsidR="002C12D0">
        <w:rPr>
          <w:rFonts w:cs="Arial"/>
        </w:rPr>
        <w:t xml:space="preserve"> setrvalo </w:t>
      </w:r>
      <w:r w:rsidR="00C468B5">
        <w:rPr>
          <w:rFonts w:cs="Arial"/>
        </w:rPr>
        <w:t>v meziročním poklesu (-</w:t>
      </w:r>
      <w:r w:rsidR="00E073AE">
        <w:rPr>
          <w:rFonts w:cs="Arial"/>
        </w:rPr>
        <w:t>4,8 </w:t>
      </w:r>
      <w:r w:rsidR="00C468B5">
        <w:rPr>
          <w:rFonts w:cs="Arial"/>
        </w:rPr>
        <w:t xml:space="preserve">%). </w:t>
      </w:r>
      <w:r w:rsidR="00E073AE">
        <w:rPr>
          <w:rFonts w:cs="Arial"/>
        </w:rPr>
        <w:t xml:space="preserve">V posledním </w:t>
      </w:r>
      <w:r w:rsidR="00D86EFB">
        <w:rPr>
          <w:rFonts w:cs="Arial"/>
        </w:rPr>
        <w:t>čtvrtletí</w:t>
      </w:r>
      <w:r w:rsidR="00E073AE">
        <w:rPr>
          <w:rFonts w:cs="Arial"/>
        </w:rPr>
        <w:t xml:space="preserve"> stavební produkce meziročně vzrostla o </w:t>
      </w:r>
      <w:r w:rsidR="00D86EFB">
        <w:rPr>
          <w:rFonts w:cs="Arial"/>
        </w:rPr>
        <w:t>+2,4</w:t>
      </w:r>
      <w:r w:rsidR="00E073AE">
        <w:rPr>
          <w:rFonts w:cs="Arial"/>
        </w:rPr>
        <w:t> % a p</w:t>
      </w:r>
      <w:r w:rsidR="00D86EFB">
        <w:rPr>
          <w:rFonts w:cs="Arial"/>
        </w:rPr>
        <w:t>říspěvek obou segmentů byl stejný.</w:t>
      </w:r>
    </w:p>
    <w:p w:rsidR="002E019C" w:rsidRDefault="002E019C" w:rsidP="002E019C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podniky s 50 a více zaměstnanci v </w:t>
      </w:r>
      <w:r w:rsidR="00477F30">
        <w:rPr>
          <w:rFonts w:cs="Arial"/>
        </w:rPr>
        <w:t>roce</w:t>
      </w:r>
      <w:r w:rsidRPr="004725CA">
        <w:rPr>
          <w:rFonts w:cs="Arial"/>
        </w:rPr>
        <w:t xml:space="preserve"> 20</w:t>
      </w:r>
      <w:r>
        <w:rPr>
          <w:rFonts w:cs="Arial"/>
        </w:rPr>
        <w:t>24</w:t>
      </w:r>
      <w:r w:rsidRPr="00B176CB">
        <w:rPr>
          <w:rFonts w:cs="Arial"/>
        </w:rPr>
        <w:t xml:space="preserve"> v tuzemsku uzavřely </w:t>
      </w:r>
      <w:r w:rsidR="00D86EFB">
        <w:rPr>
          <w:rFonts w:cs="Arial"/>
        </w:rPr>
        <w:t xml:space="preserve">82 232 </w:t>
      </w:r>
      <w:r w:rsidRPr="00B176CB">
        <w:rPr>
          <w:rFonts w:cs="Arial"/>
        </w:rPr>
        <w:t>stavebních zakázek</w:t>
      </w:r>
      <w:r>
        <w:rPr>
          <w:rFonts w:cs="Arial"/>
        </w:rPr>
        <w:t xml:space="preserve"> a</w:t>
      </w:r>
      <w:r w:rsidRPr="00B176CB">
        <w:rPr>
          <w:rFonts w:cs="Arial"/>
        </w:rPr>
        <w:t xml:space="preserve"> </w:t>
      </w:r>
      <w:r w:rsidR="00C468B5">
        <w:rPr>
          <w:rFonts w:cs="Arial"/>
        </w:rPr>
        <w:t xml:space="preserve">tento počet </w:t>
      </w:r>
      <w:r w:rsidRPr="00B176CB">
        <w:rPr>
          <w:rFonts w:cs="Arial"/>
        </w:rPr>
        <w:t>me</w:t>
      </w:r>
      <w:r>
        <w:rPr>
          <w:rFonts w:cs="Arial"/>
        </w:rPr>
        <w:t>ziročně vzrostl o </w:t>
      </w:r>
      <w:r w:rsidR="00E073AE">
        <w:rPr>
          <w:rFonts w:cs="Arial"/>
        </w:rPr>
        <w:t>7,8 </w:t>
      </w:r>
      <w:r w:rsidRPr="00B176CB">
        <w:rPr>
          <w:rFonts w:cs="Arial"/>
        </w:rPr>
        <w:t xml:space="preserve">%. Celková hodnota těchto zakázek se meziročně </w:t>
      </w:r>
      <w:r>
        <w:rPr>
          <w:rFonts w:cs="Arial"/>
        </w:rPr>
        <w:t xml:space="preserve">zvýšila o </w:t>
      </w:r>
      <w:r w:rsidR="00D86EFB">
        <w:rPr>
          <w:rFonts w:cs="Arial"/>
        </w:rPr>
        <w:t>15,6</w:t>
      </w:r>
      <w:r w:rsidR="006F4A7F">
        <w:rPr>
          <w:rFonts w:cs="Arial"/>
        </w:rPr>
        <w:t> </w:t>
      </w:r>
      <w:r w:rsidRPr="00B176CB">
        <w:rPr>
          <w:rFonts w:cs="Arial"/>
        </w:rPr>
        <w:t xml:space="preserve">% a činila </w:t>
      </w:r>
      <w:r w:rsidR="00D86EFB">
        <w:rPr>
          <w:rFonts w:cs="Arial"/>
        </w:rPr>
        <w:t>387</w:t>
      </w:r>
      <w:r w:rsidR="00E073AE">
        <w:rPr>
          <w:rFonts w:cs="Arial"/>
        </w:rPr>
        <w:t> mld. </w:t>
      </w:r>
      <w:r w:rsidRPr="00B176CB">
        <w:rPr>
          <w:rFonts w:cs="Arial"/>
        </w:rPr>
        <w:t xml:space="preserve">Kč běžných cen. </w:t>
      </w:r>
      <w:r w:rsidR="00474910">
        <w:rPr>
          <w:rFonts w:cs="Arial"/>
        </w:rPr>
        <w:t>V</w:t>
      </w:r>
      <w:r>
        <w:rPr>
          <w:rFonts w:cs="Arial"/>
        </w:rPr>
        <w:t xml:space="preserve"> pozemním stavitelství dosáhly nové stavební zakázky </w:t>
      </w:r>
      <w:r w:rsidR="00D86EFB">
        <w:rPr>
          <w:rFonts w:cs="Arial"/>
        </w:rPr>
        <w:t>177</w:t>
      </w:r>
      <w:r w:rsidR="00E073AE">
        <w:rPr>
          <w:rFonts w:cs="Arial"/>
        </w:rPr>
        <w:t> mld. Kč a meziročně rostly o 13,7 </w:t>
      </w:r>
      <w:r>
        <w:rPr>
          <w:rFonts w:cs="Arial"/>
        </w:rPr>
        <w:t>%</w:t>
      </w:r>
      <w:r w:rsidR="00517550">
        <w:rPr>
          <w:rFonts w:cs="Arial"/>
        </w:rPr>
        <w:t xml:space="preserve">, </w:t>
      </w:r>
      <w:r w:rsidR="00C468B5">
        <w:rPr>
          <w:rFonts w:cs="Arial"/>
        </w:rPr>
        <w:t xml:space="preserve">zejména </w:t>
      </w:r>
      <w:r w:rsidR="00474910">
        <w:rPr>
          <w:rFonts w:cs="Arial"/>
        </w:rPr>
        <w:t>zásluho</w:t>
      </w:r>
      <w:r w:rsidR="00E073AE">
        <w:rPr>
          <w:rFonts w:cs="Arial"/>
        </w:rPr>
        <w:t>u výsledků za 1. </w:t>
      </w:r>
      <w:r w:rsidR="00C468B5">
        <w:rPr>
          <w:rFonts w:cs="Arial"/>
        </w:rPr>
        <w:t>pololetí</w:t>
      </w:r>
      <w:r w:rsidR="00474910">
        <w:rPr>
          <w:rFonts w:cs="Arial"/>
        </w:rPr>
        <w:t xml:space="preserve">. Také nové zakázky na inženýrské stavby </w:t>
      </w:r>
      <w:r w:rsidR="00D86EFB">
        <w:rPr>
          <w:rFonts w:cs="Arial"/>
        </w:rPr>
        <w:t>v roce 2024</w:t>
      </w:r>
      <w:r w:rsidR="00517550">
        <w:rPr>
          <w:rFonts w:cs="Arial"/>
        </w:rPr>
        <w:t xml:space="preserve"> rostly</w:t>
      </w:r>
      <w:r w:rsidR="00C468B5">
        <w:rPr>
          <w:rFonts w:cs="Arial"/>
        </w:rPr>
        <w:t>,</w:t>
      </w:r>
      <w:r w:rsidR="00983061">
        <w:rPr>
          <w:rFonts w:cs="Arial"/>
        </w:rPr>
        <w:t xml:space="preserve"> celková ho</w:t>
      </w:r>
      <w:r w:rsidR="00E073AE">
        <w:rPr>
          <w:rFonts w:cs="Arial"/>
        </w:rPr>
        <w:t>dnota těchto zakázek činila 210 mld. </w:t>
      </w:r>
      <w:r w:rsidR="00983061">
        <w:rPr>
          <w:rFonts w:cs="Arial"/>
        </w:rPr>
        <w:t>Kč a</w:t>
      </w:r>
      <w:r w:rsidR="00C468B5">
        <w:rPr>
          <w:rFonts w:cs="Arial"/>
        </w:rPr>
        <w:t xml:space="preserve"> </w:t>
      </w:r>
      <w:r w:rsidR="00474910">
        <w:rPr>
          <w:rFonts w:cs="Arial"/>
        </w:rPr>
        <w:t>meziročně</w:t>
      </w:r>
      <w:r w:rsidR="00983061">
        <w:rPr>
          <w:rFonts w:cs="Arial"/>
        </w:rPr>
        <w:t xml:space="preserve"> vzrostla</w:t>
      </w:r>
      <w:r w:rsidR="00474910">
        <w:rPr>
          <w:rFonts w:cs="Arial"/>
        </w:rPr>
        <w:t xml:space="preserve"> o</w:t>
      </w:r>
      <w:r w:rsidR="00E073AE">
        <w:rPr>
          <w:rFonts w:cs="Arial"/>
        </w:rPr>
        <w:t> 17,3 </w:t>
      </w:r>
      <w:r w:rsidR="00474910">
        <w:rPr>
          <w:rFonts w:cs="Arial"/>
        </w:rPr>
        <w:t>%</w:t>
      </w:r>
      <w:r w:rsidR="00983061">
        <w:rPr>
          <w:rFonts w:cs="Arial"/>
        </w:rPr>
        <w:t xml:space="preserve">. </w:t>
      </w:r>
      <w:r w:rsidRPr="00B176CB">
        <w:rPr>
          <w:rFonts w:cs="Arial"/>
        </w:rPr>
        <w:t xml:space="preserve">Průměrná hodnota nově uzavřené zakázky činila </w:t>
      </w:r>
      <w:r w:rsidR="00517550">
        <w:rPr>
          <w:rFonts w:cs="Arial"/>
        </w:rPr>
        <w:t>4,7</w:t>
      </w:r>
      <w:r w:rsidR="00E073AE">
        <w:rPr>
          <w:rFonts w:cs="Arial"/>
        </w:rPr>
        <w:t> mil. </w:t>
      </w:r>
      <w:r>
        <w:rPr>
          <w:rFonts w:cs="Arial"/>
        </w:rPr>
        <w:t>Kč a byla meziročně o</w:t>
      </w:r>
      <w:r w:rsidR="00E073AE">
        <w:rPr>
          <w:rFonts w:cs="Arial"/>
        </w:rPr>
        <w:t> </w:t>
      </w:r>
      <w:r w:rsidR="00517550">
        <w:rPr>
          <w:rFonts w:cs="Arial"/>
        </w:rPr>
        <w:t>7,2</w:t>
      </w:r>
      <w:r w:rsidR="00E073AE">
        <w:rPr>
          <w:rFonts w:cs="Arial"/>
        </w:rPr>
        <w:t> </w:t>
      </w:r>
      <w:r w:rsidRPr="00B176CB">
        <w:rPr>
          <w:rFonts w:cs="Arial"/>
        </w:rPr>
        <w:t xml:space="preserve">% vyšší. </w:t>
      </w:r>
    </w:p>
    <w:p w:rsidR="002E019C" w:rsidRPr="00B72D53" w:rsidRDefault="002E019C" w:rsidP="002E019C">
      <w:pPr>
        <w:spacing w:before="120"/>
        <w:rPr>
          <w:rFonts w:cs="Arial"/>
          <w:szCs w:val="20"/>
        </w:rPr>
      </w:pPr>
      <w:r w:rsidRPr="00054236">
        <w:t xml:space="preserve">Orientační hodnota </w:t>
      </w:r>
      <w:r w:rsidRPr="00054236">
        <w:rPr>
          <w:bCs/>
        </w:rPr>
        <w:t>staveb</w:t>
      </w:r>
      <w:r w:rsidRPr="00054236">
        <w:t xml:space="preserve"> povolených v </w:t>
      </w:r>
      <w:r w:rsidR="00477F30">
        <w:rPr>
          <w:rFonts w:cs="Arial"/>
        </w:rPr>
        <w:t>roce</w:t>
      </w:r>
      <w:r w:rsidRPr="00054236">
        <w:rPr>
          <w:rFonts w:cs="Arial"/>
        </w:rPr>
        <w:t xml:space="preserve"> 2024</w:t>
      </w:r>
      <w:r w:rsidRPr="00054236">
        <w:t xml:space="preserve"> dosáhla </w:t>
      </w:r>
      <w:r w:rsidR="007E6417" w:rsidRPr="007E6417">
        <w:t>579</w:t>
      </w:r>
      <w:r w:rsidRPr="00151067">
        <w:t>,</w:t>
      </w:r>
      <w:r w:rsidR="007E6417">
        <w:t>7</w:t>
      </w:r>
      <w:r w:rsidR="008545DA">
        <w:t> mld. Kč a </w:t>
      </w:r>
      <w:r w:rsidRPr="00054236">
        <w:t>meziročně</w:t>
      </w:r>
      <w:r w:rsidRPr="00054236">
        <w:rPr>
          <w:rFonts w:cs="Arial"/>
          <w:szCs w:val="20"/>
        </w:rPr>
        <w:t xml:space="preserve"> </w:t>
      </w:r>
      <w:r w:rsidR="007E6417">
        <w:rPr>
          <w:rFonts w:cs="Arial"/>
          <w:szCs w:val="20"/>
        </w:rPr>
        <w:t xml:space="preserve">mírně </w:t>
      </w:r>
      <w:r w:rsidR="00151067" w:rsidRPr="00B540B0">
        <w:t>klesl</w:t>
      </w:r>
      <w:r w:rsidRPr="00B540B0">
        <w:rPr>
          <w:rFonts w:cs="Arial"/>
          <w:szCs w:val="20"/>
        </w:rPr>
        <w:t>a</w:t>
      </w:r>
      <w:r w:rsidRPr="00054236">
        <w:t xml:space="preserve"> o </w:t>
      </w:r>
      <w:r w:rsidR="007E6417">
        <w:t>3</w:t>
      </w:r>
      <w:r w:rsidR="00151067">
        <w:t>,</w:t>
      </w:r>
      <w:r w:rsidR="007E6417">
        <w:t>6</w:t>
      </w:r>
      <w:r w:rsidRPr="00054236">
        <w:t> %</w:t>
      </w:r>
      <w:r>
        <w:rPr>
          <w:rFonts w:cs="Arial"/>
          <w:szCs w:val="20"/>
        </w:rPr>
        <w:t xml:space="preserve"> (</w:t>
      </w:r>
      <w:r w:rsidR="008545DA">
        <w:rPr>
          <w:rFonts w:cs="Arial"/>
          <w:szCs w:val="20"/>
        </w:rPr>
        <w:t>v běžných cenách)</w:t>
      </w:r>
      <w:r w:rsidR="00F0675F">
        <w:rPr>
          <w:rFonts w:cs="Arial"/>
          <w:szCs w:val="20"/>
        </w:rPr>
        <w:t xml:space="preserve"> vinou změn dokončených staveb, nová výstavba budov byla v růstu.</w:t>
      </w:r>
      <w:r w:rsidR="003954CA" w:rsidRPr="00876F29">
        <w:rPr>
          <w:rFonts w:cs="Arial"/>
          <w:szCs w:val="20"/>
        </w:rPr>
        <w:t xml:space="preserve"> </w:t>
      </w:r>
      <w:r w:rsidR="00F0675F">
        <w:rPr>
          <w:rFonts w:cs="Arial"/>
          <w:szCs w:val="20"/>
        </w:rPr>
        <w:t>Čtvrtletní meziroční růst byl zaznamenán pouze v 1. čtvrtletí, později dynamika upadala zčásti vlivem vysoké srovnávací základny.</w:t>
      </w:r>
      <w:r w:rsidR="00B72D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</w:t>
      </w:r>
      <w:r w:rsidR="00F0675F">
        <w:rPr>
          <w:rFonts w:cs="Arial"/>
          <w:szCs w:val="20"/>
        </w:rPr>
        <w:t>roce</w:t>
      </w:r>
      <w:r w:rsidRPr="00054236">
        <w:rPr>
          <w:rFonts w:cs="Arial"/>
        </w:rPr>
        <w:t xml:space="preserve"> 2024</w:t>
      </w:r>
      <w:r>
        <w:rPr>
          <w:rFonts w:cs="Arial"/>
        </w:rPr>
        <w:t xml:space="preserve"> </w:t>
      </w:r>
      <w:r w:rsidRPr="000040F7">
        <w:rPr>
          <w:rFonts w:cs="Arial"/>
        </w:rPr>
        <w:t xml:space="preserve">bylo povoleno </w:t>
      </w:r>
      <w:r w:rsidR="00391AA7">
        <w:rPr>
          <w:rFonts w:cs="Arial"/>
        </w:rPr>
        <w:t>44</w:t>
      </w:r>
      <w:r w:rsidRPr="000040F7">
        <w:rPr>
          <w:rFonts w:cs="Arial"/>
        </w:rPr>
        <w:t xml:space="preserve"> staveb </w:t>
      </w:r>
      <w:r w:rsidR="00F0675F">
        <w:rPr>
          <w:rFonts w:cs="Arial"/>
        </w:rPr>
        <w:t>s rozpočty nad 1 </w:t>
      </w:r>
      <w:r w:rsidRPr="000040F7">
        <w:rPr>
          <w:rFonts w:cs="Arial"/>
        </w:rPr>
        <w:t>mld.</w:t>
      </w:r>
      <w:r w:rsidR="00F0675F">
        <w:rPr>
          <w:rFonts w:cs="Arial"/>
        </w:rPr>
        <w:t> </w:t>
      </w:r>
      <w:r w:rsidRPr="000040F7">
        <w:rPr>
          <w:rFonts w:cs="Arial"/>
        </w:rPr>
        <w:t>Kč</w:t>
      </w:r>
      <w:r w:rsidR="00F0675F">
        <w:rPr>
          <w:rFonts w:cs="Arial"/>
        </w:rPr>
        <w:t>, ale na výsledný pokles neměly zásadní vliv.</w:t>
      </w:r>
      <w:r w:rsidRPr="00D54567">
        <w:t xml:space="preserve"> Vyšší investice se plánují ve </w:t>
      </w:r>
      <w:r w:rsidR="008A4690" w:rsidRPr="00391AA7">
        <w:t>Středočeském</w:t>
      </w:r>
      <w:r w:rsidR="00391AA7" w:rsidRPr="00391AA7">
        <w:t xml:space="preserve"> kraji</w:t>
      </w:r>
      <w:r w:rsidRPr="00391AA7">
        <w:t>, </w:t>
      </w:r>
      <w:r w:rsidR="00391AA7" w:rsidRPr="00391AA7">
        <w:rPr>
          <w:rFonts w:cs="Arial"/>
          <w:szCs w:val="20"/>
        </w:rPr>
        <w:t xml:space="preserve">v Praze a </w:t>
      </w:r>
      <w:r w:rsidR="00CE5974" w:rsidRPr="00391AA7">
        <w:rPr>
          <w:rFonts w:cs="Arial"/>
          <w:szCs w:val="20"/>
        </w:rPr>
        <w:t>Jihomoravském kraji</w:t>
      </w:r>
      <w:r w:rsidRPr="00391AA7">
        <w:t>.</w:t>
      </w:r>
    </w:p>
    <w:p w:rsidR="002E019C" w:rsidRDefault="002E019C" w:rsidP="002E019C">
      <w:pPr>
        <w:spacing w:before="120"/>
      </w:pPr>
      <w:r w:rsidRPr="00F27BC8">
        <w:t>V </w:t>
      </w:r>
      <w:r w:rsidR="00477F30">
        <w:rPr>
          <w:rFonts w:cs="Arial"/>
        </w:rPr>
        <w:t>roce</w:t>
      </w:r>
      <w:r w:rsidRPr="00F27BC8">
        <w:rPr>
          <w:rFonts w:cs="Arial"/>
        </w:rPr>
        <w:t xml:space="preserve"> 2024</w:t>
      </w:r>
      <w:r w:rsidRPr="00F27BC8">
        <w:t xml:space="preserve"> byla zahájena výstavba </w:t>
      </w:r>
      <w:r w:rsidR="00A6523E" w:rsidRPr="00A6523E">
        <w:t>36</w:t>
      </w:r>
      <w:r w:rsidR="00B9666F">
        <w:t> </w:t>
      </w:r>
      <w:r w:rsidR="00A6523E" w:rsidRPr="00A6523E">
        <w:t>477</w:t>
      </w:r>
      <w:r w:rsidR="00FA6DB0">
        <w:t xml:space="preserve"> </w:t>
      </w:r>
      <w:r w:rsidRPr="00F27BC8">
        <w:t>bytů</w:t>
      </w:r>
      <w:r w:rsidR="00B9666F">
        <w:t>, což po dvouletém poklesu znamenalo meziroční růst o 2,2 %</w:t>
      </w:r>
      <w:r w:rsidR="002B6726">
        <w:t>.</w:t>
      </w:r>
      <w:r w:rsidR="00B9666F">
        <w:t xml:space="preserve"> Tahounem růstu </w:t>
      </w:r>
      <w:proofErr w:type="gramStart"/>
      <w:r w:rsidR="00B9666F">
        <w:t>byly</w:t>
      </w:r>
      <w:proofErr w:type="gramEnd"/>
      <w:r w:rsidR="00B9666F">
        <w:t xml:space="preserve"> byty v bytových domech, které meziročně rostly ve všech čtvrtletích, celkově za rok o čtvrtinu</w:t>
      </w:r>
      <w:r w:rsidR="002B6726">
        <w:t xml:space="preserve">. Naopak zahajování bytů v rodinných domech bylo celý rok v útlumu a jejich počet klesl o desetinu oproti roku 2023. </w:t>
      </w:r>
      <w:r w:rsidRPr="00EA3105">
        <w:t xml:space="preserve">Meziroční pokles zaznamenaly </w:t>
      </w:r>
      <w:r w:rsidR="00823B1B" w:rsidRPr="00EA3105">
        <w:t>konverze rodinných i </w:t>
      </w:r>
      <w:r w:rsidRPr="00EA3105">
        <w:t>bytových domů</w:t>
      </w:r>
      <w:r w:rsidR="002B6726">
        <w:t>, počet bytů zahájených</w:t>
      </w:r>
      <w:r w:rsidRPr="00EA3105">
        <w:t xml:space="preserve"> v nebytových budovách</w:t>
      </w:r>
      <w:r w:rsidR="002B6726">
        <w:t xml:space="preserve"> vzrostl. </w:t>
      </w:r>
      <w:r w:rsidRPr="005774BC">
        <w:t>Nejvíce bytů se zahájilo v</w:t>
      </w:r>
      <w:r w:rsidR="009469ED" w:rsidRPr="005774BC">
        <w:t> </w:t>
      </w:r>
      <w:r w:rsidRPr="005774BC">
        <w:t>Praze</w:t>
      </w:r>
      <w:r w:rsidR="009469ED" w:rsidRPr="005774BC">
        <w:t xml:space="preserve"> </w:t>
      </w:r>
      <w:r w:rsidRPr="005774BC">
        <w:t xml:space="preserve">(bytové domy), </w:t>
      </w:r>
      <w:r w:rsidR="009469ED" w:rsidRPr="005774BC">
        <w:t>ve </w:t>
      </w:r>
      <w:r w:rsidR="000A2FCD" w:rsidRPr="005774BC">
        <w:t>Středočeském kraji</w:t>
      </w:r>
      <w:r w:rsidR="00823B1B" w:rsidRPr="005774BC">
        <w:t xml:space="preserve"> (rodinné</w:t>
      </w:r>
      <w:r w:rsidR="000A2FCD" w:rsidRPr="005774BC">
        <w:t xml:space="preserve"> domy</w:t>
      </w:r>
      <w:r w:rsidR="00823B1B" w:rsidRPr="005774BC">
        <w:t>)</w:t>
      </w:r>
      <w:r w:rsidR="002B6726">
        <w:t xml:space="preserve"> a </w:t>
      </w:r>
      <w:r w:rsidR="003B469F" w:rsidRPr="005774BC">
        <w:t>v Jihomoravském</w:t>
      </w:r>
      <w:r w:rsidR="009469ED" w:rsidRPr="005774BC">
        <w:t xml:space="preserve"> kraji</w:t>
      </w:r>
      <w:r w:rsidRPr="000A2FCD">
        <w:t>.</w:t>
      </w:r>
    </w:p>
    <w:p w:rsidR="002E019C" w:rsidRDefault="002E019C" w:rsidP="002E019C">
      <w:pPr>
        <w:spacing w:before="120"/>
      </w:pPr>
      <w:r w:rsidRPr="009277D6">
        <w:rPr>
          <w:bCs/>
        </w:rPr>
        <w:t>V </w:t>
      </w:r>
      <w:r w:rsidR="00477F30">
        <w:rPr>
          <w:rFonts w:cs="Arial"/>
        </w:rPr>
        <w:t>roce</w:t>
      </w:r>
      <w:r w:rsidRPr="009277D6">
        <w:rPr>
          <w:rFonts w:cs="Arial"/>
        </w:rPr>
        <w:t xml:space="preserve"> 2024</w:t>
      </w:r>
      <w:r w:rsidRPr="009277D6">
        <w:rPr>
          <w:bCs/>
        </w:rPr>
        <w:t xml:space="preserve"> bylo dokončeno </w:t>
      </w:r>
      <w:r w:rsidR="00AA0603" w:rsidRPr="00AA0603">
        <w:t>30</w:t>
      </w:r>
      <w:r w:rsidR="004057C1">
        <w:t> </w:t>
      </w:r>
      <w:r w:rsidR="00AA0603" w:rsidRPr="00AA0603">
        <w:t>311</w:t>
      </w:r>
      <w:r w:rsidRPr="009277D6">
        <w:t> bytů a tento p</w:t>
      </w:r>
      <w:r w:rsidRPr="009277D6">
        <w:rPr>
          <w:bCs/>
        </w:rPr>
        <w:t xml:space="preserve">očet </w:t>
      </w:r>
      <w:r w:rsidRPr="009277D6">
        <w:t xml:space="preserve">meziročně </w:t>
      </w:r>
      <w:r w:rsidRPr="00AA0603">
        <w:t>klesl</w:t>
      </w:r>
      <w:r w:rsidR="004057C1">
        <w:t xml:space="preserve"> o </w:t>
      </w:r>
      <w:r w:rsidR="00AA0603">
        <w:t>pětinu</w:t>
      </w:r>
      <w:r w:rsidRPr="009277D6">
        <w:t xml:space="preserve">. </w:t>
      </w:r>
      <w:r w:rsidR="00634328">
        <w:t xml:space="preserve">Za tímto poklesem zčásti stála vysoká srovnávací základna z předchozích let a také malá zásoba zahájených bytů. </w:t>
      </w:r>
      <w:bookmarkStart w:id="0" w:name="_GoBack"/>
      <w:bookmarkEnd w:id="0"/>
      <w:r w:rsidR="00AA0603">
        <w:t xml:space="preserve">Meziroční pokles se odehrál </w:t>
      </w:r>
      <w:r w:rsidR="004057C1">
        <w:t xml:space="preserve">ve </w:t>
      </w:r>
      <w:r w:rsidR="004057C1">
        <w:t>všech kategoriích</w:t>
      </w:r>
      <w:r w:rsidR="004057C1">
        <w:t xml:space="preserve">, </w:t>
      </w:r>
      <w:r w:rsidR="00AA0603">
        <w:t>v</w:t>
      </w:r>
      <w:r w:rsidR="004057C1">
        <w:t xml:space="preserve"> rodinných i bytových domech stejným tempem. Meziroční růst byl zaznamenán pouze v 1. čtvrtletí v kategorii bytových domů. </w:t>
      </w:r>
      <w:r w:rsidRPr="009277D6">
        <w:t xml:space="preserve">Nejvíce se dokončovalo </w:t>
      </w:r>
      <w:r w:rsidRPr="002A573C">
        <w:t>v Praze, ve Středočeském a Jihomoravském</w:t>
      </w:r>
      <w:r w:rsidRPr="00A0327D">
        <w:t xml:space="preserve"> kraji.</w:t>
      </w:r>
    </w:p>
    <w:p w:rsidR="00A63B3C" w:rsidRDefault="00A63B3C" w:rsidP="002E019C">
      <w:pPr>
        <w:spacing w:before="120"/>
      </w:pPr>
    </w:p>
    <w:p w:rsidR="00B957A6" w:rsidRDefault="00B957A6" w:rsidP="00221C9E">
      <w:pPr>
        <w:pStyle w:val="Poznmky0"/>
        <w:pBdr>
          <w:top w:val="single" w:sz="4" w:space="1" w:color="auto"/>
        </w:pBdr>
        <w:spacing w:before="0" w:line="240" w:lineRule="auto"/>
        <w:rPr>
          <w:iCs/>
        </w:rPr>
      </w:pPr>
      <w:r w:rsidRPr="00C52044">
        <w:t>Poznámky:</w:t>
      </w:r>
      <w:r w:rsidR="00221C9E">
        <w:t xml:space="preserve"> </w:t>
      </w: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</w:t>
      </w:r>
      <w:r w:rsidR="00CB2356">
        <w:rPr>
          <w:iCs/>
        </w:rPr>
        <w:t>ní o vliv počtu pracovních dnů.</w:t>
      </w:r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0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lastRenderedPageBreak/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1" w:history="1">
        <w:r w:rsidR="001E7AB8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E57983" w:rsidRDefault="00B957A6" w:rsidP="00E57983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2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67445C" w:rsidP="00E57983">
      <w:pPr>
        <w:pStyle w:val="Poznmky"/>
        <w:pBdr>
          <w:top w:val="none" w:sz="0" w:space="0" w:color="auto"/>
        </w:pBdr>
        <w:spacing w:before="0" w:line="247" w:lineRule="auto"/>
        <w:ind w:left="2694"/>
        <w:jc w:val="both"/>
        <w:rPr>
          <w:i/>
        </w:rPr>
      </w:pPr>
      <w:hyperlink r:id="rId13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209A7" w:rsidRPr="00B957A6" w:rsidRDefault="00D209A7" w:rsidP="00B957A6"/>
    <w:sectPr w:rsidR="00D209A7" w:rsidRPr="00B957A6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C" w:rsidRDefault="0067445C" w:rsidP="00BA6370">
      <w:r>
        <w:separator/>
      </w:r>
    </w:p>
  </w:endnote>
  <w:endnote w:type="continuationSeparator" w:id="0">
    <w:p w:rsidR="0067445C" w:rsidRDefault="006744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3432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3432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C" w:rsidRDefault="0067445C" w:rsidP="00BA6370">
      <w:r>
        <w:separator/>
      </w:r>
    </w:p>
  </w:footnote>
  <w:footnote w:type="continuationSeparator" w:id="0">
    <w:p w:rsidR="0067445C" w:rsidRDefault="0067445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00128"/>
    <w:rsid w:val="000040F7"/>
    <w:rsid w:val="00005396"/>
    <w:rsid w:val="00013786"/>
    <w:rsid w:val="000212C4"/>
    <w:rsid w:val="00043BF4"/>
    <w:rsid w:val="0005569C"/>
    <w:rsid w:val="000634B1"/>
    <w:rsid w:val="00064549"/>
    <w:rsid w:val="00073569"/>
    <w:rsid w:val="00081C6D"/>
    <w:rsid w:val="000843A5"/>
    <w:rsid w:val="00086EAE"/>
    <w:rsid w:val="000910DA"/>
    <w:rsid w:val="00096D6C"/>
    <w:rsid w:val="000A2FCD"/>
    <w:rsid w:val="000B439D"/>
    <w:rsid w:val="000B6F63"/>
    <w:rsid w:val="000C0AAD"/>
    <w:rsid w:val="000D093F"/>
    <w:rsid w:val="000D3B5F"/>
    <w:rsid w:val="000E43CC"/>
    <w:rsid w:val="001016AA"/>
    <w:rsid w:val="00111493"/>
    <w:rsid w:val="001404AB"/>
    <w:rsid w:val="0015088E"/>
    <w:rsid w:val="00151067"/>
    <w:rsid w:val="001511B3"/>
    <w:rsid w:val="00166F1A"/>
    <w:rsid w:val="0017231D"/>
    <w:rsid w:val="001810DC"/>
    <w:rsid w:val="00181F7B"/>
    <w:rsid w:val="001A5A9A"/>
    <w:rsid w:val="001A720E"/>
    <w:rsid w:val="001B607F"/>
    <w:rsid w:val="001C125E"/>
    <w:rsid w:val="001D369A"/>
    <w:rsid w:val="001E7AB8"/>
    <w:rsid w:val="001F08B3"/>
    <w:rsid w:val="001F2FE0"/>
    <w:rsid w:val="00200061"/>
    <w:rsid w:val="00200854"/>
    <w:rsid w:val="002070FB"/>
    <w:rsid w:val="00213729"/>
    <w:rsid w:val="00220277"/>
    <w:rsid w:val="00221C9E"/>
    <w:rsid w:val="002406FA"/>
    <w:rsid w:val="002503C3"/>
    <w:rsid w:val="0026107B"/>
    <w:rsid w:val="00275DF8"/>
    <w:rsid w:val="00283F21"/>
    <w:rsid w:val="002A2F2F"/>
    <w:rsid w:val="002A573C"/>
    <w:rsid w:val="002B0488"/>
    <w:rsid w:val="002B2E47"/>
    <w:rsid w:val="002B6445"/>
    <w:rsid w:val="002B6726"/>
    <w:rsid w:val="002C12D0"/>
    <w:rsid w:val="002D5DCD"/>
    <w:rsid w:val="002D7F4F"/>
    <w:rsid w:val="002E019C"/>
    <w:rsid w:val="002E51D9"/>
    <w:rsid w:val="003118DE"/>
    <w:rsid w:val="003123FE"/>
    <w:rsid w:val="00316415"/>
    <w:rsid w:val="003201AC"/>
    <w:rsid w:val="003301A3"/>
    <w:rsid w:val="00352B56"/>
    <w:rsid w:val="00356D8E"/>
    <w:rsid w:val="0036777B"/>
    <w:rsid w:val="00371B3E"/>
    <w:rsid w:val="0038282A"/>
    <w:rsid w:val="00391AA7"/>
    <w:rsid w:val="003954CA"/>
    <w:rsid w:val="00397580"/>
    <w:rsid w:val="003A45C8"/>
    <w:rsid w:val="003B469F"/>
    <w:rsid w:val="003C2DCF"/>
    <w:rsid w:val="003C4F7B"/>
    <w:rsid w:val="003C7FE7"/>
    <w:rsid w:val="003D0499"/>
    <w:rsid w:val="003D3576"/>
    <w:rsid w:val="003F526A"/>
    <w:rsid w:val="00405244"/>
    <w:rsid w:val="004057C1"/>
    <w:rsid w:val="004073CF"/>
    <w:rsid w:val="004154C7"/>
    <w:rsid w:val="004155A2"/>
    <w:rsid w:val="00423D77"/>
    <w:rsid w:val="00431F45"/>
    <w:rsid w:val="00437C50"/>
    <w:rsid w:val="004436EE"/>
    <w:rsid w:val="0045547F"/>
    <w:rsid w:val="0046250E"/>
    <w:rsid w:val="00471DEF"/>
    <w:rsid w:val="00472310"/>
    <w:rsid w:val="00472BFA"/>
    <w:rsid w:val="00474910"/>
    <w:rsid w:val="00477F30"/>
    <w:rsid w:val="004920AD"/>
    <w:rsid w:val="004932B6"/>
    <w:rsid w:val="004A49E4"/>
    <w:rsid w:val="004A60F4"/>
    <w:rsid w:val="004A7D3F"/>
    <w:rsid w:val="004B377A"/>
    <w:rsid w:val="004D05B3"/>
    <w:rsid w:val="004E479E"/>
    <w:rsid w:val="004F686C"/>
    <w:rsid w:val="004F78E6"/>
    <w:rsid w:val="0050420E"/>
    <w:rsid w:val="00505571"/>
    <w:rsid w:val="00512D99"/>
    <w:rsid w:val="00514224"/>
    <w:rsid w:val="00517550"/>
    <w:rsid w:val="00521696"/>
    <w:rsid w:val="00530746"/>
    <w:rsid w:val="00531DBB"/>
    <w:rsid w:val="00573994"/>
    <w:rsid w:val="005774BC"/>
    <w:rsid w:val="005A30C5"/>
    <w:rsid w:val="005B7117"/>
    <w:rsid w:val="005C0E10"/>
    <w:rsid w:val="005D221F"/>
    <w:rsid w:val="005D281B"/>
    <w:rsid w:val="005D5EBB"/>
    <w:rsid w:val="005E3499"/>
    <w:rsid w:val="005F79FB"/>
    <w:rsid w:val="00604406"/>
    <w:rsid w:val="00605F4A"/>
    <w:rsid w:val="00607822"/>
    <w:rsid w:val="006103AA"/>
    <w:rsid w:val="006123E3"/>
    <w:rsid w:val="00613BBF"/>
    <w:rsid w:val="00622B80"/>
    <w:rsid w:val="006254F3"/>
    <w:rsid w:val="00632260"/>
    <w:rsid w:val="00634328"/>
    <w:rsid w:val="0064139A"/>
    <w:rsid w:val="00650BB9"/>
    <w:rsid w:val="006672FF"/>
    <w:rsid w:val="006738A9"/>
    <w:rsid w:val="0067445C"/>
    <w:rsid w:val="00681F7A"/>
    <w:rsid w:val="00682184"/>
    <w:rsid w:val="00692211"/>
    <w:rsid w:val="006931CF"/>
    <w:rsid w:val="006A28DB"/>
    <w:rsid w:val="006B14B4"/>
    <w:rsid w:val="006B72FD"/>
    <w:rsid w:val="006C2F57"/>
    <w:rsid w:val="006D21EB"/>
    <w:rsid w:val="006E024F"/>
    <w:rsid w:val="006E4E81"/>
    <w:rsid w:val="006E58E4"/>
    <w:rsid w:val="006F4A7F"/>
    <w:rsid w:val="00707F7D"/>
    <w:rsid w:val="00717EC5"/>
    <w:rsid w:val="00722489"/>
    <w:rsid w:val="00723B54"/>
    <w:rsid w:val="00727C3F"/>
    <w:rsid w:val="00740B79"/>
    <w:rsid w:val="00750EF7"/>
    <w:rsid w:val="00754C20"/>
    <w:rsid w:val="00760E91"/>
    <w:rsid w:val="00783CE8"/>
    <w:rsid w:val="007A2048"/>
    <w:rsid w:val="007A4BD7"/>
    <w:rsid w:val="007A57F2"/>
    <w:rsid w:val="007B1333"/>
    <w:rsid w:val="007B6028"/>
    <w:rsid w:val="007C1974"/>
    <w:rsid w:val="007E318F"/>
    <w:rsid w:val="007E6417"/>
    <w:rsid w:val="007F4AEB"/>
    <w:rsid w:val="007F5BD6"/>
    <w:rsid w:val="007F75B2"/>
    <w:rsid w:val="00803993"/>
    <w:rsid w:val="008043C4"/>
    <w:rsid w:val="0082089D"/>
    <w:rsid w:val="00823B1B"/>
    <w:rsid w:val="008311A1"/>
    <w:rsid w:val="00831B1B"/>
    <w:rsid w:val="00832327"/>
    <w:rsid w:val="00834510"/>
    <w:rsid w:val="008545DA"/>
    <w:rsid w:val="0085464A"/>
    <w:rsid w:val="00855FB3"/>
    <w:rsid w:val="00861D0E"/>
    <w:rsid w:val="008662BB"/>
    <w:rsid w:val="00867569"/>
    <w:rsid w:val="00867A5C"/>
    <w:rsid w:val="00876F29"/>
    <w:rsid w:val="00890FEC"/>
    <w:rsid w:val="008A3871"/>
    <w:rsid w:val="008A4690"/>
    <w:rsid w:val="008A750A"/>
    <w:rsid w:val="008B2E06"/>
    <w:rsid w:val="008B3970"/>
    <w:rsid w:val="008C384C"/>
    <w:rsid w:val="008C6988"/>
    <w:rsid w:val="008D0F11"/>
    <w:rsid w:val="008F34F3"/>
    <w:rsid w:val="008F73B4"/>
    <w:rsid w:val="009022F8"/>
    <w:rsid w:val="00903018"/>
    <w:rsid w:val="00937F02"/>
    <w:rsid w:val="009469ED"/>
    <w:rsid w:val="009651CE"/>
    <w:rsid w:val="00980CAB"/>
    <w:rsid w:val="00983061"/>
    <w:rsid w:val="00986DD7"/>
    <w:rsid w:val="009B4AA2"/>
    <w:rsid w:val="009B55B1"/>
    <w:rsid w:val="009B62A7"/>
    <w:rsid w:val="009C3AB5"/>
    <w:rsid w:val="009D6F15"/>
    <w:rsid w:val="009F4935"/>
    <w:rsid w:val="00A0327D"/>
    <w:rsid w:val="00A0762A"/>
    <w:rsid w:val="00A1095E"/>
    <w:rsid w:val="00A15EEC"/>
    <w:rsid w:val="00A340A4"/>
    <w:rsid w:val="00A4343D"/>
    <w:rsid w:val="00A502F1"/>
    <w:rsid w:val="00A63B3C"/>
    <w:rsid w:val="00A6523E"/>
    <w:rsid w:val="00A70A83"/>
    <w:rsid w:val="00A73FAE"/>
    <w:rsid w:val="00A74358"/>
    <w:rsid w:val="00A81EB3"/>
    <w:rsid w:val="00A828AA"/>
    <w:rsid w:val="00A955BC"/>
    <w:rsid w:val="00AA0603"/>
    <w:rsid w:val="00AB3410"/>
    <w:rsid w:val="00AD16C2"/>
    <w:rsid w:val="00AD1DA6"/>
    <w:rsid w:val="00AE373B"/>
    <w:rsid w:val="00AE613C"/>
    <w:rsid w:val="00AF191E"/>
    <w:rsid w:val="00B00C1D"/>
    <w:rsid w:val="00B25D02"/>
    <w:rsid w:val="00B47D4D"/>
    <w:rsid w:val="00B50117"/>
    <w:rsid w:val="00B53925"/>
    <w:rsid w:val="00B540B0"/>
    <w:rsid w:val="00B55375"/>
    <w:rsid w:val="00B632CC"/>
    <w:rsid w:val="00B72D53"/>
    <w:rsid w:val="00B75D14"/>
    <w:rsid w:val="00B8676E"/>
    <w:rsid w:val="00B957A6"/>
    <w:rsid w:val="00B9666F"/>
    <w:rsid w:val="00BA12F1"/>
    <w:rsid w:val="00BA439F"/>
    <w:rsid w:val="00BA58F0"/>
    <w:rsid w:val="00BA6370"/>
    <w:rsid w:val="00C07D90"/>
    <w:rsid w:val="00C16676"/>
    <w:rsid w:val="00C269D4"/>
    <w:rsid w:val="00C275E1"/>
    <w:rsid w:val="00C35900"/>
    <w:rsid w:val="00C37ADB"/>
    <w:rsid w:val="00C4160D"/>
    <w:rsid w:val="00C468B5"/>
    <w:rsid w:val="00C538D3"/>
    <w:rsid w:val="00C819BC"/>
    <w:rsid w:val="00C8406E"/>
    <w:rsid w:val="00C843C7"/>
    <w:rsid w:val="00C947B1"/>
    <w:rsid w:val="00CA18F9"/>
    <w:rsid w:val="00CB2356"/>
    <w:rsid w:val="00CB2709"/>
    <w:rsid w:val="00CB6F89"/>
    <w:rsid w:val="00CC0AE9"/>
    <w:rsid w:val="00CD618A"/>
    <w:rsid w:val="00CE13A2"/>
    <w:rsid w:val="00CE228C"/>
    <w:rsid w:val="00CE5974"/>
    <w:rsid w:val="00CE71D9"/>
    <w:rsid w:val="00CF545B"/>
    <w:rsid w:val="00D209A7"/>
    <w:rsid w:val="00D27D69"/>
    <w:rsid w:val="00D33658"/>
    <w:rsid w:val="00D3597A"/>
    <w:rsid w:val="00D448C2"/>
    <w:rsid w:val="00D45031"/>
    <w:rsid w:val="00D54567"/>
    <w:rsid w:val="00D666C3"/>
    <w:rsid w:val="00D678FB"/>
    <w:rsid w:val="00D67AAE"/>
    <w:rsid w:val="00D81899"/>
    <w:rsid w:val="00D86EFB"/>
    <w:rsid w:val="00D9189F"/>
    <w:rsid w:val="00DB2ECF"/>
    <w:rsid w:val="00DC72FF"/>
    <w:rsid w:val="00DF47FE"/>
    <w:rsid w:val="00DF70C2"/>
    <w:rsid w:val="00E0156A"/>
    <w:rsid w:val="00E073AE"/>
    <w:rsid w:val="00E26704"/>
    <w:rsid w:val="00E31980"/>
    <w:rsid w:val="00E57983"/>
    <w:rsid w:val="00E6423C"/>
    <w:rsid w:val="00E84401"/>
    <w:rsid w:val="00E93830"/>
    <w:rsid w:val="00E93E0E"/>
    <w:rsid w:val="00E94DEC"/>
    <w:rsid w:val="00EA3105"/>
    <w:rsid w:val="00EB1ED3"/>
    <w:rsid w:val="00EC14D8"/>
    <w:rsid w:val="00EC178A"/>
    <w:rsid w:val="00EE1414"/>
    <w:rsid w:val="00EE5789"/>
    <w:rsid w:val="00EE7B4B"/>
    <w:rsid w:val="00F0675F"/>
    <w:rsid w:val="00F06C43"/>
    <w:rsid w:val="00F27BC8"/>
    <w:rsid w:val="00F31C83"/>
    <w:rsid w:val="00F473B3"/>
    <w:rsid w:val="00F6042D"/>
    <w:rsid w:val="00F75F2A"/>
    <w:rsid w:val="00F839B9"/>
    <w:rsid w:val="00F95F92"/>
    <w:rsid w:val="00F97BAE"/>
    <w:rsid w:val="00FA0879"/>
    <w:rsid w:val="00FA6DB0"/>
    <w:rsid w:val="00FB687C"/>
    <w:rsid w:val="00FF6050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D8BD144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bvz_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produkty/sta_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stavebnictvi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DBE4-A131-4E52-943A-898ED451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F4A9F-5129-4B7F-A914-2E8B5503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32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Cuřínová Petra</cp:lastModifiedBy>
  <cp:revision>6</cp:revision>
  <cp:lastPrinted>2024-08-01T14:40:00Z</cp:lastPrinted>
  <dcterms:created xsi:type="dcterms:W3CDTF">2025-02-03T09:43:00Z</dcterms:created>
  <dcterms:modified xsi:type="dcterms:W3CDTF">2025-02-04T07:34:00Z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