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3125F" w14:textId="7353D33D" w:rsidR="0041674A" w:rsidRPr="000D3DDC" w:rsidRDefault="00AF2565" w:rsidP="0041674A">
      <w:pPr>
        <w:pStyle w:val="Datum"/>
        <w:spacing w:line="360" w:lineRule="auto"/>
      </w:pPr>
      <w:r w:rsidRPr="000D3DDC">
        <w:t>1</w:t>
      </w:r>
      <w:r w:rsidR="0041674A" w:rsidRPr="000D3DDC">
        <w:t> October 202</w:t>
      </w:r>
      <w:r w:rsidRPr="000D3DDC">
        <w:t>5</w:t>
      </w:r>
    </w:p>
    <w:p w14:paraId="11848634" w14:textId="5900B9F4" w:rsidR="0041674A" w:rsidRPr="00914117" w:rsidRDefault="0041674A" w:rsidP="0041674A">
      <w:pPr>
        <w:pStyle w:val="Nzev"/>
      </w:pPr>
      <w:r w:rsidRPr="00914117">
        <w:t>Balance of the general government sector for 202</w:t>
      </w:r>
      <w:r w:rsidR="008152E4" w:rsidRPr="00914117">
        <w:t>4</w:t>
      </w:r>
      <w:r w:rsidRPr="00914117">
        <w:t xml:space="preserve"> ended up in deficit </w:t>
      </w:r>
    </w:p>
    <w:p w14:paraId="241D3B81" w14:textId="2D0C5895" w:rsidR="0041674A" w:rsidRPr="00914117" w:rsidRDefault="0041674A" w:rsidP="0041674A">
      <w:pPr>
        <w:pStyle w:val="Nzev"/>
        <w:rPr>
          <w:color w:val="auto"/>
          <w:sz w:val="28"/>
          <w:szCs w:val="28"/>
        </w:rPr>
      </w:pPr>
      <w:r w:rsidRPr="00914117">
        <w:rPr>
          <w:color w:val="auto"/>
          <w:sz w:val="28"/>
          <w:szCs w:val="28"/>
        </w:rPr>
        <w:t>Notification of government deficit and debt – 202</w:t>
      </w:r>
      <w:r w:rsidR="008152E4" w:rsidRPr="00914117">
        <w:rPr>
          <w:color w:val="auto"/>
          <w:sz w:val="28"/>
          <w:szCs w:val="28"/>
        </w:rPr>
        <w:t>4</w:t>
      </w:r>
    </w:p>
    <w:p w14:paraId="108089B3" w14:textId="77777777" w:rsidR="0041674A" w:rsidRPr="00914117" w:rsidRDefault="0041674A" w:rsidP="0041674A"/>
    <w:p w14:paraId="3AFCDDB2" w14:textId="2F6699F6" w:rsidR="007F5EFE" w:rsidRPr="00914117" w:rsidRDefault="00F46557" w:rsidP="008152E4">
      <w:pPr>
        <w:rPr>
          <w:b/>
        </w:rPr>
      </w:pPr>
      <w:r w:rsidRPr="00914117">
        <w:rPr>
          <w:b/>
        </w:rPr>
        <w:t>For the year 2024</w:t>
      </w:r>
      <w:r w:rsidR="007F5EFE" w:rsidRPr="00914117">
        <w:rPr>
          <w:b/>
        </w:rPr>
        <w:t>, the balance of the general government sector ended up w</w:t>
      </w:r>
      <w:r w:rsidRPr="00914117">
        <w:rPr>
          <w:b/>
        </w:rPr>
        <w:t>ith a deficit corresponding to 2.0</w:t>
      </w:r>
      <w:r w:rsidR="007F5EFE" w:rsidRPr="00914117">
        <w:rPr>
          <w:b/>
        </w:rPr>
        <w:t xml:space="preserve">% of the GDP. The general government sector </w:t>
      </w:r>
      <w:r w:rsidRPr="00914117">
        <w:rPr>
          <w:b/>
        </w:rPr>
        <w:t>debt in the end of the year 2024 reached 43.3</w:t>
      </w:r>
      <w:r w:rsidR="007F5EFE" w:rsidRPr="00914117">
        <w:rPr>
          <w:b/>
        </w:rPr>
        <w:t>% of the GDP while th</w:t>
      </w:r>
      <w:r w:rsidRPr="00914117">
        <w:rPr>
          <w:b/>
        </w:rPr>
        <w:t>e year-on-year increase was by 1.1 percentage point</w:t>
      </w:r>
      <w:r w:rsidR="007F5EFE" w:rsidRPr="00914117">
        <w:rPr>
          <w:b/>
        </w:rPr>
        <w:t xml:space="preserve"> (p. p.).</w:t>
      </w:r>
    </w:p>
    <w:p w14:paraId="0A3F4367" w14:textId="77777777" w:rsidR="008152E4" w:rsidRPr="00914117" w:rsidRDefault="008152E4" w:rsidP="008152E4"/>
    <w:p w14:paraId="59EDDA91" w14:textId="7142EF01" w:rsidR="007F5EFE" w:rsidRPr="00914117" w:rsidRDefault="007F5EFE" w:rsidP="008152E4">
      <w:pPr>
        <w:rPr>
          <w:i/>
        </w:rPr>
      </w:pPr>
      <w:r w:rsidRPr="00914117">
        <w:rPr>
          <w:i/>
          <w:szCs w:val="20"/>
        </w:rPr>
        <w:t>“Compared to the spring notification, t</w:t>
      </w:r>
      <w:r w:rsidRPr="00914117">
        <w:rPr>
          <w:rFonts w:cs="Arial"/>
          <w:i/>
          <w:szCs w:val="20"/>
        </w:rPr>
        <w:t xml:space="preserve">he balance of the general government sector improved by </w:t>
      </w:r>
      <w:r w:rsidR="00BE089B" w:rsidRPr="00914117">
        <w:rPr>
          <w:i/>
        </w:rPr>
        <w:t>0.2</w:t>
      </w:r>
      <w:r w:rsidRPr="00914117">
        <w:rPr>
          <w:i/>
        </w:rPr>
        <w:t> p. p.</w:t>
      </w:r>
      <w:r w:rsidR="00BE089B" w:rsidRPr="00914117">
        <w:rPr>
          <w:i/>
        </w:rPr>
        <w:t xml:space="preserve"> </w:t>
      </w:r>
      <w:r w:rsidR="00D4261E" w:rsidRPr="00914117">
        <w:rPr>
          <w:i/>
        </w:rPr>
        <w:t>and</w:t>
      </w:r>
      <w:r w:rsidRPr="00914117">
        <w:rPr>
          <w:i/>
        </w:rPr>
        <w:t xml:space="preserve"> </w:t>
      </w:r>
      <w:r w:rsidR="00D4261E" w:rsidRPr="00914117">
        <w:rPr>
          <w:i/>
        </w:rPr>
        <w:t xml:space="preserve">ended up with a deficit of 2.0% of the GDP, </w:t>
      </w:r>
      <w:r w:rsidRPr="00914117">
        <w:rPr>
          <w:i/>
        </w:rPr>
        <w:t>mainly as a result of updated information on the</w:t>
      </w:r>
      <w:r w:rsidR="00F1703A" w:rsidRPr="00914117">
        <w:rPr>
          <w:i/>
        </w:rPr>
        <w:t xml:space="preserve"> </w:t>
      </w:r>
      <w:r w:rsidR="00580C84" w:rsidRPr="00914117">
        <w:rPr>
          <w:i/>
          <w:szCs w:val="20"/>
        </w:rPr>
        <w:t>corporate income tax</w:t>
      </w:r>
      <w:r w:rsidRPr="00914117">
        <w:rPr>
          <w:i/>
        </w:rPr>
        <w:t xml:space="preserve">. </w:t>
      </w:r>
      <w:r w:rsidRPr="00914117">
        <w:rPr>
          <w:i/>
          <w:szCs w:val="20"/>
        </w:rPr>
        <w:t>The</w:t>
      </w:r>
      <w:r w:rsidR="00D4261E" w:rsidRPr="00914117">
        <w:rPr>
          <w:i/>
          <w:szCs w:val="20"/>
        </w:rPr>
        <w:t xml:space="preserve"> relative</w:t>
      </w:r>
      <w:r w:rsidRPr="00914117">
        <w:rPr>
          <w:i/>
          <w:szCs w:val="20"/>
        </w:rPr>
        <w:t xml:space="preserve"> debt </w:t>
      </w:r>
      <w:r w:rsidR="00E6503D" w:rsidRPr="00E6503D">
        <w:rPr>
          <w:i/>
          <w:szCs w:val="20"/>
        </w:rPr>
        <w:t xml:space="preserve">reached </w:t>
      </w:r>
      <w:bookmarkStart w:id="0" w:name="_GoBack"/>
      <w:bookmarkEnd w:id="0"/>
      <w:r w:rsidR="00D4261E" w:rsidRPr="00914117">
        <w:rPr>
          <w:i/>
          <w:szCs w:val="20"/>
        </w:rPr>
        <w:t xml:space="preserve">43.3% </w:t>
      </w:r>
      <w:r w:rsidRPr="00914117">
        <w:rPr>
          <w:i/>
          <w:szCs w:val="20"/>
        </w:rPr>
        <w:t xml:space="preserve">of the GDP,” </w:t>
      </w:r>
      <w:r w:rsidRPr="00914117">
        <w:rPr>
          <w:szCs w:val="20"/>
        </w:rPr>
        <w:t xml:space="preserve">Helena Houžvičková, </w:t>
      </w:r>
      <w:r w:rsidRPr="00914117">
        <w:rPr>
          <w:iCs/>
          <w:szCs w:val="20"/>
        </w:rPr>
        <w:t>Director of the Government and Financial Accounts Department of the Czech Statistical Office (CZSO), stated.</w:t>
      </w:r>
    </w:p>
    <w:p w14:paraId="2CC9129B" w14:textId="2AC80E7D" w:rsidR="007F5EFE" w:rsidRPr="00914117" w:rsidRDefault="007F5EFE" w:rsidP="0041674A">
      <w:pPr>
        <w:rPr>
          <w:rFonts w:cs="Arial"/>
          <w:szCs w:val="20"/>
        </w:rPr>
      </w:pPr>
    </w:p>
    <w:p w14:paraId="62AD9980" w14:textId="37979AA8" w:rsidR="00EA5E08" w:rsidRPr="00914117" w:rsidRDefault="007F5EFE" w:rsidP="0041674A">
      <w:pPr>
        <w:rPr>
          <w:rFonts w:cs="Arial"/>
          <w:szCs w:val="20"/>
        </w:rPr>
      </w:pPr>
      <w:r w:rsidRPr="00914117">
        <w:rPr>
          <w:rFonts w:cs="Arial"/>
          <w:szCs w:val="20"/>
        </w:rPr>
        <w:t>The balance of the g</w:t>
      </w:r>
      <w:r w:rsidR="00217CE2" w:rsidRPr="00914117">
        <w:rPr>
          <w:rFonts w:cs="Arial"/>
          <w:szCs w:val="20"/>
        </w:rPr>
        <w:t>eneral government sector for 2024</w:t>
      </w:r>
      <w:r w:rsidRPr="00914117">
        <w:rPr>
          <w:rFonts w:cs="Arial"/>
          <w:szCs w:val="20"/>
        </w:rPr>
        <w:t xml:space="preserve"> has been revised compared to </w:t>
      </w:r>
      <w:r w:rsidR="00217CE2" w:rsidRPr="00914117">
        <w:rPr>
          <w:rFonts w:cs="Arial"/>
          <w:szCs w:val="20"/>
        </w:rPr>
        <w:t>the notification from April 2025</w:t>
      </w:r>
      <w:r w:rsidRPr="00914117">
        <w:rPr>
          <w:rFonts w:cs="Arial"/>
          <w:szCs w:val="20"/>
        </w:rPr>
        <w:t xml:space="preserve"> by </w:t>
      </w:r>
      <w:r w:rsidR="00080174">
        <w:rPr>
          <w:rFonts w:cs="Arial"/>
          <w:szCs w:val="20"/>
        </w:rPr>
        <w:t>+</w:t>
      </w:r>
      <w:r w:rsidRPr="00914117">
        <w:rPr>
          <w:rFonts w:cs="Arial"/>
          <w:szCs w:val="20"/>
        </w:rPr>
        <w:t>CZK </w:t>
      </w:r>
      <w:r w:rsidR="00217CE2" w:rsidRPr="00914117">
        <w:rPr>
          <w:rFonts w:cs="Arial"/>
          <w:szCs w:val="20"/>
        </w:rPr>
        <w:t>13.7</w:t>
      </w:r>
      <w:r w:rsidRPr="00914117">
        <w:rPr>
          <w:rFonts w:cs="Arial"/>
          <w:szCs w:val="20"/>
        </w:rPr>
        <w:t xml:space="preserve"> bn. </w:t>
      </w:r>
      <w:r w:rsidR="00817248" w:rsidRPr="00914117">
        <w:rPr>
          <w:rFonts w:cs="Arial"/>
          <w:szCs w:val="20"/>
        </w:rPr>
        <w:t xml:space="preserve">All subsectors of the general government sector improved, as follows: </w:t>
      </w:r>
      <w:r w:rsidRPr="00914117">
        <w:rPr>
          <w:rFonts w:cs="Arial"/>
          <w:szCs w:val="20"/>
        </w:rPr>
        <w:t xml:space="preserve">the central government sector balance </w:t>
      </w:r>
      <w:r w:rsidR="00817248" w:rsidRPr="00914117">
        <w:rPr>
          <w:rFonts w:cs="Arial"/>
          <w:szCs w:val="20"/>
        </w:rPr>
        <w:t>+CZK 7.5 </w:t>
      </w:r>
      <w:proofErr w:type="spellStart"/>
      <w:r w:rsidR="00817248" w:rsidRPr="00914117">
        <w:rPr>
          <w:rFonts w:cs="Arial"/>
          <w:szCs w:val="20"/>
        </w:rPr>
        <w:t>bn</w:t>
      </w:r>
      <w:proofErr w:type="spellEnd"/>
      <w:r w:rsidR="00817248" w:rsidRPr="00914117">
        <w:rPr>
          <w:rFonts w:cs="Arial"/>
          <w:szCs w:val="20"/>
        </w:rPr>
        <w:t>,</w:t>
      </w:r>
      <w:r w:rsidRPr="00914117">
        <w:rPr>
          <w:rFonts w:cs="Arial"/>
          <w:szCs w:val="20"/>
        </w:rPr>
        <w:t xml:space="preserve"> the local government sector balance </w:t>
      </w:r>
      <w:r w:rsidR="00817248" w:rsidRPr="00914117">
        <w:rPr>
          <w:rFonts w:cs="Arial"/>
          <w:szCs w:val="20"/>
        </w:rPr>
        <w:t>+CZK 4.2 </w:t>
      </w:r>
      <w:proofErr w:type="spellStart"/>
      <w:r w:rsidR="00817248" w:rsidRPr="00914117">
        <w:rPr>
          <w:rFonts w:cs="Arial"/>
          <w:szCs w:val="20"/>
        </w:rPr>
        <w:t>bn</w:t>
      </w:r>
      <w:proofErr w:type="spellEnd"/>
      <w:r w:rsidR="00817248" w:rsidRPr="00914117">
        <w:rPr>
          <w:rFonts w:cs="Arial"/>
          <w:szCs w:val="20"/>
        </w:rPr>
        <w:t xml:space="preserve">, and social security funds (of health insurance companies) +CZK 2.0 bn. </w:t>
      </w:r>
      <w:r w:rsidRPr="00914117">
        <w:rPr>
          <w:rFonts w:cs="Arial"/>
          <w:szCs w:val="20"/>
        </w:rPr>
        <w:t xml:space="preserve">The reduction in the deficit was mainly </w:t>
      </w:r>
      <w:r w:rsidR="004D0DE6" w:rsidRPr="00914117">
        <w:rPr>
          <w:rFonts w:cs="Arial"/>
          <w:szCs w:val="20"/>
        </w:rPr>
        <w:t>contributed to</w:t>
      </w:r>
      <w:r w:rsidRPr="00914117">
        <w:rPr>
          <w:rFonts w:cs="Arial"/>
          <w:szCs w:val="20"/>
        </w:rPr>
        <w:t xml:space="preserve"> by updated data on </w:t>
      </w:r>
      <w:r w:rsidR="004D0DE6" w:rsidRPr="00914117">
        <w:rPr>
          <w:rFonts w:cs="Arial"/>
          <w:szCs w:val="20"/>
        </w:rPr>
        <w:t xml:space="preserve">tax revenue from the </w:t>
      </w:r>
      <w:r w:rsidR="00EA5E08" w:rsidRPr="00914117">
        <w:rPr>
          <w:szCs w:val="20"/>
        </w:rPr>
        <w:t>corporate income tax</w:t>
      </w:r>
      <w:r w:rsidR="004D0DE6" w:rsidRPr="00914117">
        <w:rPr>
          <w:szCs w:val="20"/>
        </w:rPr>
        <w:t>.</w:t>
      </w:r>
    </w:p>
    <w:p w14:paraId="48644595" w14:textId="4D8A4E70" w:rsidR="0041674A" w:rsidRPr="00914117" w:rsidRDefault="0041674A" w:rsidP="0041674A">
      <w:pPr>
        <w:pStyle w:val="TabulkaGraf"/>
      </w:pPr>
    </w:p>
    <w:p w14:paraId="49CE4EDA" w14:textId="7357E769" w:rsidR="0041674A" w:rsidRPr="007E117A" w:rsidRDefault="008152E4" w:rsidP="0041674A">
      <w:pPr>
        <w:pStyle w:val="TabulkaGraf"/>
      </w:pPr>
      <w:r w:rsidRPr="00914117">
        <w:t xml:space="preserve">Tab. 1.1 </w:t>
      </w:r>
      <w:r w:rsidR="007F5EFE" w:rsidRPr="00914117">
        <w:rPr>
          <w:rFonts w:cs="Arial"/>
          <w:szCs w:val="20"/>
        </w:rPr>
        <w:t>Notification table of government deficit and debt, the Czech Republic</w:t>
      </w:r>
    </w:p>
    <w:tbl>
      <w:tblPr>
        <w:tblW w:w="8505" w:type="dxa"/>
        <w:tblLayout w:type="fixed"/>
        <w:tblCellMar>
          <w:left w:w="70" w:type="dxa"/>
          <w:right w:w="70" w:type="dxa"/>
        </w:tblCellMar>
        <w:tblLook w:val="04A0" w:firstRow="1" w:lastRow="0" w:firstColumn="1" w:lastColumn="0" w:noHBand="0" w:noVBand="1"/>
      </w:tblPr>
      <w:tblGrid>
        <w:gridCol w:w="2694"/>
        <w:gridCol w:w="1162"/>
        <w:gridCol w:w="1162"/>
        <w:gridCol w:w="1162"/>
        <w:gridCol w:w="1162"/>
        <w:gridCol w:w="1163"/>
      </w:tblGrid>
      <w:tr w:rsidR="008152E4" w:rsidRPr="008152E4" w14:paraId="0BCBE922" w14:textId="77777777" w:rsidTr="008152E4">
        <w:trPr>
          <w:trHeight w:val="315"/>
        </w:trPr>
        <w:tc>
          <w:tcPr>
            <w:tcW w:w="2694" w:type="dxa"/>
            <w:tcBorders>
              <w:top w:val="single" w:sz="8" w:space="0" w:color="auto"/>
              <w:left w:val="nil"/>
              <w:bottom w:val="single" w:sz="8" w:space="0" w:color="auto"/>
              <w:right w:val="single" w:sz="4" w:space="0" w:color="auto"/>
            </w:tcBorders>
            <w:shd w:val="clear" w:color="000000" w:fill="E3E2ED"/>
            <w:noWrap/>
            <w:vAlign w:val="center"/>
            <w:hideMark/>
          </w:tcPr>
          <w:p w14:paraId="6FAC7A01" w14:textId="77777777" w:rsidR="008152E4" w:rsidRPr="008152E4" w:rsidRDefault="008152E4" w:rsidP="008152E4">
            <w:pPr>
              <w:spacing w:line="240" w:lineRule="auto"/>
              <w:jc w:val="center"/>
              <w:rPr>
                <w:rFonts w:eastAsia="Times New Roman" w:cs="Arial"/>
                <w:sz w:val="16"/>
                <w:szCs w:val="16"/>
                <w:lang w:val="cs-CZ" w:eastAsia="cs-CZ"/>
              </w:rPr>
            </w:pPr>
            <w:r w:rsidRPr="008152E4">
              <w:rPr>
                <w:rFonts w:eastAsia="Times New Roman" w:cs="Arial"/>
                <w:sz w:val="16"/>
                <w:szCs w:val="16"/>
                <w:lang w:val="cs-CZ" w:eastAsia="cs-CZ"/>
              </w:rPr>
              <w:t> </w:t>
            </w:r>
          </w:p>
        </w:tc>
        <w:tc>
          <w:tcPr>
            <w:tcW w:w="1162" w:type="dxa"/>
            <w:tcBorders>
              <w:top w:val="single" w:sz="8" w:space="0" w:color="auto"/>
              <w:left w:val="nil"/>
              <w:bottom w:val="single" w:sz="8" w:space="0" w:color="auto"/>
              <w:right w:val="single" w:sz="4" w:space="0" w:color="auto"/>
            </w:tcBorders>
            <w:shd w:val="clear" w:color="000000" w:fill="E3E2ED"/>
            <w:vAlign w:val="center"/>
            <w:hideMark/>
          </w:tcPr>
          <w:p w14:paraId="46D1732C" w14:textId="77777777" w:rsidR="008152E4" w:rsidRPr="008152E4" w:rsidRDefault="008152E4" w:rsidP="008152E4">
            <w:pPr>
              <w:spacing w:line="240" w:lineRule="auto"/>
              <w:jc w:val="center"/>
              <w:rPr>
                <w:rFonts w:eastAsia="Times New Roman" w:cs="Arial"/>
                <w:i/>
                <w:iCs/>
                <w:sz w:val="16"/>
                <w:szCs w:val="16"/>
                <w:lang w:val="cs-CZ" w:eastAsia="cs-CZ"/>
              </w:rPr>
            </w:pPr>
            <w:r w:rsidRPr="008152E4">
              <w:rPr>
                <w:rFonts w:eastAsia="Times New Roman" w:cs="Arial"/>
                <w:i/>
                <w:iCs/>
                <w:sz w:val="16"/>
                <w:szCs w:val="16"/>
                <w:lang w:val="cs-CZ" w:eastAsia="cs-CZ"/>
              </w:rPr>
              <w:t>Unit</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6C3C2DBB" w14:textId="77777777" w:rsidR="008152E4" w:rsidRPr="008152E4" w:rsidRDefault="008152E4" w:rsidP="008152E4">
            <w:pPr>
              <w:spacing w:line="240" w:lineRule="auto"/>
              <w:jc w:val="center"/>
              <w:rPr>
                <w:rFonts w:eastAsia="Times New Roman" w:cs="Arial"/>
                <w:i/>
                <w:iCs/>
                <w:sz w:val="16"/>
                <w:szCs w:val="16"/>
                <w:lang w:val="cs-CZ" w:eastAsia="cs-CZ"/>
              </w:rPr>
            </w:pPr>
            <w:r w:rsidRPr="008152E4">
              <w:rPr>
                <w:rFonts w:eastAsia="Times New Roman" w:cs="Arial"/>
                <w:i/>
                <w:iCs/>
                <w:sz w:val="16"/>
                <w:szCs w:val="16"/>
                <w:lang w:val="cs-CZ" w:eastAsia="cs-CZ"/>
              </w:rPr>
              <w:t>2021</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5BB35B77" w14:textId="77777777" w:rsidR="008152E4" w:rsidRPr="008152E4" w:rsidRDefault="008152E4" w:rsidP="008152E4">
            <w:pPr>
              <w:spacing w:line="240" w:lineRule="auto"/>
              <w:jc w:val="center"/>
              <w:rPr>
                <w:rFonts w:eastAsia="Times New Roman" w:cs="Arial"/>
                <w:i/>
                <w:iCs/>
                <w:sz w:val="16"/>
                <w:szCs w:val="16"/>
                <w:lang w:val="cs-CZ" w:eastAsia="cs-CZ"/>
              </w:rPr>
            </w:pPr>
            <w:r w:rsidRPr="008152E4">
              <w:rPr>
                <w:rFonts w:eastAsia="Times New Roman" w:cs="Arial"/>
                <w:i/>
                <w:iCs/>
                <w:sz w:val="16"/>
                <w:szCs w:val="16"/>
                <w:lang w:val="cs-CZ" w:eastAsia="cs-CZ"/>
              </w:rPr>
              <w:t>2022</w:t>
            </w:r>
          </w:p>
        </w:tc>
        <w:tc>
          <w:tcPr>
            <w:tcW w:w="1162" w:type="dxa"/>
            <w:tcBorders>
              <w:top w:val="single" w:sz="8" w:space="0" w:color="auto"/>
              <w:left w:val="nil"/>
              <w:bottom w:val="single" w:sz="8" w:space="0" w:color="auto"/>
              <w:right w:val="single" w:sz="4" w:space="0" w:color="auto"/>
            </w:tcBorders>
            <w:shd w:val="clear" w:color="000000" w:fill="E3E2ED"/>
            <w:noWrap/>
            <w:vAlign w:val="center"/>
            <w:hideMark/>
          </w:tcPr>
          <w:p w14:paraId="0AC8B9E1" w14:textId="77777777" w:rsidR="008152E4" w:rsidRPr="008152E4" w:rsidRDefault="008152E4" w:rsidP="008152E4">
            <w:pPr>
              <w:spacing w:line="240" w:lineRule="auto"/>
              <w:jc w:val="center"/>
              <w:rPr>
                <w:rFonts w:eastAsia="Times New Roman" w:cs="Arial"/>
                <w:i/>
                <w:iCs/>
                <w:sz w:val="16"/>
                <w:szCs w:val="16"/>
                <w:lang w:val="cs-CZ" w:eastAsia="cs-CZ"/>
              </w:rPr>
            </w:pPr>
            <w:r w:rsidRPr="008152E4">
              <w:rPr>
                <w:rFonts w:eastAsia="Times New Roman" w:cs="Arial"/>
                <w:i/>
                <w:iCs/>
                <w:sz w:val="16"/>
                <w:szCs w:val="16"/>
                <w:lang w:val="cs-CZ" w:eastAsia="cs-CZ"/>
              </w:rPr>
              <w:t>2023</w:t>
            </w:r>
          </w:p>
        </w:tc>
        <w:tc>
          <w:tcPr>
            <w:tcW w:w="1163" w:type="dxa"/>
            <w:tcBorders>
              <w:top w:val="single" w:sz="8" w:space="0" w:color="auto"/>
              <w:left w:val="nil"/>
              <w:bottom w:val="single" w:sz="8" w:space="0" w:color="auto"/>
              <w:right w:val="nil"/>
            </w:tcBorders>
            <w:shd w:val="clear" w:color="000000" w:fill="E3E2ED"/>
            <w:noWrap/>
            <w:vAlign w:val="center"/>
            <w:hideMark/>
          </w:tcPr>
          <w:p w14:paraId="518F9174" w14:textId="77777777" w:rsidR="008152E4" w:rsidRPr="008152E4" w:rsidRDefault="008152E4" w:rsidP="008152E4">
            <w:pPr>
              <w:spacing w:line="240" w:lineRule="auto"/>
              <w:jc w:val="center"/>
              <w:rPr>
                <w:rFonts w:eastAsia="Times New Roman" w:cs="Arial"/>
                <w:i/>
                <w:iCs/>
                <w:sz w:val="16"/>
                <w:szCs w:val="16"/>
                <w:lang w:val="cs-CZ" w:eastAsia="cs-CZ"/>
              </w:rPr>
            </w:pPr>
            <w:r w:rsidRPr="008152E4">
              <w:rPr>
                <w:rFonts w:eastAsia="Times New Roman" w:cs="Arial"/>
                <w:i/>
                <w:iCs/>
                <w:sz w:val="16"/>
                <w:szCs w:val="16"/>
                <w:lang w:val="cs-CZ" w:eastAsia="cs-CZ"/>
              </w:rPr>
              <w:t>2024</w:t>
            </w:r>
          </w:p>
        </w:tc>
      </w:tr>
      <w:tr w:rsidR="008152E4" w:rsidRPr="008152E4" w14:paraId="052F18D9" w14:textId="77777777" w:rsidTr="008152E4">
        <w:trPr>
          <w:trHeight w:val="450"/>
        </w:trPr>
        <w:tc>
          <w:tcPr>
            <w:tcW w:w="2694" w:type="dxa"/>
            <w:tcBorders>
              <w:top w:val="nil"/>
              <w:left w:val="nil"/>
              <w:bottom w:val="nil"/>
              <w:right w:val="single" w:sz="4" w:space="0" w:color="auto"/>
            </w:tcBorders>
            <w:shd w:val="clear" w:color="auto" w:fill="auto"/>
            <w:vAlign w:val="bottom"/>
            <w:hideMark/>
          </w:tcPr>
          <w:p w14:paraId="28BB7699" w14:textId="77777777" w:rsidR="008152E4" w:rsidRPr="008152E4" w:rsidRDefault="008152E4" w:rsidP="008152E4">
            <w:pPr>
              <w:spacing w:line="240" w:lineRule="auto"/>
              <w:jc w:val="left"/>
              <w:rPr>
                <w:rFonts w:eastAsia="Times New Roman" w:cs="Arial"/>
                <w:i/>
                <w:iCs/>
                <w:color w:val="000000"/>
                <w:sz w:val="16"/>
                <w:szCs w:val="16"/>
                <w:lang w:eastAsia="cs-CZ"/>
              </w:rPr>
            </w:pPr>
            <w:r w:rsidRPr="008152E4">
              <w:rPr>
                <w:rFonts w:eastAsia="Times New Roman" w:cs="Arial"/>
                <w:i/>
                <w:iCs/>
                <w:color w:val="000000"/>
                <w:sz w:val="16"/>
                <w:szCs w:val="16"/>
                <w:lang w:eastAsia="cs-CZ"/>
              </w:rPr>
              <w:t>Net borrowing/lending of general government</w:t>
            </w:r>
          </w:p>
        </w:tc>
        <w:tc>
          <w:tcPr>
            <w:tcW w:w="1162" w:type="dxa"/>
            <w:tcBorders>
              <w:top w:val="nil"/>
              <w:left w:val="nil"/>
              <w:bottom w:val="nil"/>
              <w:right w:val="single" w:sz="4" w:space="0" w:color="auto"/>
            </w:tcBorders>
            <w:shd w:val="clear" w:color="auto" w:fill="auto"/>
            <w:noWrap/>
            <w:vAlign w:val="bottom"/>
            <w:hideMark/>
          </w:tcPr>
          <w:p w14:paraId="3AC19CBB"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CZK mill.</w:t>
            </w:r>
          </w:p>
        </w:tc>
        <w:tc>
          <w:tcPr>
            <w:tcW w:w="1162" w:type="dxa"/>
            <w:tcBorders>
              <w:top w:val="nil"/>
              <w:left w:val="nil"/>
              <w:bottom w:val="nil"/>
              <w:right w:val="single" w:sz="4" w:space="0" w:color="auto"/>
            </w:tcBorders>
            <w:shd w:val="clear" w:color="auto" w:fill="auto"/>
            <w:noWrap/>
            <w:vAlign w:val="bottom"/>
            <w:hideMark/>
          </w:tcPr>
          <w:p w14:paraId="30A680E9"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-312 308 </w:t>
            </w:r>
          </w:p>
        </w:tc>
        <w:tc>
          <w:tcPr>
            <w:tcW w:w="1162" w:type="dxa"/>
            <w:tcBorders>
              <w:top w:val="nil"/>
              <w:left w:val="nil"/>
              <w:bottom w:val="nil"/>
              <w:right w:val="single" w:sz="4" w:space="0" w:color="auto"/>
            </w:tcBorders>
            <w:shd w:val="clear" w:color="auto" w:fill="auto"/>
            <w:noWrap/>
            <w:vAlign w:val="bottom"/>
            <w:hideMark/>
          </w:tcPr>
          <w:p w14:paraId="7EAC2F5A"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-216 345 </w:t>
            </w:r>
          </w:p>
        </w:tc>
        <w:tc>
          <w:tcPr>
            <w:tcW w:w="1162" w:type="dxa"/>
            <w:tcBorders>
              <w:top w:val="nil"/>
              <w:left w:val="nil"/>
              <w:bottom w:val="nil"/>
              <w:right w:val="single" w:sz="4" w:space="0" w:color="auto"/>
            </w:tcBorders>
            <w:shd w:val="clear" w:color="auto" w:fill="auto"/>
            <w:noWrap/>
            <w:vAlign w:val="bottom"/>
            <w:hideMark/>
          </w:tcPr>
          <w:p w14:paraId="2EA17F31"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-286 066 </w:t>
            </w:r>
          </w:p>
        </w:tc>
        <w:tc>
          <w:tcPr>
            <w:tcW w:w="1163" w:type="dxa"/>
            <w:tcBorders>
              <w:top w:val="nil"/>
              <w:left w:val="nil"/>
              <w:bottom w:val="nil"/>
              <w:right w:val="nil"/>
            </w:tcBorders>
            <w:shd w:val="clear" w:color="auto" w:fill="auto"/>
            <w:noWrap/>
            <w:vAlign w:val="bottom"/>
            <w:hideMark/>
          </w:tcPr>
          <w:p w14:paraId="04993912"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-163 487 </w:t>
            </w:r>
          </w:p>
        </w:tc>
      </w:tr>
      <w:tr w:rsidR="008152E4" w:rsidRPr="008152E4" w14:paraId="78A95A3D" w14:textId="77777777" w:rsidTr="008152E4">
        <w:trPr>
          <w:trHeight w:val="450"/>
        </w:trPr>
        <w:tc>
          <w:tcPr>
            <w:tcW w:w="2694" w:type="dxa"/>
            <w:tcBorders>
              <w:top w:val="nil"/>
              <w:left w:val="nil"/>
              <w:bottom w:val="nil"/>
              <w:right w:val="single" w:sz="4" w:space="0" w:color="auto"/>
            </w:tcBorders>
            <w:shd w:val="clear" w:color="auto" w:fill="auto"/>
            <w:vAlign w:val="bottom"/>
            <w:hideMark/>
          </w:tcPr>
          <w:p w14:paraId="7AD8DDDF" w14:textId="77777777" w:rsidR="008152E4" w:rsidRPr="008152E4" w:rsidRDefault="008152E4" w:rsidP="008152E4">
            <w:pPr>
              <w:spacing w:line="240" w:lineRule="auto"/>
              <w:jc w:val="left"/>
              <w:rPr>
                <w:rFonts w:eastAsia="Times New Roman" w:cs="Arial"/>
                <w:i/>
                <w:iCs/>
                <w:color w:val="000000"/>
                <w:sz w:val="16"/>
                <w:szCs w:val="16"/>
                <w:lang w:eastAsia="cs-CZ"/>
              </w:rPr>
            </w:pPr>
            <w:r w:rsidRPr="008152E4">
              <w:rPr>
                <w:rFonts w:eastAsia="Times New Roman" w:cs="Arial"/>
                <w:i/>
                <w:iCs/>
                <w:color w:val="000000"/>
                <w:sz w:val="16"/>
                <w:szCs w:val="16"/>
                <w:lang w:eastAsia="cs-CZ"/>
              </w:rPr>
              <w:t>General government consolidated gross debt</w:t>
            </w:r>
          </w:p>
        </w:tc>
        <w:tc>
          <w:tcPr>
            <w:tcW w:w="1162" w:type="dxa"/>
            <w:tcBorders>
              <w:top w:val="nil"/>
              <w:left w:val="nil"/>
              <w:bottom w:val="nil"/>
              <w:right w:val="single" w:sz="4" w:space="0" w:color="auto"/>
            </w:tcBorders>
            <w:shd w:val="clear" w:color="auto" w:fill="auto"/>
            <w:noWrap/>
            <w:vAlign w:val="bottom"/>
            <w:hideMark/>
          </w:tcPr>
          <w:p w14:paraId="6CC4B82F"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CZK mill.</w:t>
            </w:r>
          </w:p>
        </w:tc>
        <w:tc>
          <w:tcPr>
            <w:tcW w:w="1162" w:type="dxa"/>
            <w:tcBorders>
              <w:top w:val="nil"/>
              <w:left w:val="nil"/>
              <w:bottom w:val="nil"/>
              <w:right w:val="single" w:sz="4" w:space="0" w:color="auto"/>
            </w:tcBorders>
            <w:shd w:val="clear" w:color="auto" w:fill="auto"/>
            <w:noWrap/>
            <w:vAlign w:val="bottom"/>
            <w:hideMark/>
          </w:tcPr>
          <w:p w14:paraId="51DACCCC"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2 566 752 </w:t>
            </w:r>
          </w:p>
        </w:tc>
        <w:tc>
          <w:tcPr>
            <w:tcW w:w="1162" w:type="dxa"/>
            <w:tcBorders>
              <w:top w:val="nil"/>
              <w:left w:val="nil"/>
              <w:bottom w:val="nil"/>
              <w:right w:val="single" w:sz="4" w:space="0" w:color="auto"/>
            </w:tcBorders>
            <w:shd w:val="clear" w:color="auto" w:fill="auto"/>
            <w:noWrap/>
            <w:vAlign w:val="bottom"/>
            <w:hideMark/>
          </w:tcPr>
          <w:p w14:paraId="51EF9356"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2 997 632 </w:t>
            </w:r>
          </w:p>
        </w:tc>
        <w:tc>
          <w:tcPr>
            <w:tcW w:w="1162" w:type="dxa"/>
            <w:tcBorders>
              <w:top w:val="nil"/>
              <w:left w:val="nil"/>
              <w:bottom w:val="nil"/>
              <w:right w:val="single" w:sz="4" w:space="0" w:color="auto"/>
            </w:tcBorders>
            <w:shd w:val="clear" w:color="auto" w:fill="auto"/>
            <w:noWrap/>
            <w:vAlign w:val="bottom"/>
            <w:hideMark/>
          </w:tcPr>
          <w:p w14:paraId="6EF4334A"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3 234 102 </w:t>
            </w:r>
          </w:p>
        </w:tc>
        <w:tc>
          <w:tcPr>
            <w:tcW w:w="1163" w:type="dxa"/>
            <w:tcBorders>
              <w:top w:val="nil"/>
              <w:left w:val="nil"/>
              <w:bottom w:val="nil"/>
              <w:right w:val="nil"/>
            </w:tcBorders>
            <w:shd w:val="clear" w:color="auto" w:fill="auto"/>
            <w:noWrap/>
            <w:vAlign w:val="bottom"/>
            <w:hideMark/>
          </w:tcPr>
          <w:p w14:paraId="2960910D"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 xml:space="preserve">3 488 471 </w:t>
            </w:r>
          </w:p>
        </w:tc>
      </w:tr>
      <w:tr w:rsidR="008152E4" w:rsidRPr="008152E4" w14:paraId="54C23C5D" w14:textId="77777777" w:rsidTr="008152E4">
        <w:trPr>
          <w:trHeight w:val="450"/>
        </w:trPr>
        <w:tc>
          <w:tcPr>
            <w:tcW w:w="2694" w:type="dxa"/>
            <w:tcBorders>
              <w:top w:val="nil"/>
              <w:left w:val="nil"/>
              <w:bottom w:val="nil"/>
              <w:right w:val="single" w:sz="4" w:space="0" w:color="auto"/>
            </w:tcBorders>
            <w:shd w:val="clear" w:color="auto" w:fill="auto"/>
            <w:vAlign w:val="bottom"/>
            <w:hideMark/>
          </w:tcPr>
          <w:p w14:paraId="13F7D10C" w14:textId="77777777" w:rsidR="008152E4" w:rsidRPr="008152E4" w:rsidRDefault="008152E4" w:rsidP="008152E4">
            <w:pPr>
              <w:spacing w:line="240" w:lineRule="auto"/>
              <w:jc w:val="left"/>
              <w:rPr>
                <w:rFonts w:eastAsia="Times New Roman" w:cs="Arial"/>
                <w:i/>
                <w:iCs/>
                <w:color w:val="000000"/>
                <w:sz w:val="16"/>
                <w:szCs w:val="16"/>
                <w:lang w:eastAsia="cs-CZ"/>
              </w:rPr>
            </w:pPr>
            <w:r w:rsidRPr="008152E4">
              <w:rPr>
                <w:rFonts w:eastAsia="Times New Roman" w:cs="Arial"/>
                <w:i/>
                <w:iCs/>
                <w:color w:val="000000"/>
                <w:sz w:val="16"/>
                <w:szCs w:val="16"/>
                <w:lang w:eastAsia="cs-CZ"/>
              </w:rPr>
              <w:t>Net borrowing/lending of general government as % of GDP</w:t>
            </w:r>
          </w:p>
        </w:tc>
        <w:tc>
          <w:tcPr>
            <w:tcW w:w="1162" w:type="dxa"/>
            <w:tcBorders>
              <w:top w:val="nil"/>
              <w:left w:val="nil"/>
              <w:bottom w:val="nil"/>
              <w:right w:val="single" w:sz="4" w:space="0" w:color="auto"/>
            </w:tcBorders>
            <w:shd w:val="clear" w:color="auto" w:fill="auto"/>
            <w:noWrap/>
            <w:vAlign w:val="bottom"/>
            <w:hideMark/>
          </w:tcPr>
          <w:p w14:paraId="251B68A4"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w:t>
            </w:r>
          </w:p>
        </w:tc>
        <w:tc>
          <w:tcPr>
            <w:tcW w:w="1162" w:type="dxa"/>
            <w:tcBorders>
              <w:top w:val="nil"/>
              <w:left w:val="nil"/>
              <w:bottom w:val="nil"/>
              <w:right w:val="single" w:sz="4" w:space="0" w:color="auto"/>
            </w:tcBorders>
            <w:shd w:val="clear" w:color="auto" w:fill="auto"/>
            <w:noWrap/>
            <w:vAlign w:val="bottom"/>
            <w:hideMark/>
          </w:tcPr>
          <w:p w14:paraId="278A26A8" w14:textId="11BEEF12"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-5.0 </w:t>
            </w:r>
          </w:p>
        </w:tc>
        <w:tc>
          <w:tcPr>
            <w:tcW w:w="1162" w:type="dxa"/>
            <w:tcBorders>
              <w:top w:val="nil"/>
              <w:left w:val="nil"/>
              <w:bottom w:val="nil"/>
              <w:right w:val="single" w:sz="4" w:space="0" w:color="auto"/>
            </w:tcBorders>
            <w:shd w:val="clear" w:color="auto" w:fill="auto"/>
            <w:noWrap/>
            <w:vAlign w:val="bottom"/>
            <w:hideMark/>
          </w:tcPr>
          <w:p w14:paraId="79F9D504" w14:textId="6D9971F8"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-3.1 </w:t>
            </w:r>
          </w:p>
        </w:tc>
        <w:tc>
          <w:tcPr>
            <w:tcW w:w="1162" w:type="dxa"/>
            <w:tcBorders>
              <w:top w:val="nil"/>
              <w:left w:val="nil"/>
              <w:bottom w:val="nil"/>
              <w:right w:val="single" w:sz="4" w:space="0" w:color="auto"/>
            </w:tcBorders>
            <w:shd w:val="clear" w:color="auto" w:fill="auto"/>
            <w:noWrap/>
            <w:vAlign w:val="bottom"/>
            <w:hideMark/>
          </w:tcPr>
          <w:p w14:paraId="006E006E" w14:textId="12603CC6"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-3.7 </w:t>
            </w:r>
          </w:p>
        </w:tc>
        <w:tc>
          <w:tcPr>
            <w:tcW w:w="1163" w:type="dxa"/>
            <w:tcBorders>
              <w:top w:val="nil"/>
              <w:left w:val="nil"/>
              <w:bottom w:val="nil"/>
              <w:right w:val="nil"/>
            </w:tcBorders>
            <w:shd w:val="clear" w:color="auto" w:fill="auto"/>
            <w:noWrap/>
            <w:vAlign w:val="bottom"/>
            <w:hideMark/>
          </w:tcPr>
          <w:p w14:paraId="171326BF" w14:textId="043C0683"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-2.0 </w:t>
            </w:r>
          </w:p>
        </w:tc>
      </w:tr>
      <w:tr w:rsidR="008152E4" w:rsidRPr="008152E4" w14:paraId="72AB2641" w14:textId="77777777" w:rsidTr="008152E4">
        <w:trPr>
          <w:trHeight w:val="450"/>
        </w:trPr>
        <w:tc>
          <w:tcPr>
            <w:tcW w:w="2694" w:type="dxa"/>
            <w:tcBorders>
              <w:top w:val="nil"/>
              <w:left w:val="nil"/>
              <w:bottom w:val="nil"/>
              <w:right w:val="single" w:sz="4" w:space="0" w:color="auto"/>
            </w:tcBorders>
            <w:shd w:val="clear" w:color="auto" w:fill="auto"/>
            <w:vAlign w:val="bottom"/>
            <w:hideMark/>
          </w:tcPr>
          <w:p w14:paraId="3A928BFF" w14:textId="77777777" w:rsidR="008152E4" w:rsidRPr="008152E4" w:rsidRDefault="008152E4" w:rsidP="008152E4">
            <w:pPr>
              <w:spacing w:line="240" w:lineRule="auto"/>
              <w:jc w:val="left"/>
              <w:rPr>
                <w:rFonts w:eastAsia="Times New Roman" w:cs="Arial"/>
                <w:i/>
                <w:iCs/>
                <w:color w:val="000000"/>
                <w:sz w:val="16"/>
                <w:szCs w:val="16"/>
                <w:lang w:eastAsia="cs-CZ"/>
              </w:rPr>
            </w:pPr>
            <w:r w:rsidRPr="008152E4">
              <w:rPr>
                <w:rFonts w:eastAsia="Times New Roman" w:cs="Arial"/>
                <w:i/>
                <w:iCs/>
                <w:color w:val="000000"/>
                <w:sz w:val="16"/>
                <w:szCs w:val="16"/>
                <w:lang w:eastAsia="cs-CZ"/>
              </w:rPr>
              <w:t>General government consolidated gross debt as % of GDP</w:t>
            </w:r>
          </w:p>
        </w:tc>
        <w:tc>
          <w:tcPr>
            <w:tcW w:w="1162" w:type="dxa"/>
            <w:tcBorders>
              <w:top w:val="nil"/>
              <w:left w:val="nil"/>
              <w:bottom w:val="nil"/>
              <w:right w:val="single" w:sz="4" w:space="0" w:color="auto"/>
            </w:tcBorders>
            <w:shd w:val="clear" w:color="auto" w:fill="auto"/>
            <w:noWrap/>
            <w:vAlign w:val="bottom"/>
            <w:hideMark/>
          </w:tcPr>
          <w:p w14:paraId="23118D74" w14:textId="77777777" w:rsidR="008152E4" w:rsidRPr="008152E4" w:rsidRDefault="008152E4" w:rsidP="008152E4">
            <w:pPr>
              <w:spacing w:line="240" w:lineRule="auto"/>
              <w:jc w:val="right"/>
              <w:rPr>
                <w:rFonts w:eastAsia="Times New Roman" w:cs="Arial"/>
                <w:i/>
                <w:iCs/>
                <w:color w:val="000000"/>
                <w:sz w:val="16"/>
                <w:szCs w:val="16"/>
                <w:lang w:eastAsia="cs-CZ"/>
              </w:rPr>
            </w:pPr>
            <w:r w:rsidRPr="008152E4">
              <w:rPr>
                <w:rFonts w:eastAsia="Times New Roman" w:cs="Arial"/>
                <w:i/>
                <w:iCs/>
                <w:color w:val="000000"/>
                <w:sz w:val="16"/>
                <w:szCs w:val="16"/>
                <w:lang w:eastAsia="cs-CZ"/>
              </w:rPr>
              <w:t>%</w:t>
            </w:r>
          </w:p>
        </w:tc>
        <w:tc>
          <w:tcPr>
            <w:tcW w:w="1162" w:type="dxa"/>
            <w:tcBorders>
              <w:top w:val="nil"/>
              <w:left w:val="nil"/>
              <w:bottom w:val="nil"/>
              <w:right w:val="single" w:sz="4" w:space="0" w:color="auto"/>
            </w:tcBorders>
            <w:shd w:val="clear" w:color="auto" w:fill="auto"/>
            <w:noWrap/>
            <w:vAlign w:val="bottom"/>
            <w:hideMark/>
          </w:tcPr>
          <w:p w14:paraId="736C707B" w14:textId="6298B6B7"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40.7 </w:t>
            </w:r>
          </w:p>
        </w:tc>
        <w:tc>
          <w:tcPr>
            <w:tcW w:w="1162" w:type="dxa"/>
            <w:tcBorders>
              <w:top w:val="nil"/>
              <w:left w:val="nil"/>
              <w:bottom w:val="nil"/>
              <w:right w:val="single" w:sz="4" w:space="0" w:color="auto"/>
            </w:tcBorders>
            <w:shd w:val="clear" w:color="auto" w:fill="auto"/>
            <w:noWrap/>
            <w:vAlign w:val="bottom"/>
            <w:hideMark/>
          </w:tcPr>
          <w:p w14:paraId="22241A9E" w14:textId="6527122D"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42.5 </w:t>
            </w:r>
          </w:p>
        </w:tc>
        <w:tc>
          <w:tcPr>
            <w:tcW w:w="1162" w:type="dxa"/>
            <w:tcBorders>
              <w:top w:val="nil"/>
              <w:left w:val="nil"/>
              <w:bottom w:val="nil"/>
              <w:right w:val="single" w:sz="4" w:space="0" w:color="auto"/>
            </w:tcBorders>
            <w:shd w:val="clear" w:color="auto" w:fill="auto"/>
            <w:noWrap/>
            <w:vAlign w:val="bottom"/>
            <w:hideMark/>
          </w:tcPr>
          <w:p w14:paraId="5E1DE3A8" w14:textId="0D20ACF2"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42.2 </w:t>
            </w:r>
          </w:p>
        </w:tc>
        <w:tc>
          <w:tcPr>
            <w:tcW w:w="1163" w:type="dxa"/>
            <w:tcBorders>
              <w:top w:val="nil"/>
              <w:left w:val="nil"/>
              <w:bottom w:val="nil"/>
              <w:right w:val="nil"/>
            </w:tcBorders>
            <w:shd w:val="clear" w:color="auto" w:fill="auto"/>
            <w:noWrap/>
            <w:vAlign w:val="bottom"/>
            <w:hideMark/>
          </w:tcPr>
          <w:p w14:paraId="3BB39014" w14:textId="056B8FE3" w:rsidR="008152E4" w:rsidRPr="008152E4" w:rsidRDefault="008152E4" w:rsidP="008152E4">
            <w:pPr>
              <w:spacing w:line="240" w:lineRule="auto"/>
              <w:jc w:val="right"/>
              <w:rPr>
                <w:rFonts w:eastAsia="Times New Roman" w:cs="Arial"/>
                <w:i/>
                <w:iCs/>
                <w:color w:val="000000"/>
                <w:sz w:val="16"/>
                <w:szCs w:val="16"/>
                <w:lang w:eastAsia="cs-CZ"/>
              </w:rPr>
            </w:pPr>
            <w:r>
              <w:rPr>
                <w:rFonts w:cs="Arial"/>
                <w:i/>
                <w:iCs/>
                <w:color w:val="000000"/>
                <w:sz w:val="16"/>
                <w:szCs w:val="16"/>
              </w:rPr>
              <w:t xml:space="preserve">43.3 </w:t>
            </w:r>
          </w:p>
        </w:tc>
      </w:tr>
    </w:tbl>
    <w:p w14:paraId="423D0351" w14:textId="77777777" w:rsidR="0041674A" w:rsidRPr="008152E4" w:rsidRDefault="0041674A" w:rsidP="0041674A">
      <w:pPr>
        <w:rPr>
          <w:rFonts w:cs="Arial"/>
          <w:szCs w:val="20"/>
        </w:rPr>
      </w:pPr>
    </w:p>
    <w:p w14:paraId="39B50548" w14:textId="77777777" w:rsidR="0041674A" w:rsidRPr="007E117A" w:rsidRDefault="0041674A" w:rsidP="0041674A">
      <w:pPr>
        <w:rPr>
          <w:rFonts w:cs="Arial"/>
          <w:szCs w:val="20"/>
        </w:rPr>
      </w:pPr>
    </w:p>
    <w:p w14:paraId="4B67AD2C" w14:textId="4647A80C" w:rsidR="00C179C9" w:rsidRDefault="00C179C9" w:rsidP="008152E4">
      <w:pPr>
        <w:rPr>
          <w:rFonts w:cs="Arial"/>
          <w:szCs w:val="20"/>
        </w:rPr>
      </w:pPr>
    </w:p>
    <w:p w14:paraId="592EC045" w14:textId="0F675374" w:rsidR="00DD276D" w:rsidRDefault="00C179C9" w:rsidP="008152E4">
      <w:pPr>
        <w:rPr>
          <w:rFonts w:cs="Arial"/>
          <w:szCs w:val="20"/>
        </w:rPr>
      </w:pPr>
      <w:r w:rsidRPr="00914117">
        <w:rPr>
          <w:rFonts w:cs="Arial"/>
          <w:szCs w:val="20"/>
        </w:rPr>
        <w:t xml:space="preserve">The total general government </w:t>
      </w:r>
      <w:r w:rsidR="004D0DE6" w:rsidRPr="00914117">
        <w:rPr>
          <w:rFonts w:cs="Arial"/>
          <w:szCs w:val="20"/>
        </w:rPr>
        <w:t>sector revenue increased in 2024 by 7.5</w:t>
      </w:r>
      <w:r w:rsidR="00A6755E">
        <w:rPr>
          <w:rFonts w:cs="Arial"/>
          <w:szCs w:val="20"/>
        </w:rPr>
        <w:t>%, y-o-y, which</w:t>
      </w:r>
      <w:r w:rsidRPr="00914117">
        <w:rPr>
          <w:rFonts w:cs="Arial"/>
          <w:szCs w:val="20"/>
        </w:rPr>
        <w:t xml:space="preserve"> was an increase by CZK 2</w:t>
      </w:r>
      <w:r w:rsidR="004D0DE6" w:rsidRPr="00914117">
        <w:rPr>
          <w:rFonts w:cs="Arial"/>
          <w:szCs w:val="20"/>
        </w:rPr>
        <w:t>29.7</w:t>
      </w:r>
      <w:r w:rsidRPr="00914117">
        <w:rPr>
          <w:rFonts w:cs="Arial"/>
          <w:szCs w:val="20"/>
        </w:rPr>
        <w:t> </w:t>
      </w:r>
      <w:proofErr w:type="spellStart"/>
      <w:r w:rsidRPr="00914117">
        <w:rPr>
          <w:rFonts w:cs="Arial"/>
          <w:szCs w:val="20"/>
        </w:rPr>
        <w:t>bn</w:t>
      </w:r>
      <w:proofErr w:type="spellEnd"/>
      <w:r w:rsidR="00A6755E" w:rsidRPr="00A6755E">
        <w:rPr>
          <w:rFonts w:cs="Arial"/>
          <w:szCs w:val="20"/>
        </w:rPr>
        <w:t xml:space="preserve"> </w:t>
      </w:r>
      <w:r w:rsidR="00A6755E" w:rsidRPr="00914117">
        <w:rPr>
          <w:rFonts w:cs="Arial"/>
          <w:szCs w:val="20"/>
        </w:rPr>
        <w:t>in absolute terms</w:t>
      </w:r>
      <w:r w:rsidRPr="00914117">
        <w:rPr>
          <w:rFonts w:cs="Arial"/>
          <w:szCs w:val="20"/>
        </w:rPr>
        <w:t>.</w:t>
      </w:r>
      <w:r w:rsidR="00FC3889" w:rsidRPr="00914117">
        <w:rPr>
          <w:rFonts w:cs="Arial"/>
          <w:szCs w:val="20"/>
        </w:rPr>
        <w:t xml:space="preserve"> Received</w:t>
      </w:r>
      <w:r w:rsidRPr="00914117">
        <w:rPr>
          <w:rFonts w:cs="Arial"/>
          <w:szCs w:val="20"/>
        </w:rPr>
        <w:t xml:space="preserve"> social contributions</w:t>
      </w:r>
      <w:r w:rsidR="00DD276D" w:rsidRPr="00914117">
        <w:rPr>
          <w:rFonts w:cs="Arial"/>
          <w:szCs w:val="20"/>
        </w:rPr>
        <w:t>,</w:t>
      </w:r>
      <w:r w:rsidR="00FC3889" w:rsidRPr="00914117">
        <w:rPr>
          <w:rFonts w:cs="Arial"/>
          <w:szCs w:val="20"/>
        </w:rPr>
        <w:t xml:space="preserve"> revenue</w:t>
      </w:r>
      <w:r w:rsidR="00DD276D" w:rsidRPr="00914117">
        <w:rPr>
          <w:rFonts w:cs="Arial"/>
          <w:szCs w:val="20"/>
        </w:rPr>
        <w:t xml:space="preserve"> from </w:t>
      </w:r>
      <w:r w:rsidRPr="00914117">
        <w:rPr>
          <w:rFonts w:cs="Arial"/>
          <w:szCs w:val="20"/>
        </w:rPr>
        <w:t>income taxes</w:t>
      </w:r>
      <w:r w:rsidR="00FC3889" w:rsidRPr="00914117">
        <w:rPr>
          <w:rFonts w:cs="Arial"/>
          <w:szCs w:val="20"/>
        </w:rPr>
        <w:t xml:space="preserve"> </w:t>
      </w:r>
      <w:r w:rsidR="00DD276D" w:rsidRPr="00914117">
        <w:rPr>
          <w:rFonts w:cs="Arial"/>
          <w:szCs w:val="20"/>
        </w:rPr>
        <w:t xml:space="preserve">and from taxes on production and imports </w:t>
      </w:r>
      <w:r w:rsidRPr="00914117">
        <w:rPr>
          <w:rFonts w:cs="Arial"/>
          <w:szCs w:val="20"/>
        </w:rPr>
        <w:t>were increasing the most</w:t>
      </w:r>
      <w:r w:rsidR="00DD276D" w:rsidRPr="00914117">
        <w:rPr>
          <w:rFonts w:cs="Arial"/>
          <w:szCs w:val="20"/>
        </w:rPr>
        <w:t>.</w:t>
      </w:r>
    </w:p>
    <w:p w14:paraId="7E2C28B7" w14:textId="77777777" w:rsidR="005648DB" w:rsidRDefault="005648DB" w:rsidP="008152E4">
      <w:pPr>
        <w:rPr>
          <w:rFonts w:cs="Arial"/>
          <w:szCs w:val="20"/>
          <w:highlight w:val="cyan"/>
        </w:rPr>
      </w:pPr>
    </w:p>
    <w:p w14:paraId="448FFF73" w14:textId="6CFB4252" w:rsidR="00C179C9" w:rsidRPr="00914117" w:rsidRDefault="00C179C9" w:rsidP="008152E4">
      <w:pPr>
        <w:rPr>
          <w:rFonts w:cs="Arial"/>
          <w:szCs w:val="20"/>
        </w:rPr>
      </w:pPr>
      <w:r w:rsidRPr="00914117">
        <w:rPr>
          <w:rFonts w:cs="Arial"/>
          <w:szCs w:val="20"/>
        </w:rPr>
        <w:lastRenderedPageBreak/>
        <w:t>The total general government sect</w:t>
      </w:r>
      <w:r w:rsidR="005648DB" w:rsidRPr="00914117">
        <w:rPr>
          <w:rFonts w:cs="Arial"/>
          <w:szCs w:val="20"/>
        </w:rPr>
        <w:t>or expenditure increased in 2024 by 3.2%, y-o-y, i.e. by CZK 107.1</w:t>
      </w:r>
      <w:r w:rsidRPr="00914117">
        <w:rPr>
          <w:rFonts w:cs="Arial"/>
          <w:szCs w:val="20"/>
        </w:rPr>
        <w:t xml:space="preserve"> bn. </w:t>
      </w:r>
      <w:r w:rsidR="005648DB" w:rsidRPr="00914117">
        <w:rPr>
          <w:rFonts w:cs="Arial"/>
          <w:szCs w:val="20"/>
        </w:rPr>
        <w:t>The biggest increase was recorded for social benefits paid. On the other hand, the biggest</w:t>
      </w:r>
      <w:r w:rsidRPr="00914117">
        <w:rPr>
          <w:rFonts w:cs="Arial"/>
          <w:szCs w:val="20"/>
        </w:rPr>
        <w:t xml:space="preserve"> decrease was recorded in subsidies.</w:t>
      </w:r>
    </w:p>
    <w:p w14:paraId="5735D246" w14:textId="77777777" w:rsidR="00914117" w:rsidRPr="00914117" w:rsidRDefault="00914117" w:rsidP="008152E4">
      <w:pPr>
        <w:rPr>
          <w:rFonts w:cs="Arial"/>
          <w:strike/>
          <w:szCs w:val="20"/>
        </w:rPr>
      </w:pPr>
    </w:p>
    <w:p w14:paraId="7E741337" w14:textId="0BABC1C8" w:rsidR="00983A0B" w:rsidRDefault="00D614FB" w:rsidP="008152E4">
      <w:pPr>
        <w:rPr>
          <w:rFonts w:cs="Arial"/>
          <w:szCs w:val="20"/>
        </w:rPr>
      </w:pPr>
      <w:r w:rsidRPr="00914117">
        <w:rPr>
          <w:rFonts w:cs="Arial"/>
          <w:szCs w:val="20"/>
        </w:rPr>
        <w:t>In the end of 2024</w:t>
      </w:r>
      <w:r w:rsidR="00C179C9" w:rsidRPr="00914117">
        <w:rPr>
          <w:rFonts w:cs="Arial"/>
          <w:szCs w:val="20"/>
        </w:rPr>
        <w:t>, the relative debt of t</w:t>
      </w:r>
      <w:r w:rsidR="00E821AA" w:rsidRPr="00914117">
        <w:rPr>
          <w:rFonts w:cs="Arial"/>
          <w:szCs w:val="20"/>
        </w:rPr>
        <w:t>he general government reached 43.3</w:t>
      </w:r>
      <w:r w:rsidR="00C179C9" w:rsidRPr="00914117">
        <w:rPr>
          <w:rFonts w:cs="Arial"/>
          <w:szCs w:val="20"/>
        </w:rPr>
        <w:t>% of the GDP. In the year-on-year comparison, the rela</w:t>
      </w:r>
      <w:r w:rsidR="00E821AA" w:rsidRPr="00914117">
        <w:rPr>
          <w:rFonts w:cs="Arial"/>
          <w:szCs w:val="20"/>
        </w:rPr>
        <w:t xml:space="preserve">tive </w:t>
      </w:r>
      <w:r w:rsidR="00D64A0C" w:rsidRPr="00914117">
        <w:rPr>
          <w:rFonts w:cs="Arial"/>
          <w:szCs w:val="20"/>
        </w:rPr>
        <w:t>debt</w:t>
      </w:r>
      <w:r w:rsidR="00E821AA" w:rsidRPr="00914117">
        <w:rPr>
          <w:rFonts w:cs="Arial"/>
          <w:szCs w:val="20"/>
        </w:rPr>
        <w:t xml:space="preserve"> increased by 1.1</w:t>
      </w:r>
      <w:r w:rsidR="00C179C9" w:rsidRPr="00914117">
        <w:rPr>
          <w:rFonts w:cs="Arial"/>
          <w:szCs w:val="20"/>
        </w:rPr>
        <w:t xml:space="preserve"> p. p. An increase in </w:t>
      </w:r>
      <w:r w:rsidR="00983A0B" w:rsidRPr="00914117">
        <w:rPr>
          <w:rFonts w:cs="Arial"/>
          <w:szCs w:val="20"/>
        </w:rPr>
        <w:t>the nominal GDP contributed to the</w:t>
      </w:r>
      <w:r w:rsidR="00C179C9" w:rsidRPr="00914117">
        <w:rPr>
          <w:rFonts w:cs="Arial"/>
          <w:szCs w:val="20"/>
        </w:rPr>
        <w:t xml:space="preserve"> decrease of the relati</w:t>
      </w:r>
      <w:r w:rsidR="00E821AA" w:rsidRPr="00914117">
        <w:rPr>
          <w:rFonts w:cs="Arial"/>
          <w:szCs w:val="20"/>
        </w:rPr>
        <w:t>ve amount of the debt (-2.1</w:t>
      </w:r>
      <w:r w:rsidR="00C179C9" w:rsidRPr="00914117">
        <w:rPr>
          <w:rFonts w:cs="Arial"/>
          <w:szCs w:val="20"/>
        </w:rPr>
        <w:t xml:space="preserve"> p. p.), </w:t>
      </w:r>
      <w:r w:rsidR="00C179C9" w:rsidRPr="00824839">
        <w:rPr>
          <w:rFonts w:cs="Arial"/>
          <w:szCs w:val="20"/>
        </w:rPr>
        <w:t>whereas</w:t>
      </w:r>
      <w:r w:rsidR="00D64A0C" w:rsidRPr="00824839">
        <w:rPr>
          <w:rFonts w:cs="Arial"/>
          <w:szCs w:val="20"/>
        </w:rPr>
        <w:t xml:space="preserve"> </w:t>
      </w:r>
      <w:r w:rsidR="00983A0B" w:rsidRPr="00824839">
        <w:rPr>
          <w:rFonts w:cs="Arial"/>
          <w:szCs w:val="20"/>
        </w:rPr>
        <w:t>the nominal growth of the debt contributed in relation to the GDP to an increase by 3.2 p. p.</w:t>
      </w:r>
    </w:p>
    <w:p w14:paraId="01637447" w14:textId="17B21EE1" w:rsidR="0041674A" w:rsidRPr="007E117A" w:rsidRDefault="0041674A" w:rsidP="0041674A">
      <w:pPr>
        <w:rPr>
          <w:rFonts w:cs="Arial"/>
          <w:strike/>
          <w:szCs w:val="20"/>
        </w:rPr>
      </w:pPr>
    </w:p>
    <w:p w14:paraId="5F70719A" w14:textId="62340F6C" w:rsidR="0041674A" w:rsidRPr="008152E4" w:rsidRDefault="00223ADB" w:rsidP="0041674A">
      <w:pPr>
        <w:rPr>
          <w:rFonts w:cs="Arial"/>
          <w:b/>
          <w:szCs w:val="20"/>
        </w:rPr>
      </w:pPr>
      <w:r w:rsidRPr="00914117">
        <w:rPr>
          <w:b/>
          <w:noProof/>
          <w:lang w:eastAsia="cs-CZ"/>
        </w:rPr>
        <w:t>Chart</w:t>
      </w:r>
      <w:r w:rsidR="008152E4" w:rsidRPr="00914117">
        <w:rPr>
          <w:b/>
          <w:noProof/>
          <w:lang w:eastAsia="cs-CZ"/>
        </w:rPr>
        <w:t xml:space="preserve"> 1.1 </w:t>
      </w:r>
      <w:r w:rsidR="00AE0A50" w:rsidRPr="00914117">
        <w:rPr>
          <w:b/>
          <w:noProof/>
          <w:lang w:eastAsia="cs-CZ"/>
        </w:rPr>
        <w:t>Year-on-year relative changes in government debt</w:t>
      </w:r>
    </w:p>
    <w:p w14:paraId="77C3086B" w14:textId="0BCB81F0" w:rsidR="0041674A" w:rsidRPr="007E117A" w:rsidRDefault="008152E4" w:rsidP="0041674A">
      <w:pPr>
        <w:rPr>
          <w:rFonts w:cs="Arial"/>
          <w:szCs w:val="20"/>
        </w:rPr>
      </w:pPr>
      <w:r>
        <w:rPr>
          <w:rFonts w:cs="Arial"/>
          <w:noProof/>
          <w:szCs w:val="20"/>
          <w:lang w:val="cs-CZ" w:eastAsia="cs-CZ"/>
        </w:rPr>
        <w:drawing>
          <wp:inline distT="0" distB="0" distL="0" distR="0" wp14:anchorId="3EACE1C9" wp14:editId="76DF5307">
            <wp:extent cx="5399808" cy="31242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527" cy="3130402"/>
                    </a:xfrm>
                    <a:prstGeom prst="rect">
                      <a:avLst/>
                    </a:prstGeom>
                    <a:noFill/>
                  </pic:spPr>
                </pic:pic>
              </a:graphicData>
            </a:graphic>
          </wp:inline>
        </w:drawing>
      </w:r>
    </w:p>
    <w:p w14:paraId="1026F69F" w14:textId="77777777" w:rsidR="0041674A" w:rsidRPr="007E117A" w:rsidRDefault="0041674A" w:rsidP="0041674A">
      <w:pPr>
        <w:rPr>
          <w:rFonts w:cs="Arial"/>
          <w:szCs w:val="20"/>
        </w:rPr>
      </w:pPr>
    </w:p>
    <w:p w14:paraId="69A4580E" w14:textId="77777777" w:rsidR="008152E4" w:rsidRPr="008152E4" w:rsidRDefault="008152E4" w:rsidP="008152E4">
      <w:pPr>
        <w:rPr>
          <w:rFonts w:cs="Arial"/>
          <w:szCs w:val="20"/>
        </w:rPr>
      </w:pPr>
    </w:p>
    <w:p w14:paraId="2D9F1188" w14:textId="5C5F4B9E" w:rsidR="00095F07" w:rsidRPr="00914117" w:rsidRDefault="00095F07" w:rsidP="00095F07">
      <w:pPr>
        <w:rPr>
          <w:rFonts w:cs="Arial"/>
          <w:szCs w:val="20"/>
        </w:rPr>
      </w:pPr>
      <w:r w:rsidRPr="00914117">
        <w:rPr>
          <w:rFonts w:cs="Arial"/>
          <w:szCs w:val="20"/>
        </w:rPr>
        <w:t xml:space="preserve">Compared to the spring notification, the amount of the debt </w:t>
      </w:r>
      <w:r w:rsidR="0039527C" w:rsidRPr="00914117">
        <w:rPr>
          <w:rFonts w:cs="Arial"/>
          <w:szCs w:val="20"/>
        </w:rPr>
        <w:t>in the end of 2024 decreased by CZK 3.4 </w:t>
      </w:r>
      <w:proofErr w:type="spellStart"/>
      <w:r w:rsidR="0039527C" w:rsidRPr="00914117">
        <w:rPr>
          <w:rFonts w:cs="Arial"/>
          <w:szCs w:val="20"/>
        </w:rPr>
        <w:t>bn</w:t>
      </w:r>
      <w:proofErr w:type="spellEnd"/>
      <w:r w:rsidR="0039527C" w:rsidRPr="00914117">
        <w:rPr>
          <w:rFonts w:cs="Arial"/>
          <w:szCs w:val="20"/>
        </w:rPr>
        <w:t xml:space="preserve"> and </w:t>
      </w:r>
      <w:r w:rsidRPr="00914117">
        <w:rPr>
          <w:rFonts w:cs="Arial"/>
          <w:szCs w:val="20"/>
        </w:rPr>
        <w:t>reached CZK </w:t>
      </w:r>
      <w:r w:rsidR="0039527C" w:rsidRPr="00914117">
        <w:rPr>
          <w:rFonts w:cs="Arial"/>
          <w:szCs w:val="20"/>
        </w:rPr>
        <w:t>3 488.5</w:t>
      </w:r>
      <w:r w:rsidRPr="00914117">
        <w:rPr>
          <w:rFonts w:cs="Arial"/>
          <w:szCs w:val="20"/>
        </w:rPr>
        <w:t xml:space="preserve"> bn. </w:t>
      </w:r>
    </w:p>
    <w:p w14:paraId="4A7067DF" w14:textId="77777777" w:rsidR="00095F07" w:rsidRPr="00914117" w:rsidRDefault="00095F07" w:rsidP="00095F07">
      <w:pPr>
        <w:rPr>
          <w:rFonts w:cs="Arial"/>
          <w:szCs w:val="20"/>
        </w:rPr>
      </w:pPr>
    </w:p>
    <w:p w14:paraId="0C4561DF" w14:textId="605D356E" w:rsidR="0041674A" w:rsidRPr="00914117" w:rsidRDefault="0041674A" w:rsidP="0041674A">
      <w:pPr>
        <w:rPr>
          <w:rFonts w:cs="Arial"/>
          <w:szCs w:val="20"/>
        </w:rPr>
      </w:pPr>
      <w:r w:rsidRPr="00914117">
        <w:rPr>
          <w:rFonts w:cs="Arial"/>
          <w:szCs w:val="20"/>
        </w:rPr>
        <w:t>I</w:t>
      </w:r>
      <w:r w:rsidR="00A33381" w:rsidRPr="00914117">
        <w:rPr>
          <w:rFonts w:cs="Arial"/>
          <w:szCs w:val="20"/>
        </w:rPr>
        <w:t>ndicators presented in the Tab.</w:t>
      </w:r>
      <w:r w:rsidRPr="00914117">
        <w:rPr>
          <w:rFonts w:cs="Arial"/>
          <w:szCs w:val="20"/>
        </w:rPr>
        <w:t xml:space="preserve"> 1 were transmitted to Eurostat on </w:t>
      </w:r>
      <w:r w:rsidR="00ED3060" w:rsidRPr="00914117">
        <w:rPr>
          <w:rFonts w:cs="Arial"/>
          <w:szCs w:val="20"/>
        </w:rPr>
        <w:t>30</w:t>
      </w:r>
      <w:r w:rsidRPr="00914117">
        <w:rPr>
          <w:rFonts w:cs="Arial"/>
          <w:szCs w:val="20"/>
        </w:rPr>
        <w:t> September 202</w:t>
      </w:r>
      <w:r w:rsidR="008152E4" w:rsidRPr="00914117">
        <w:rPr>
          <w:rFonts w:cs="Arial"/>
          <w:szCs w:val="20"/>
        </w:rPr>
        <w:t>5</w:t>
      </w:r>
      <w:r w:rsidRPr="00914117">
        <w:rPr>
          <w:rFonts w:cs="Arial"/>
          <w:szCs w:val="20"/>
        </w:rPr>
        <w:t>.</w:t>
      </w:r>
    </w:p>
    <w:p w14:paraId="5CC855B7" w14:textId="77777777" w:rsidR="0041674A" w:rsidRDefault="0041674A" w:rsidP="0041674A">
      <w:pPr>
        <w:pStyle w:val="Poznmky0"/>
        <w:rPr>
          <w:rFonts w:cs="Arial"/>
        </w:rPr>
      </w:pPr>
      <w:r w:rsidRPr="00914117">
        <w:rPr>
          <w:rFonts w:cs="Arial"/>
        </w:rPr>
        <w:t>Notes:</w:t>
      </w:r>
      <w:r w:rsidRPr="007E117A">
        <w:rPr>
          <w:rFonts w:cs="Arial"/>
        </w:rPr>
        <w:t xml:space="preserve"> </w:t>
      </w:r>
    </w:p>
    <w:p w14:paraId="0C8D460B" w14:textId="77777777" w:rsidR="0041674A" w:rsidRPr="007E117A" w:rsidRDefault="0041674A" w:rsidP="0041674A">
      <w:pPr>
        <w:pStyle w:val="Poznmky0"/>
        <w:spacing w:before="0"/>
        <w:rPr>
          <w:rFonts w:cs="Arial"/>
          <w:i w:val="0"/>
        </w:rPr>
      </w:pPr>
      <w:r w:rsidRPr="007E117A">
        <w:rPr>
          <w:rFonts w:cs="Arial"/>
        </w:rPr>
        <w:t xml:space="preserve">Notification of government deficit and debt is compiled always for the past four years and submitted to the European Commission by each Member State of the European Union always at the end of March and September each year, including a projection for the current year. The projection for the current year is compiled and published by the Ministry of Finance of the Czech Republic. Quantification of fiscal indicators is based on the ESA 2010 methodology and serves the assessment of how the Maastricht convergence criteria are complied with. Pursuant to the Maastricht criteria, the government deficit must not exceed 3% of the GDP and the level of the accumulated government debt must not exceed 60% of the GDP. </w:t>
      </w:r>
    </w:p>
    <w:p w14:paraId="22C4D170" w14:textId="77777777" w:rsidR="0041674A" w:rsidRPr="007E117A" w:rsidRDefault="0041674A" w:rsidP="0041674A">
      <w:pPr>
        <w:pStyle w:val="Zkladntext"/>
        <w:rPr>
          <w:rFonts w:cs="Arial"/>
          <w:i/>
          <w:sz w:val="18"/>
          <w:szCs w:val="18"/>
        </w:rPr>
      </w:pPr>
    </w:p>
    <w:p w14:paraId="73A38D6D" w14:textId="77777777" w:rsidR="0041674A" w:rsidRPr="00484256" w:rsidRDefault="0041674A" w:rsidP="007165B2">
      <w:pPr>
        <w:pStyle w:val="Zkladntext"/>
        <w:spacing w:line="276" w:lineRule="auto"/>
        <w:rPr>
          <w:rFonts w:ascii="Arial" w:eastAsia="Calibri" w:hAnsi="Arial" w:cs="Arial"/>
          <w:i/>
          <w:sz w:val="18"/>
          <w:szCs w:val="18"/>
        </w:rPr>
      </w:pPr>
      <w:r w:rsidRPr="00484256">
        <w:rPr>
          <w:rFonts w:ascii="Arial" w:eastAsia="Calibri" w:hAnsi="Arial" w:cs="Arial"/>
          <w:i/>
          <w:sz w:val="18"/>
          <w:szCs w:val="18"/>
        </w:rPr>
        <w:lastRenderedPageBreak/>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64758356" w14:textId="77777777" w:rsidR="0041674A" w:rsidRPr="007E117A" w:rsidRDefault="0041674A" w:rsidP="0041674A">
      <w:pPr>
        <w:pStyle w:val="Zkladntext"/>
        <w:rPr>
          <w:rFonts w:cs="Arial"/>
          <w:i/>
          <w:sz w:val="18"/>
          <w:szCs w:val="18"/>
        </w:rPr>
      </w:pPr>
    </w:p>
    <w:p w14:paraId="0B3C5416" w14:textId="77777777" w:rsidR="0041674A" w:rsidRPr="007E117A" w:rsidRDefault="0041674A" w:rsidP="0041674A">
      <w:r w:rsidRPr="007E117A">
        <w:rPr>
          <w:rFonts w:cs="Arial"/>
          <w:i/>
          <w:sz w:val="18"/>
          <w:szCs w:val="18"/>
        </w:rPr>
        <w:t>The government debt consists of consolidated liabilities of the general government sector in the form of currency and deposits, issued debt securities, and received loans. In case of foreign exchange debt instruments hedged against currency risk, value in CZK is obtained by means of a contractual exchange rate.</w:t>
      </w:r>
    </w:p>
    <w:p w14:paraId="24727B4E" w14:textId="77777777" w:rsidR="00890D91" w:rsidRPr="00890D91" w:rsidRDefault="00890D91" w:rsidP="00307D50">
      <w:pPr>
        <w:pStyle w:val="Zkladntext"/>
        <w:spacing w:line="276" w:lineRule="auto"/>
        <w:rPr>
          <w:rFonts w:ascii="Arial" w:eastAsia="Calibri" w:hAnsi="Arial" w:cs="ArialMT"/>
          <w:i/>
          <w:sz w:val="18"/>
          <w:szCs w:val="18"/>
        </w:rPr>
      </w:pPr>
    </w:p>
    <w:p w14:paraId="56F1125C" w14:textId="77777777" w:rsidR="00890D91" w:rsidRPr="00890D91" w:rsidRDefault="00890D91" w:rsidP="00890D91">
      <w:pPr>
        <w:pStyle w:val="Poznmky0"/>
      </w:pPr>
    </w:p>
    <w:tbl>
      <w:tblPr>
        <w:tblW w:w="0" w:type="auto"/>
        <w:tblLook w:val="04A0" w:firstRow="1" w:lastRow="0" w:firstColumn="1" w:lastColumn="0" w:noHBand="0" w:noVBand="1"/>
      </w:tblPr>
      <w:tblGrid>
        <w:gridCol w:w="3307"/>
        <w:gridCol w:w="5197"/>
      </w:tblGrid>
      <w:tr w:rsidR="00307D50" w:rsidRPr="00914117" w14:paraId="399BF805" w14:textId="77777777" w:rsidTr="00207C03">
        <w:tc>
          <w:tcPr>
            <w:tcW w:w="3307" w:type="dxa"/>
            <w:shd w:val="clear" w:color="auto" w:fill="auto"/>
          </w:tcPr>
          <w:p w14:paraId="795A4802" w14:textId="77777777" w:rsidR="00307D50" w:rsidRPr="00914117" w:rsidRDefault="00307D50" w:rsidP="00207C03">
            <w:pPr>
              <w:rPr>
                <w:i/>
                <w:iCs/>
                <w:sz w:val="18"/>
                <w:szCs w:val="18"/>
              </w:rPr>
            </w:pPr>
            <w:r w:rsidRPr="00914117">
              <w:rPr>
                <w:i/>
                <w:iCs/>
                <w:sz w:val="18"/>
                <w:szCs w:val="18"/>
              </w:rPr>
              <w:t>Responsible head at the CZSO:</w:t>
            </w:r>
          </w:p>
        </w:tc>
        <w:tc>
          <w:tcPr>
            <w:tcW w:w="5197" w:type="dxa"/>
            <w:shd w:val="clear" w:color="auto" w:fill="auto"/>
          </w:tcPr>
          <w:p w14:paraId="178966D8" w14:textId="77777777" w:rsidR="00307D50" w:rsidRPr="00914117" w:rsidRDefault="00307D50" w:rsidP="00207C03">
            <w:pPr>
              <w:jc w:val="left"/>
              <w:rPr>
                <w:i/>
                <w:iCs/>
                <w:sz w:val="18"/>
                <w:szCs w:val="18"/>
              </w:rPr>
            </w:pPr>
            <w:r w:rsidRPr="00914117">
              <w:rPr>
                <w:i/>
                <w:iCs/>
                <w:sz w:val="18"/>
                <w:szCs w:val="18"/>
              </w:rPr>
              <w:t xml:space="preserve">Helena Houžvičková. Director of the Government and Financial Accounts Department, </w:t>
            </w:r>
          </w:p>
          <w:p w14:paraId="0D3B3886" w14:textId="77777777" w:rsidR="00307D50" w:rsidRPr="00914117" w:rsidRDefault="00307D50" w:rsidP="00207C03">
            <w:pPr>
              <w:rPr>
                <w:i/>
                <w:iCs/>
                <w:sz w:val="18"/>
                <w:szCs w:val="18"/>
              </w:rPr>
            </w:pPr>
            <w:r w:rsidRPr="00914117">
              <w:rPr>
                <w:i/>
                <w:iCs/>
                <w:sz w:val="18"/>
                <w:szCs w:val="18"/>
              </w:rPr>
              <w:t xml:space="preserve">phone number: (+420) 704 688 734, </w:t>
            </w:r>
          </w:p>
          <w:p w14:paraId="33F42E2B" w14:textId="77777777" w:rsidR="00307D50" w:rsidRPr="00914117" w:rsidRDefault="00307D50" w:rsidP="00207C03">
            <w:pPr>
              <w:jc w:val="left"/>
              <w:rPr>
                <w:i/>
                <w:iCs/>
                <w:sz w:val="18"/>
                <w:szCs w:val="18"/>
              </w:rPr>
            </w:pPr>
            <w:r w:rsidRPr="00914117">
              <w:rPr>
                <w:i/>
                <w:iCs/>
                <w:sz w:val="18"/>
                <w:szCs w:val="18"/>
              </w:rPr>
              <w:t xml:space="preserve">e-mail: </w:t>
            </w:r>
            <w:hyperlink r:id="rId11" w:history="1">
              <w:r w:rsidRPr="00914117">
                <w:rPr>
                  <w:rStyle w:val="Hypertextovodkaz"/>
                  <w:sz w:val="18"/>
                </w:rPr>
                <w:t>helena.houzvickova@csu.gov.cz</w:t>
              </w:r>
            </w:hyperlink>
            <w:r w:rsidRPr="00914117">
              <w:rPr>
                <w:sz w:val="18"/>
              </w:rPr>
              <w:t xml:space="preserve"> </w:t>
            </w:r>
          </w:p>
        </w:tc>
      </w:tr>
      <w:tr w:rsidR="00307D50" w:rsidRPr="00914117" w14:paraId="740FF95A" w14:textId="77777777" w:rsidTr="00207C03">
        <w:tc>
          <w:tcPr>
            <w:tcW w:w="3307" w:type="dxa"/>
            <w:shd w:val="clear" w:color="auto" w:fill="auto"/>
          </w:tcPr>
          <w:p w14:paraId="2F86ADD6" w14:textId="77777777" w:rsidR="00307D50" w:rsidRPr="00914117" w:rsidRDefault="00307D50" w:rsidP="00207C03">
            <w:pPr>
              <w:rPr>
                <w:i/>
                <w:iCs/>
                <w:sz w:val="18"/>
                <w:szCs w:val="18"/>
              </w:rPr>
            </w:pPr>
            <w:r w:rsidRPr="00914117">
              <w:rPr>
                <w:i/>
                <w:iCs/>
                <w:sz w:val="18"/>
                <w:szCs w:val="18"/>
              </w:rPr>
              <w:t>Contact person:</w:t>
            </w:r>
          </w:p>
        </w:tc>
        <w:tc>
          <w:tcPr>
            <w:tcW w:w="5197" w:type="dxa"/>
            <w:shd w:val="clear" w:color="auto" w:fill="auto"/>
          </w:tcPr>
          <w:p w14:paraId="5CC7B24C" w14:textId="77777777" w:rsidR="00307D50" w:rsidRPr="00914117" w:rsidRDefault="00307D50" w:rsidP="00207C03">
            <w:pPr>
              <w:jc w:val="left"/>
              <w:rPr>
                <w:i/>
                <w:iCs/>
                <w:sz w:val="18"/>
                <w:szCs w:val="18"/>
              </w:rPr>
            </w:pPr>
            <w:r w:rsidRPr="00914117">
              <w:rPr>
                <w:i/>
                <w:iCs/>
                <w:sz w:val="18"/>
                <w:szCs w:val="18"/>
              </w:rPr>
              <w:t xml:space="preserve">Jaroslav Kahoun, Head of the Government Accounts Unit, phone number: (+420) 274 054 232, e-mail: </w:t>
            </w:r>
            <w:hyperlink r:id="rId12" w:history="1">
              <w:r w:rsidRPr="00914117">
                <w:rPr>
                  <w:rStyle w:val="Hypertextovodkaz"/>
                  <w:sz w:val="18"/>
                </w:rPr>
                <w:t>jaroslav.kahoun@csu.gov.cz</w:t>
              </w:r>
            </w:hyperlink>
            <w:r w:rsidRPr="00914117">
              <w:rPr>
                <w:sz w:val="18"/>
              </w:rPr>
              <w:t xml:space="preserve"> </w:t>
            </w:r>
          </w:p>
        </w:tc>
      </w:tr>
      <w:tr w:rsidR="00307D50" w:rsidRPr="00A555BD" w14:paraId="55BF03AA" w14:textId="77777777" w:rsidTr="00207C03">
        <w:tc>
          <w:tcPr>
            <w:tcW w:w="3307" w:type="dxa"/>
            <w:shd w:val="clear" w:color="auto" w:fill="auto"/>
          </w:tcPr>
          <w:p w14:paraId="23DDF98B" w14:textId="77777777" w:rsidR="00307D50" w:rsidRPr="00914117" w:rsidRDefault="00307D50" w:rsidP="00207C03">
            <w:pPr>
              <w:rPr>
                <w:i/>
                <w:iCs/>
                <w:sz w:val="18"/>
                <w:szCs w:val="18"/>
              </w:rPr>
            </w:pPr>
            <w:r w:rsidRPr="00914117">
              <w:rPr>
                <w:i/>
                <w:iCs/>
                <w:sz w:val="18"/>
                <w:szCs w:val="18"/>
              </w:rPr>
              <w:t>The next news release will be published on:</w:t>
            </w:r>
          </w:p>
        </w:tc>
        <w:tc>
          <w:tcPr>
            <w:tcW w:w="5197" w:type="dxa"/>
            <w:shd w:val="clear" w:color="auto" w:fill="auto"/>
          </w:tcPr>
          <w:p w14:paraId="15BB091D" w14:textId="77777777" w:rsidR="00307D50" w:rsidRPr="00914117" w:rsidRDefault="00307D50" w:rsidP="00207C03">
            <w:pPr>
              <w:rPr>
                <w:i/>
                <w:iCs/>
                <w:sz w:val="18"/>
                <w:szCs w:val="18"/>
              </w:rPr>
            </w:pPr>
          </w:p>
          <w:p w14:paraId="4359592E" w14:textId="26D54106" w:rsidR="00307D50" w:rsidRPr="007F7C37" w:rsidRDefault="00307D50" w:rsidP="00AF2565">
            <w:pPr>
              <w:rPr>
                <w:i/>
                <w:iCs/>
                <w:sz w:val="18"/>
                <w:szCs w:val="18"/>
              </w:rPr>
            </w:pPr>
            <w:r w:rsidRPr="00914117">
              <w:rPr>
                <w:i/>
                <w:iCs/>
                <w:sz w:val="18"/>
                <w:szCs w:val="18"/>
              </w:rPr>
              <w:t>2</w:t>
            </w:r>
            <w:r w:rsidR="00AF2565" w:rsidRPr="00914117">
              <w:rPr>
                <w:i/>
                <w:iCs/>
                <w:sz w:val="18"/>
                <w:szCs w:val="18"/>
              </w:rPr>
              <w:t>1</w:t>
            </w:r>
            <w:r w:rsidRPr="00914117">
              <w:rPr>
                <w:i/>
                <w:iCs/>
                <w:sz w:val="18"/>
                <w:szCs w:val="18"/>
              </w:rPr>
              <w:t> October 202</w:t>
            </w:r>
            <w:r w:rsidR="00AF2565" w:rsidRPr="00914117">
              <w:rPr>
                <w:i/>
                <w:iCs/>
                <w:sz w:val="18"/>
                <w:szCs w:val="18"/>
              </w:rPr>
              <w:t>5</w:t>
            </w:r>
          </w:p>
        </w:tc>
      </w:tr>
    </w:tbl>
    <w:p w14:paraId="48335A5E" w14:textId="77777777" w:rsidR="00540C97" w:rsidRPr="00307D50" w:rsidRDefault="00540C97" w:rsidP="00307D50"/>
    <w:sectPr w:rsidR="00540C97" w:rsidRPr="00307D50"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33367" w14:textId="77777777" w:rsidR="00D56422" w:rsidRDefault="00D56422" w:rsidP="00BA6370">
      <w:r>
        <w:separator/>
      </w:r>
    </w:p>
  </w:endnote>
  <w:endnote w:type="continuationSeparator" w:id="0">
    <w:p w14:paraId="547A9770" w14:textId="77777777" w:rsidR="00D56422" w:rsidRDefault="00D56422"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AD17" w14:textId="77777777" w:rsidR="003D0499" w:rsidRDefault="005C452C">
    <w:pPr>
      <w:pStyle w:val="Zpat"/>
    </w:pPr>
    <w:r>
      <w:rPr>
        <w:noProof/>
        <w:lang w:val="cs-CZ" w:eastAsia="cs-CZ"/>
      </w:rPr>
      <mc:AlternateContent>
        <mc:Choice Requires="wps">
          <w:drawing>
            <wp:anchor distT="0" distB="0" distL="114300" distR="114300" simplePos="0" relativeHeight="251657728" behindDoc="0" locked="0" layoutInCell="1" allowOverlap="1" wp14:anchorId="2F30E819" wp14:editId="0244D516">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AA8972E"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0BC6F5D"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680930B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439E5523" w14:textId="56F0AD0A"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2"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E6503D">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0E81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AA8972E"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0BC6F5D"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680930B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439E5523" w14:textId="56F0AD0A" w:rsidR="00380178" w:rsidRPr="00150155" w:rsidRDefault="00380178" w:rsidP="00380178">
                    <w:pPr>
                      <w:tabs>
                        <w:tab w:val="right" w:pos="8505"/>
                      </w:tabs>
                      <w:spacing w:line="220" w:lineRule="atLeast"/>
                      <w:rPr>
                        <w:rFonts w:cs="Arial"/>
                        <w:lang w:val="fr-FR"/>
                      </w:rPr>
                    </w:pPr>
                    <w:r w:rsidRPr="00150155">
                      <w:rPr>
                        <w:rFonts w:cs="Arial"/>
                        <w:sz w:val="15"/>
                        <w:szCs w:val="15"/>
                        <w:lang w:val="fr-FR"/>
                      </w:rPr>
                      <w:t xml:space="preserve">tel: +420 </w:t>
                    </w:r>
                    <w:r w:rsidR="000B6773" w:rsidRPr="00150155">
                      <w:rPr>
                        <w:rFonts w:cs="Arial"/>
                        <w:sz w:val="15"/>
                        <w:szCs w:val="15"/>
                        <w:lang w:val="fr-FR"/>
                      </w:rPr>
                      <w:t>274 056 789</w:t>
                    </w:r>
                    <w:r w:rsidRPr="00150155">
                      <w:rPr>
                        <w:rFonts w:cs="Arial"/>
                        <w:sz w:val="15"/>
                        <w:szCs w:val="15"/>
                        <w:lang w:val="fr-FR"/>
                      </w:rPr>
                      <w:t xml:space="preserve">, e-mail: </w:t>
                    </w:r>
                    <w:hyperlink r:id="rId4" w:history="1">
                      <w:r w:rsidR="00EA4798" w:rsidRPr="00150155">
                        <w:rPr>
                          <w:rStyle w:val="Hypertextovodkaz"/>
                          <w:rFonts w:cs="Arial"/>
                          <w:sz w:val="15"/>
                          <w:szCs w:val="15"/>
                          <w:lang w:val="fr-FR"/>
                        </w:rPr>
                        <w:t>infoservis@csu.gov.cz</w:t>
                      </w:r>
                    </w:hyperlink>
                    <w:r w:rsidRPr="00150155">
                      <w:rPr>
                        <w:rFonts w:cs="Arial"/>
                        <w:sz w:val="15"/>
                        <w:szCs w:val="15"/>
                        <w:lang w:val="fr-FR"/>
                      </w:rPr>
                      <w:tab/>
                    </w:r>
                    <w:r w:rsidR="00123849" w:rsidRPr="007E75DE">
                      <w:rPr>
                        <w:rFonts w:cs="Arial"/>
                        <w:szCs w:val="15"/>
                      </w:rPr>
                      <w:fldChar w:fldCharType="begin"/>
                    </w:r>
                    <w:r w:rsidRPr="00150155">
                      <w:rPr>
                        <w:rFonts w:cs="Arial"/>
                        <w:szCs w:val="15"/>
                        <w:lang w:val="fr-FR"/>
                      </w:rPr>
                      <w:instrText xml:space="preserve"> PAGE   \* MERGEFORMAT </w:instrText>
                    </w:r>
                    <w:r w:rsidR="00123849" w:rsidRPr="007E75DE">
                      <w:rPr>
                        <w:rFonts w:cs="Arial"/>
                        <w:szCs w:val="15"/>
                      </w:rPr>
                      <w:fldChar w:fldCharType="separate"/>
                    </w:r>
                    <w:r w:rsidR="00E6503D">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25AF63D7" wp14:editId="54960773">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9AD8F6"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F4DDB" w14:textId="77777777" w:rsidR="00D56422" w:rsidRDefault="00D56422" w:rsidP="00BA6370">
      <w:r>
        <w:separator/>
      </w:r>
    </w:p>
  </w:footnote>
  <w:footnote w:type="continuationSeparator" w:id="0">
    <w:p w14:paraId="7A1C20A5" w14:textId="77777777" w:rsidR="00D56422" w:rsidRDefault="00D56422"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82226" w14:textId="77777777" w:rsidR="003D0499" w:rsidRDefault="005C452C">
    <w:pPr>
      <w:pStyle w:val="Zhlav"/>
    </w:pPr>
    <w:r>
      <w:rPr>
        <w:noProof/>
        <w:lang w:val="cs-CZ" w:eastAsia="cs-CZ"/>
      </w:rPr>
      <w:drawing>
        <wp:anchor distT="0" distB="0" distL="114300" distR="114300" simplePos="0" relativeHeight="251659776" behindDoc="0" locked="0" layoutInCell="1" allowOverlap="1" wp14:anchorId="2A5F018F" wp14:editId="19CB816D">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7E"/>
    <w:rsid w:val="000049FE"/>
    <w:rsid w:val="00043BF4"/>
    <w:rsid w:val="000560A0"/>
    <w:rsid w:val="0006290E"/>
    <w:rsid w:val="00080174"/>
    <w:rsid w:val="000843A5"/>
    <w:rsid w:val="00091722"/>
    <w:rsid w:val="00095F07"/>
    <w:rsid w:val="000B4BE0"/>
    <w:rsid w:val="000B6773"/>
    <w:rsid w:val="000B6F63"/>
    <w:rsid w:val="000D3DDC"/>
    <w:rsid w:val="000E7368"/>
    <w:rsid w:val="000F58FF"/>
    <w:rsid w:val="00116ED1"/>
    <w:rsid w:val="00123849"/>
    <w:rsid w:val="0013242C"/>
    <w:rsid w:val="001404AB"/>
    <w:rsid w:val="00143BE4"/>
    <w:rsid w:val="00150155"/>
    <w:rsid w:val="0017231D"/>
    <w:rsid w:val="00173981"/>
    <w:rsid w:val="00176E26"/>
    <w:rsid w:val="0018061F"/>
    <w:rsid w:val="001810DC"/>
    <w:rsid w:val="00191C7B"/>
    <w:rsid w:val="001A29D6"/>
    <w:rsid w:val="001B607F"/>
    <w:rsid w:val="001C71FD"/>
    <w:rsid w:val="001D05E4"/>
    <w:rsid w:val="001D369A"/>
    <w:rsid w:val="001D7FDE"/>
    <w:rsid w:val="001E3CF2"/>
    <w:rsid w:val="001F08B3"/>
    <w:rsid w:val="002070FB"/>
    <w:rsid w:val="00213729"/>
    <w:rsid w:val="00217CE2"/>
    <w:rsid w:val="00223ADB"/>
    <w:rsid w:val="00232C16"/>
    <w:rsid w:val="002406FA"/>
    <w:rsid w:val="00266849"/>
    <w:rsid w:val="00297900"/>
    <w:rsid w:val="002B2E47"/>
    <w:rsid w:val="002D37F5"/>
    <w:rsid w:val="002E67A2"/>
    <w:rsid w:val="002F3110"/>
    <w:rsid w:val="00303FB3"/>
    <w:rsid w:val="00307D50"/>
    <w:rsid w:val="0032398D"/>
    <w:rsid w:val="003301A3"/>
    <w:rsid w:val="00366588"/>
    <w:rsid w:val="0036777B"/>
    <w:rsid w:val="00372062"/>
    <w:rsid w:val="00380178"/>
    <w:rsid w:val="0038282A"/>
    <w:rsid w:val="00382CDC"/>
    <w:rsid w:val="00392072"/>
    <w:rsid w:val="0039527C"/>
    <w:rsid w:val="00397580"/>
    <w:rsid w:val="003A45C8"/>
    <w:rsid w:val="003B268C"/>
    <w:rsid w:val="003B7F42"/>
    <w:rsid w:val="003C2DCF"/>
    <w:rsid w:val="003C3372"/>
    <w:rsid w:val="003C7EAF"/>
    <w:rsid w:val="003C7FE7"/>
    <w:rsid w:val="003D0499"/>
    <w:rsid w:val="003D3576"/>
    <w:rsid w:val="003F526A"/>
    <w:rsid w:val="00405244"/>
    <w:rsid w:val="0041674A"/>
    <w:rsid w:val="00436D82"/>
    <w:rsid w:val="004436EE"/>
    <w:rsid w:val="00443CDB"/>
    <w:rsid w:val="0045547F"/>
    <w:rsid w:val="00484256"/>
    <w:rsid w:val="004920AD"/>
    <w:rsid w:val="004C2560"/>
    <w:rsid w:val="004D05B3"/>
    <w:rsid w:val="004D0DE6"/>
    <w:rsid w:val="004E479E"/>
    <w:rsid w:val="004F78E6"/>
    <w:rsid w:val="00512D99"/>
    <w:rsid w:val="00531DBB"/>
    <w:rsid w:val="00540C97"/>
    <w:rsid w:val="00564213"/>
    <w:rsid w:val="005648DB"/>
    <w:rsid w:val="00580C84"/>
    <w:rsid w:val="00594A70"/>
    <w:rsid w:val="005C1A25"/>
    <w:rsid w:val="005C452C"/>
    <w:rsid w:val="005E701A"/>
    <w:rsid w:val="005F79FB"/>
    <w:rsid w:val="00604406"/>
    <w:rsid w:val="00605F4A"/>
    <w:rsid w:val="00607822"/>
    <w:rsid w:val="0060790F"/>
    <w:rsid w:val="006103AA"/>
    <w:rsid w:val="00613BBF"/>
    <w:rsid w:val="00622B80"/>
    <w:rsid w:val="0064139A"/>
    <w:rsid w:val="00663EC0"/>
    <w:rsid w:val="006D5C60"/>
    <w:rsid w:val="006E024F"/>
    <w:rsid w:val="006E4E81"/>
    <w:rsid w:val="00701C1A"/>
    <w:rsid w:val="00707F7D"/>
    <w:rsid w:val="007165B2"/>
    <w:rsid w:val="00717EC5"/>
    <w:rsid w:val="00755D8B"/>
    <w:rsid w:val="00763787"/>
    <w:rsid w:val="00784615"/>
    <w:rsid w:val="00793D5F"/>
    <w:rsid w:val="007A0CA5"/>
    <w:rsid w:val="007A57F2"/>
    <w:rsid w:val="007B1333"/>
    <w:rsid w:val="007C1CFB"/>
    <w:rsid w:val="007E6DBD"/>
    <w:rsid w:val="007F4AEB"/>
    <w:rsid w:val="007F5EFE"/>
    <w:rsid w:val="007F75B2"/>
    <w:rsid w:val="0080358C"/>
    <w:rsid w:val="008043C4"/>
    <w:rsid w:val="008152E4"/>
    <w:rsid w:val="00817248"/>
    <w:rsid w:val="00824839"/>
    <w:rsid w:val="00831B1B"/>
    <w:rsid w:val="00855FB3"/>
    <w:rsid w:val="00861D0E"/>
    <w:rsid w:val="00867569"/>
    <w:rsid w:val="00883692"/>
    <w:rsid w:val="00885C0D"/>
    <w:rsid w:val="00890D91"/>
    <w:rsid w:val="008A750A"/>
    <w:rsid w:val="008B3970"/>
    <w:rsid w:val="008C384C"/>
    <w:rsid w:val="008D0F11"/>
    <w:rsid w:val="008F73B4"/>
    <w:rsid w:val="009035E8"/>
    <w:rsid w:val="00912088"/>
    <w:rsid w:val="009131E3"/>
    <w:rsid w:val="00914117"/>
    <w:rsid w:val="00931CB6"/>
    <w:rsid w:val="00953416"/>
    <w:rsid w:val="00971374"/>
    <w:rsid w:val="00980C2D"/>
    <w:rsid w:val="00983A0B"/>
    <w:rsid w:val="009B55B1"/>
    <w:rsid w:val="009C25CC"/>
    <w:rsid w:val="009C4D55"/>
    <w:rsid w:val="009E39C5"/>
    <w:rsid w:val="00A07BA7"/>
    <w:rsid w:val="00A17409"/>
    <w:rsid w:val="00A33381"/>
    <w:rsid w:val="00A4343D"/>
    <w:rsid w:val="00A502F1"/>
    <w:rsid w:val="00A607CE"/>
    <w:rsid w:val="00A6755E"/>
    <w:rsid w:val="00A70A83"/>
    <w:rsid w:val="00A81EB3"/>
    <w:rsid w:val="00AB6196"/>
    <w:rsid w:val="00AC1252"/>
    <w:rsid w:val="00AC3140"/>
    <w:rsid w:val="00AE0A50"/>
    <w:rsid w:val="00AE0EDF"/>
    <w:rsid w:val="00AF2565"/>
    <w:rsid w:val="00B00C1D"/>
    <w:rsid w:val="00B30B7A"/>
    <w:rsid w:val="00B46674"/>
    <w:rsid w:val="00B53939"/>
    <w:rsid w:val="00B54E40"/>
    <w:rsid w:val="00B607CA"/>
    <w:rsid w:val="00B632CC"/>
    <w:rsid w:val="00B75D7C"/>
    <w:rsid w:val="00BA12F1"/>
    <w:rsid w:val="00BA439F"/>
    <w:rsid w:val="00BA6370"/>
    <w:rsid w:val="00BE089B"/>
    <w:rsid w:val="00C179C9"/>
    <w:rsid w:val="00C269D4"/>
    <w:rsid w:val="00C4160D"/>
    <w:rsid w:val="00C7623F"/>
    <w:rsid w:val="00C8406E"/>
    <w:rsid w:val="00CA1ADF"/>
    <w:rsid w:val="00CB2709"/>
    <w:rsid w:val="00CB6F89"/>
    <w:rsid w:val="00CD1ED4"/>
    <w:rsid w:val="00CE228C"/>
    <w:rsid w:val="00CE71D9"/>
    <w:rsid w:val="00CF545B"/>
    <w:rsid w:val="00D076D1"/>
    <w:rsid w:val="00D209A7"/>
    <w:rsid w:val="00D241E4"/>
    <w:rsid w:val="00D27D69"/>
    <w:rsid w:val="00D4261E"/>
    <w:rsid w:val="00D448C2"/>
    <w:rsid w:val="00D56422"/>
    <w:rsid w:val="00D6067B"/>
    <w:rsid w:val="00D614FB"/>
    <w:rsid w:val="00D64A0C"/>
    <w:rsid w:val="00D666C3"/>
    <w:rsid w:val="00D811AB"/>
    <w:rsid w:val="00D87BA0"/>
    <w:rsid w:val="00DA6525"/>
    <w:rsid w:val="00DA6B9C"/>
    <w:rsid w:val="00DB427E"/>
    <w:rsid w:val="00DD276D"/>
    <w:rsid w:val="00DF47FE"/>
    <w:rsid w:val="00E0156A"/>
    <w:rsid w:val="00E1630A"/>
    <w:rsid w:val="00E26704"/>
    <w:rsid w:val="00E31980"/>
    <w:rsid w:val="00E6423C"/>
    <w:rsid w:val="00E6503D"/>
    <w:rsid w:val="00E71483"/>
    <w:rsid w:val="00E821AA"/>
    <w:rsid w:val="00E93830"/>
    <w:rsid w:val="00E93E0E"/>
    <w:rsid w:val="00EA4798"/>
    <w:rsid w:val="00EA4F2C"/>
    <w:rsid w:val="00EA5E08"/>
    <w:rsid w:val="00EB1A25"/>
    <w:rsid w:val="00EB1ED3"/>
    <w:rsid w:val="00ED3060"/>
    <w:rsid w:val="00EE70B7"/>
    <w:rsid w:val="00F1703A"/>
    <w:rsid w:val="00F314B7"/>
    <w:rsid w:val="00F40AC0"/>
    <w:rsid w:val="00F46557"/>
    <w:rsid w:val="00F83C49"/>
    <w:rsid w:val="00F95724"/>
    <w:rsid w:val="00FB687C"/>
    <w:rsid w:val="00FC3889"/>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74D1FD43"/>
  <w15:docId w15:val="{434130E0-A404-4DE7-B88A-A1028BBC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91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131E3"/>
    <w:pPr>
      <w:spacing w:line="240" w:lineRule="auto"/>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9131E3"/>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9C25CC"/>
    <w:rPr>
      <w:color w:val="800080" w:themeColor="followedHyperlink"/>
      <w:u w:val="single"/>
    </w:rPr>
  </w:style>
  <w:style w:type="character" w:styleId="Odkaznakoment">
    <w:name w:val="annotation reference"/>
    <w:basedOn w:val="Standardnpsmoodstavce"/>
    <w:uiPriority w:val="99"/>
    <w:semiHidden/>
    <w:unhideWhenUsed/>
    <w:rsid w:val="00D87BA0"/>
    <w:rPr>
      <w:sz w:val="16"/>
      <w:szCs w:val="16"/>
    </w:rPr>
  </w:style>
  <w:style w:type="paragraph" w:styleId="Textkomente">
    <w:name w:val="annotation text"/>
    <w:basedOn w:val="Normln"/>
    <w:link w:val="TextkomenteChar"/>
    <w:uiPriority w:val="99"/>
    <w:semiHidden/>
    <w:unhideWhenUsed/>
    <w:rsid w:val="00D87BA0"/>
    <w:pPr>
      <w:spacing w:line="240" w:lineRule="auto"/>
    </w:pPr>
    <w:rPr>
      <w:szCs w:val="20"/>
    </w:rPr>
  </w:style>
  <w:style w:type="character" w:customStyle="1" w:styleId="TextkomenteChar">
    <w:name w:val="Text komentáře Char"/>
    <w:basedOn w:val="Standardnpsmoodstavce"/>
    <w:link w:val="Textkomente"/>
    <w:uiPriority w:val="99"/>
    <w:semiHidden/>
    <w:rsid w:val="00D87BA0"/>
    <w:rPr>
      <w:rFonts w:ascii="Arial" w:hAnsi="Arial"/>
      <w:lang w:val="en-GB" w:eastAsia="en-US"/>
    </w:rPr>
  </w:style>
  <w:style w:type="paragraph" w:styleId="Pedmtkomente">
    <w:name w:val="annotation subject"/>
    <w:basedOn w:val="Textkomente"/>
    <w:next w:val="Textkomente"/>
    <w:link w:val="PedmtkomenteChar"/>
    <w:uiPriority w:val="99"/>
    <w:semiHidden/>
    <w:unhideWhenUsed/>
    <w:rsid w:val="00D87BA0"/>
    <w:rPr>
      <w:b/>
      <w:bCs/>
    </w:rPr>
  </w:style>
  <w:style w:type="character" w:customStyle="1" w:styleId="PedmtkomenteChar">
    <w:name w:val="Předmět komentáře Char"/>
    <w:basedOn w:val="TextkomenteChar"/>
    <w:link w:val="Pedmtkomente"/>
    <w:uiPriority w:val="99"/>
    <w:semiHidden/>
    <w:rsid w:val="00D87BA0"/>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90963544">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roslav.kahoun@csu.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a.houzvick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nu\vl&#225;da\RYCHL&#193;%20INFORMACE%20-%20Q%20deficit%20a%20dluh\2024%20Q1\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purl.org/dc/dcmitype/"/>
    <ds:schemaRef ds:uri="http://purl.org/dc/elements/1.1/"/>
    <ds:schemaRef ds:uri="http://schemas.openxmlformats.org/package/2006/metadata/core-properties"/>
    <ds:schemaRef ds:uri="http://purl.org/dc/terms/"/>
    <ds:schemaRef ds:uri="6f5a4aca-455c-4012-a902-4d97d6c174df"/>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2A541FB-D96F-490A-AB95-567AD788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46A1E-BB74-445C-99A5-72763428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10</TotalTime>
  <Pages>3</Pages>
  <Words>696</Words>
  <Characters>4109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4796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Houžvičková</dc:creator>
  <cp:lastModifiedBy>Houžvičková Helena</cp:lastModifiedBy>
  <cp:revision>3</cp:revision>
  <dcterms:created xsi:type="dcterms:W3CDTF">2025-09-29T14:36:00Z</dcterms:created>
  <dcterms:modified xsi:type="dcterms:W3CDTF">2025-09-29T14:45:00Z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