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35BC" w14:textId="51B785C1" w:rsidR="006B628A" w:rsidRPr="00B271A1" w:rsidRDefault="00F33157" w:rsidP="006B628A">
      <w:pPr>
        <w:pStyle w:val="Nadpis1"/>
      </w:pPr>
      <w:r w:rsidRPr="00B271A1">
        <w:t>GDP increased by 0.</w:t>
      </w:r>
      <w:r w:rsidR="003549FD" w:rsidRPr="00B271A1">
        <w:t>5</w:t>
      </w:r>
      <w:r w:rsidRPr="00B271A1">
        <w:t>%, quarter-on-quarter</w:t>
      </w:r>
      <w:r w:rsidR="00DC4750" w:rsidRPr="00B271A1">
        <w:t xml:space="preserve"> </w:t>
      </w:r>
    </w:p>
    <w:p w14:paraId="37464A5C" w14:textId="08715408" w:rsidR="006B628A" w:rsidRPr="00B271A1" w:rsidRDefault="00F33157" w:rsidP="006B628A">
      <w:pPr>
        <w:jc w:val="left"/>
      </w:pPr>
      <w:r w:rsidRPr="00B271A1">
        <w:t>30</w:t>
      </w:r>
      <w:r w:rsidR="0075474D" w:rsidRPr="00B271A1">
        <w:t> </w:t>
      </w:r>
      <w:r w:rsidR="000B4B83" w:rsidRPr="00B271A1">
        <w:t>October</w:t>
      </w:r>
      <w:r w:rsidR="0075474D" w:rsidRPr="00B271A1">
        <w:t> 2026</w:t>
      </w:r>
    </w:p>
    <w:p w14:paraId="1E9F75D4" w14:textId="4CA6F328" w:rsidR="006B628A" w:rsidRPr="00B271A1" w:rsidRDefault="00D878F2" w:rsidP="006B628A">
      <w:pPr>
        <w:pStyle w:val="Nadpis2"/>
        <w:rPr>
          <w:color w:val="auto"/>
        </w:rPr>
      </w:pPr>
      <w:r w:rsidRPr="00B271A1">
        <w:t>GDP preliminary estimate</w:t>
      </w:r>
      <w:r w:rsidR="006B628A" w:rsidRPr="00B271A1">
        <w:rPr>
          <w:color w:val="auto"/>
        </w:rPr>
        <w:t xml:space="preserve"> </w:t>
      </w:r>
      <w:r w:rsidR="00DC4750" w:rsidRPr="00B271A1">
        <w:t>–</w:t>
      </w:r>
      <w:r w:rsidR="006B628A" w:rsidRPr="00B271A1">
        <w:rPr>
          <w:color w:val="auto"/>
        </w:rPr>
        <w:t xml:space="preserve"> </w:t>
      </w:r>
      <w:r w:rsidRPr="00B271A1">
        <w:t xml:space="preserve">the </w:t>
      </w:r>
      <w:r w:rsidR="0026276B" w:rsidRPr="00B271A1">
        <w:t>third</w:t>
      </w:r>
      <w:r w:rsidRPr="00B271A1">
        <w:t xml:space="preserve"> quarter of</w:t>
      </w:r>
      <w:r w:rsidR="00DC4750" w:rsidRPr="00B271A1">
        <w:t xml:space="preserve"> 2026</w:t>
      </w:r>
      <w:r w:rsidR="006B628A" w:rsidRPr="00B271A1">
        <w:rPr>
          <w:color w:val="auto"/>
        </w:rPr>
        <w:t xml:space="preserve"> </w:t>
      </w:r>
    </w:p>
    <w:p w14:paraId="3FF30774" w14:textId="24CE2264" w:rsidR="00A2525A" w:rsidRPr="00B271A1" w:rsidRDefault="00FA0FEF" w:rsidP="00B93F3E">
      <w:pPr>
        <w:pStyle w:val="Perex"/>
        <w:rPr>
          <w:bCs/>
        </w:rPr>
      </w:pPr>
      <w:r w:rsidRPr="00B271A1">
        <w:rPr>
          <w:bCs/>
        </w:rPr>
        <w:t>According to a preliminary estimate, the gross domestic product increased by 0.</w:t>
      </w:r>
      <w:r w:rsidR="003549FD" w:rsidRPr="00B271A1">
        <w:rPr>
          <w:bCs/>
        </w:rPr>
        <w:t>5</w:t>
      </w:r>
      <w:r w:rsidRPr="00B271A1">
        <w:rPr>
          <w:bCs/>
        </w:rPr>
        <w:t xml:space="preserve">%, quarter-on-quarter, in the </w:t>
      </w:r>
      <w:r w:rsidR="0026276B" w:rsidRPr="00B271A1">
        <w:rPr>
          <w:bCs/>
        </w:rPr>
        <w:t>Q3</w:t>
      </w:r>
      <w:r w:rsidRPr="00B271A1">
        <w:rPr>
          <w:bCs/>
        </w:rPr>
        <w:t xml:space="preserve"> 2026. In the year-on-year comparison, it increased by </w:t>
      </w:r>
      <w:r w:rsidR="003549FD" w:rsidRPr="00B271A1">
        <w:rPr>
          <w:bCs/>
        </w:rPr>
        <w:t>1</w:t>
      </w:r>
      <w:r w:rsidRPr="00B271A1">
        <w:rPr>
          <w:bCs/>
        </w:rPr>
        <w:t>.</w:t>
      </w:r>
      <w:r w:rsidR="003549FD" w:rsidRPr="00B271A1">
        <w:rPr>
          <w:bCs/>
        </w:rPr>
        <w:t>6</w:t>
      </w:r>
      <w:r w:rsidRPr="00B271A1">
        <w:rPr>
          <w:bCs/>
        </w:rPr>
        <w:t>%.</w:t>
      </w:r>
    </w:p>
    <w:p w14:paraId="14E5CCCA" w14:textId="7FFE71A9" w:rsidR="00574BF6" w:rsidRPr="00B271A1" w:rsidRDefault="007D2831" w:rsidP="001D78AA">
      <w:pPr>
        <w:jc w:val="left"/>
        <w:rPr>
          <w:bCs/>
        </w:rPr>
      </w:pPr>
      <w:r w:rsidRPr="00B271A1">
        <w:rPr>
          <w:bCs/>
        </w:rPr>
        <w:t xml:space="preserve">The gross domestic product (GDP) adjusted for price effects and </w:t>
      </w:r>
      <w:r w:rsidRPr="00B271A1">
        <w:t>seasonally</w:t>
      </w:r>
      <w:r w:rsidRPr="00B271A1">
        <w:rPr>
          <w:vertAlign w:val="superscript"/>
        </w:rPr>
        <w:footnoteReference w:id="1"/>
      </w:r>
      <w:r w:rsidRPr="00B271A1">
        <w:rPr>
          <w:bCs/>
        </w:rPr>
        <w:t xml:space="preserve"> adjusted </w:t>
      </w:r>
      <w:r w:rsidR="00C47BEA" w:rsidRPr="00B271A1">
        <w:rPr>
          <w:bCs/>
        </w:rPr>
        <w:t>was</w:t>
      </w:r>
      <w:r w:rsidRPr="00B271A1">
        <w:rPr>
          <w:bCs/>
        </w:rPr>
        <w:t xml:space="preserve"> in the </w:t>
      </w:r>
      <w:r w:rsidR="0026276B" w:rsidRPr="00B271A1">
        <w:rPr>
          <w:bCs/>
        </w:rPr>
        <w:t>Q3</w:t>
      </w:r>
      <w:r w:rsidRPr="00B271A1">
        <w:rPr>
          <w:bCs/>
        </w:rPr>
        <w:t xml:space="preserve"> 2026, according to the preliminary estimate, by 0.</w:t>
      </w:r>
      <w:r w:rsidR="005B4AE9" w:rsidRPr="00B271A1">
        <w:rPr>
          <w:bCs/>
        </w:rPr>
        <w:t>5</w:t>
      </w:r>
      <w:r w:rsidRPr="00B271A1">
        <w:rPr>
          <w:bCs/>
        </w:rPr>
        <w:t>%</w:t>
      </w:r>
      <w:r w:rsidR="00C47BEA" w:rsidRPr="00B271A1">
        <w:rPr>
          <w:bCs/>
        </w:rPr>
        <w:t xml:space="preserve"> higher</w:t>
      </w:r>
      <w:r w:rsidRPr="00B271A1">
        <w:rPr>
          <w:bCs/>
        </w:rPr>
        <w:t xml:space="preserve"> compared to the previous quarter. When compared to the corresponding quarter of the previous year, it increased by </w:t>
      </w:r>
      <w:r w:rsidR="005B4AE9" w:rsidRPr="00B271A1">
        <w:rPr>
          <w:bCs/>
        </w:rPr>
        <w:t>1</w:t>
      </w:r>
      <w:r w:rsidRPr="00B271A1">
        <w:rPr>
          <w:bCs/>
        </w:rPr>
        <w:t>.</w:t>
      </w:r>
      <w:r w:rsidR="005B4AE9" w:rsidRPr="00B271A1">
        <w:rPr>
          <w:bCs/>
        </w:rPr>
        <w:t>6</w:t>
      </w:r>
      <w:r w:rsidRPr="00B271A1">
        <w:rPr>
          <w:bCs/>
        </w:rPr>
        <w:t>%.</w:t>
      </w:r>
    </w:p>
    <w:p w14:paraId="00D2DFF0" w14:textId="543A0B0F" w:rsidR="00056911" w:rsidRPr="00B271A1" w:rsidRDefault="00E77C4B" w:rsidP="00056911">
      <w:pPr>
        <w:jc w:val="left"/>
        <w:rPr>
          <w:bCs/>
        </w:rPr>
      </w:pPr>
      <w:r>
        <w:rPr>
          <w:noProof/>
        </w:rPr>
        <w:drawing>
          <wp:inline distT="0" distB="0" distL="0" distR="0" wp14:anchorId="0C31E0F1" wp14:editId="620629E0">
            <wp:extent cx="5760085" cy="2929890"/>
            <wp:effectExtent l="0" t="0" r="12065" b="3810"/>
            <wp:docPr id="1600670269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C7900F" w14:textId="4238112E" w:rsidR="00BF3DC1" w:rsidRPr="00B271A1" w:rsidRDefault="000C668F" w:rsidP="007A5B38">
      <w:pPr>
        <w:jc w:val="left"/>
        <w:rPr>
          <w:bCs/>
        </w:rPr>
      </w:pPr>
      <w:r w:rsidRPr="00B271A1">
        <w:rPr>
          <w:bCs/>
        </w:rPr>
        <w:t>The quarter-on-quarter GDP growth was positively influenced</w:t>
      </w:r>
      <w:r w:rsidR="000C4182" w:rsidRPr="00B271A1">
        <w:rPr>
          <w:bCs/>
        </w:rPr>
        <w:t xml:space="preserve"> primarily</w:t>
      </w:r>
      <w:r w:rsidRPr="00B271A1">
        <w:rPr>
          <w:bCs/>
        </w:rPr>
        <w:t xml:space="preserve"> by increasing final consumption expenditure</w:t>
      </w:r>
      <w:r w:rsidR="000C4182" w:rsidRPr="00B271A1">
        <w:rPr>
          <w:bCs/>
        </w:rPr>
        <w:t xml:space="preserve"> of households</w:t>
      </w:r>
      <w:r w:rsidRPr="00B271A1">
        <w:rPr>
          <w:bCs/>
        </w:rPr>
        <w:t xml:space="preserve"> and international trade balance. Gross capital formation had a</w:t>
      </w:r>
      <w:r w:rsidR="000C4182" w:rsidRPr="00B271A1">
        <w:rPr>
          <w:bCs/>
        </w:rPr>
        <w:t> </w:t>
      </w:r>
      <w:r w:rsidRPr="00B271A1">
        <w:rPr>
          <w:bCs/>
        </w:rPr>
        <w:t>negative influence.</w:t>
      </w:r>
    </w:p>
    <w:p w14:paraId="321A7686" w14:textId="4EF77A87" w:rsidR="00BE002F" w:rsidRPr="00B271A1" w:rsidRDefault="000C668F" w:rsidP="007A5B38">
      <w:pPr>
        <w:jc w:val="left"/>
        <w:rPr>
          <w:bCs/>
          <w:lang w:val="en-GB"/>
        </w:rPr>
      </w:pPr>
      <w:r w:rsidRPr="00B271A1">
        <w:rPr>
          <w:bCs/>
          <w:i/>
          <w:iCs/>
          <w:lang w:val="en-GB"/>
        </w:rPr>
        <w:t>“</w:t>
      </w:r>
      <w:r w:rsidR="00BE002F" w:rsidRPr="00B271A1">
        <w:rPr>
          <w:bCs/>
          <w:i/>
          <w:iCs/>
          <w:lang w:val="en-GB"/>
        </w:rPr>
        <w:t xml:space="preserve">The year-on-year </w:t>
      </w:r>
      <w:r w:rsidR="00CA5D7E" w:rsidRPr="00B271A1">
        <w:rPr>
          <w:bCs/>
          <w:i/>
          <w:iCs/>
          <w:lang w:val="en-GB"/>
        </w:rPr>
        <w:t>g</w:t>
      </w:r>
      <w:r w:rsidR="00BE002F" w:rsidRPr="00B271A1">
        <w:rPr>
          <w:bCs/>
          <w:i/>
          <w:iCs/>
          <w:lang w:val="en-GB"/>
        </w:rPr>
        <w:t>rowth</w:t>
      </w:r>
      <w:r w:rsidR="00CA5D7E" w:rsidRPr="00B271A1">
        <w:rPr>
          <w:bCs/>
          <w:i/>
          <w:iCs/>
          <w:lang w:val="en-GB"/>
        </w:rPr>
        <w:t xml:space="preserve"> of GDP</w:t>
      </w:r>
      <w:r w:rsidR="00BE002F" w:rsidRPr="00B271A1">
        <w:rPr>
          <w:bCs/>
          <w:i/>
          <w:iCs/>
          <w:lang w:val="en-GB"/>
        </w:rPr>
        <w:t xml:space="preserve"> by </w:t>
      </w:r>
      <w:r w:rsidR="00491CE8" w:rsidRPr="00B271A1">
        <w:rPr>
          <w:bCs/>
          <w:i/>
          <w:iCs/>
          <w:lang w:val="en-GB"/>
        </w:rPr>
        <w:t>1</w:t>
      </w:r>
      <w:r w:rsidR="00BE002F" w:rsidRPr="00B271A1">
        <w:rPr>
          <w:bCs/>
          <w:i/>
          <w:iCs/>
          <w:lang w:val="en-GB"/>
        </w:rPr>
        <w:t>.</w:t>
      </w:r>
      <w:r w:rsidR="00491CE8" w:rsidRPr="00B271A1">
        <w:rPr>
          <w:bCs/>
          <w:i/>
          <w:iCs/>
          <w:lang w:val="en-GB"/>
        </w:rPr>
        <w:t>6</w:t>
      </w:r>
      <w:r w:rsidR="00BE002F" w:rsidRPr="00B271A1">
        <w:rPr>
          <w:bCs/>
          <w:i/>
          <w:iCs/>
          <w:lang w:val="en-GB"/>
        </w:rPr>
        <w:t>% was supported by</w:t>
      </w:r>
      <w:r w:rsidR="007848B0" w:rsidRPr="00B271A1">
        <w:rPr>
          <w:bCs/>
          <w:i/>
          <w:iCs/>
          <w:lang w:val="en-GB"/>
        </w:rPr>
        <w:t xml:space="preserve"> higher</w:t>
      </w:r>
      <w:r w:rsidR="00BE002F" w:rsidRPr="00B271A1">
        <w:rPr>
          <w:bCs/>
          <w:i/>
          <w:iCs/>
          <w:lang w:val="en-GB"/>
        </w:rPr>
        <w:t xml:space="preserve"> final consumption expenditure</w:t>
      </w:r>
      <w:r w:rsidR="00491CE8" w:rsidRPr="00B271A1">
        <w:rPr>
          <w:bCs/>
          <w:i/>
          <w:iCs/>
          <w:lang w:val="en-GB"/>
        </w:rPr>
        <w:t>, gross fixed capital formation,</w:t>
      </w:r>
      <w:r w:rsidR="00BE002F" w:rsidRPr="00B271A1">
        <w:rPr>
          <w:bCs/>
          <w:i/>
          <w:iCs/>
          <w:lang w:val="en-GB"/>
        </w:rPr>
        <w:t xml:space="preserve"> and</w:t>
      </w:r>
      <w:r w:rsidR="00CA5D7E" w:rsidRPr="00B271A1">
        <w:rPr>
          <w:bCs/>
          <w:i/>
          <w:iCs/>
          <w:lang w:val="en-GB"/>
        </w:rPr>
        <w:t xml:space="preserve"> the</w:t>
      </w:r>
      <w:r w:rsidR="00BE002F" w:rsidRPr="00B271A1">
        <w:rPr>
          <w:bCs/>
          <w:i/>
          <w:iCs/>
          <w:lang w:val="en-GB"/>
        </w:rPr>
        <w:t xml:space="preserve"> increasing external demand</w:t>
      </w:r>
      <w:r w:rsidR="00EA7A87" w:rsidRPr="00B271A1">
        <w:rPr>
          <w:bCs/>
          <w:i/>
          <w:iCs/>
          <w:lang w:val="en-GB"/>
        </w:rPr>
        <w:t>. Change in inventories had a negative influence,</w:t>
      </w:r>
      <w:r w:rsidR="00BE002F" w:rsidRPr="00B271A1">
        <w:rPr>
          <w:bCs/>
          <w:i/>
          <w:iCs/>
          <w:lang w:val="en-GB"/>
        </w:rPr>
        <w:t>”</w:t>
      </w:r>
      <w:r w:rsidR="00EA7A87" w:rsidRPr="00B271A1">
        <w:rPr>
          <w:bCs/>
          <w:i/>
          <w:iCs/>
          <w:lang w:val="en-GB"/>
        </w:rPr>
        <w:t xml:space="preserve"> </w:t>
      </w:r>
      <w:r w:rsidR="00BE002F" w:rsidRPr="00B271A1">
        <w:rPr>
          <w:bCs/>
          <w:lang w:val="en-GB"/>
        </w:rPr>
        <w:t>Vladimír Kermiet, Director of the National Accounts Department of the Czech Statistical Office (CZSO), informed.</w:t>
      </w:r>
    </w:p>
    <w:p w14:paraId="24790F6A" w14:textId="61DAD658" w:rsidR="00BA0EA2" w:rsidRPr="00B271A1" w:rsidRDefault="0018378B" w:rsidP="00A334B6">
      <w:pPr>
        <w:jc w:val="left"/>
        <w:rPr>
          <w:iCs/>
        </w:rPr>
      </w:pPr>
      <w:r w:rsidRPr="00B271A1">
        <w:rPr>
          <w:iCs/>
        </w:rPr>
        <w:t xml:space="preserve">The </w:t>
      </w:r>
      <w:r w:rsidR="00F928EA" w:rsidRPr="00B271A1">
        <w:rPr>
          <w:iCs/>
        </w:rPr>
        <w:t>development</w:t>
      </w:r>
      <w:r w:rsidRPr="00B271A1">
        <w:rPr>
          <w:iCs/>
        </w:rPr>
        <w:t xml:space="preserve"> of the</w:t>
      </w:r>
      <w:r w:rsidR="00F928EA" w:rsidRPr="00B271A1">
        <w:rPr>
          <w:iCs/>
        </w:rPr>
        <w:t xml:space="preserve"> gross value added</w:t>
      </w:r>
      <w:r w:rsidRPr="00B271A1">
        <w:rPr>
          <w:iCs/>
        </w:rPr>
        <w:t xml:space="preserve"> </w:t>
      </w:r>
      <w:r w:rsidR="00F928EA" w:rsidRPr="00B271A1">
        <w:rPr>
          <w:iCs/>
        </w:rPr>
        <w:t>in the quarter-on-quarter comparison</w:t>
      </w:r>
      <w:r w:rsidRPr="00B271A1">
        <w:rPr>
          <w:iCs/>
        </w:rPr>
        <w:t xml:space="preserve"> was </w:t>
      </w:r>
      <w:r w:rsidR="00F928EA" w:rsidRPr="00B271A1">
        <w:rPr>
          <w:iCs/>
        </w:rPr>
        <w:t>positively influenced especially</w:t>
      </w:r>
      <w:r w:rsidRPr="00B271A1">
        <w:rPr>
          <w:iCs/>
        </w:rPr>
        <w:t xml:space="preserve"> by</w:t>
      </w:r>
      <w:r w:rsidR="008C2E06" w:rsidRPr="00B271A1">
        <w:rPr>
          <w:iCs/>
        </w:rPr>
        <w:t xml:space="preserve"> a group of economic activities of trade, transportation, accommodation and food service activities, and information and communication.</w:t>
      </w:r>
      <w:r w:rsidR="00C27088" w:rsidRPr="00B271A1">
        <w:rPr>
          <w:iCs/>
        </w:rPr>
        <w:t xml:space="preserve"> A slight decrease occurred in manufacturing and construction. </w:t>
      </w:r>
      <w:r w:rsidR="00A334B6" w:rsidRPr="00B271A1">
        <w:rPr>
          <w:iCs/>
        </w:rPr>
        <w:t>The following contributed the most to the year-on-year growth of the gross value added: industry,</w:t>
      </w:r>
      <w:r w:rsidR="006A3008" w:rsidRPr="00B271A1">
        <w:rPr>
          <w:iCs/>
        </w:rPr>
        <w:t xml:space="preserve"> a group of economic activities of trade, transportation, accommodation </w:t>
      </w:r>
      <w:r w:rsidR="006A3008" w:rsidRPr="00B271A1">
        <w:rPr>
          <w:iCs/>
        </w:rPr>
        <w:lastRenderedPageBreak/>
        <w:t xml:space="preserve">and food service activities, information and communication, </w:t>
      </w:r>
      <w:r w:rsidR="00BA0EA2" w:rsidRPr="00B271A1">
        <w:rPr>
          <w:iCs/>
        </w:rPr>
        <w:t>professional, scientific</w:t>
      </w:r>
      <w:r w:rsidR="0062151D">
        <w:rPr>
          <w:iCs/>
        </w:rPr>
        <w:t>,</w:t>
      </w:r>
      <w:r w:rsidR="00BA0EA2" w:rsidRPr="00B271A1">
        <w:rPr>
          <w:iCs/>
        </w:rPr>
        <w:t xml:space="preserve"> technical</w:t>
      </w:r>
      <w:r w:rsidR="0062151D">
        <w:rPr>
          <w:iCs/>
        </w:rPr>
        <w:t xml:space="preserve">, </w:t>
      </w:r>
      <w:r w:rsidR="00D17598" w:rsidRPr="00B271A1">
        <w:rPr>
          <w:iCs/>
        </w:rPr>
        <w:t xml:space="preserve">and administrative activities. </w:t>
      </w:r>
    </w:p>
    <w:p w14:paraId="00832BE1" w14:textId="73F61A4B" w:rsidR="00F86DF8" w:rsidRPr="00B271A1" w:rsidRDefault="00F86DF8" w:rsidP="006B628A">
      <w:pPr>
        <w:jc w:val="left"/>
        <w:rPr>
          <w:rFonts w:cstheme="minorHAnsi"/>
        </w:rPr>
      </w:pPr>
      <w:r w:rsidRPr="00B271A1">
        <w:rPr>
          <w:bCs/>
        </w:rPr>
        <w:t>Employment</w:t>
      </w:r>
      <w:r w:rsidRPr="00B271A1">
        <w:rPr>
          <w:bCs/>
          <w:vertAlign w:val="superscript"/>
        </w:rPr>
        <w:footnoteReference w:id="2"/>
      </w:r>
      <w:r w:rsidRPr="00B271A1">
        <w:rPr>
          <w:rFonts w:cstheme="minorHAnsi"/>
        </w:rPr>
        <w:t xml:space="preserve"> increased by 0.</w:t>
      </w:r>
      <w:r w:rsidR="006C24E6" w:rsidRPr="00B271A1">
        <w:rPr>
          <w:rFonts w:cstheme="minorHAnsi"/>
        </w:rPr>
        <w:t>3</w:t>
      </w:r>
      <w:r w:rsidRPr="00B271A1">
        <w:rPr>
          <w:rFonts w:cstheme="minorHAnsi"/>
        </w:rPr>
        <w:t>%, quarter-on-quarter</w:t>
      </w:r>
      <w:r w:rsidR="006C24E6" w:rsidRPr="00B271A1">
        <w:rPr>
          <w:rFonts w:cstheme="minorHAnsi"/>
        </w:rPr>
        <w:t>, and by 1.5%, year-on-year.</w:t>
      </w:r>
    </w:p>
    <w:p w14:paraId="5BA2EAD0" w14:textId="2078858A" w:rsidR="00431CB3" w:rsidRPr="00B271A1" w:rsidRDefault="00431CB3" w:rsidP="006D02FF">
      <w:pPr>
        <w:pStyle w:val="Poznmky0"/>
        <w:spacing w:before="600"/>
        <w:ind w:left="3600" w:hanging="3600"/>
        <w:rPr>
          <w:lang w:val="it-IT"/>
        </w:rPr>
      </w:pPr>
      <w:r w:rsidRPr="00B271A1">
        <w:t>Responsible head at the CZSO:</w:t>
      </w:r>
      <w:r w:rsidRPr="00B271A1">
        <w:tab/>
        <w:t xml:space="preserve">Vladimír Kermiet, Director of the National Accounts Department, </w:t>
      </w:r>
      <w:r w:rsidR="00DA09E9" w:rsidRPr="00B271A1">
        <w:t>T</w:t>
      </w:r>
      <w:r w:rsidRPr="00B271A1">
        <w:t>:</w:t>
      </w:r>
      <w:r w:rsidR="00DA09E9" w:rsidRPr="00B271A1">
        <w:t> </w:t>
      </w:r>
      <w:r w:rsidRPr="00B271A1">
        <w:t xml:space="preserve">+420 274 054 247, </w:t>
      </w:r>
      <w:r w:rsidR="00DA09E9" w:rsidRPr="00B271A1">
        <w:t>E</w:t>
      </w:r>
      <w:r w:rsidRPr="00B271A1">
        <w:rPr>
          <w:lang w:val="it-IT"/>
        </w:rPr>
        <w:t xml:space="preserve">: </w:t>
      </w:r>
      <w:hyperlink r:id="rId12" w:history="1">
        <w:r w:rsidRPr="00B271A1">
          <w:rPr>
            <w:rStyle w:val="Hypertextovodkaz"/>
            <w:lang w:val="it-IT"/>
          </w:rPr>
          <w:t>vladimir.kermiet@csu.gov.cz</w:t>
        </w:r>
      </w:hyperlink>
    </w:p>
    <w:p w14:paraId="14170ED3" w14:textId="77777777" w:rsidR="00431CB3" w:rsidRPr="00B271A1" w:rsidRDefault="00431CB3" w:rsidP="00431CB3">
      <w:pPr>
        <w:pStyle w:val="Poznamkytexty"/>
        <w:ind w:left="3600" w:hanging="3600"/>
        <w:rPr>
          <w:lang w:val="en-GB"/>
        </w:rPr>
      </w:pPr>
      <w:r w:rsidRPr="00B271A1">
        <w:rPr>
          <w:lang w:val="en-GB"/>
        </w:rPr>
        <w:t>Contact person:</w:t>
      </w:r>
      <w:r w:rsidRPr="00B271A1">
        <w:rPr>
          <w:lang w:val="en-GB"/>
        </w:rPr>
        <w:tab/>
        <w:t xml:space="preserve">Jan Benedikt, Head of the Quarterly Estimates Unit, </w:t>
      </w:r>
    </w:p>
    <w:p w14:paraId="4A745AEC" w14:textId="32687B5D" w:rsidR="00431CB3" w:rsidRPr="00B271A1" w:rsidRDefault="00DA09E9" w:rsidP="00431CB3">
      <w:pPr>
        <w:pStyle w:val="Poznamkytexty"/>
        <w:ind w:left="3600"/>
        <w:rPr>
          <w:lang w:val="en-GB"/>
        </w:rPr>
      </w:pPr>
      <w:r w:rsidRPr="00B271A1">
        <w:rPr>
          <w:lang w:val="en-GB"/>
        </w:rPr>
        <w:t>T</w:t>
      </w:r>
      <w:r w:rsidR="00431CB3" w:rsidRPr="00B271A1">
        <w:rPr>
          <w:lang w:val="en-GB"/>
        </w:rPr>
        <w:t xml:space="preserve">: +420 274 052 750, </w:t>
      </w:r>
      <w:r w:rsidRPr="00B271A1">
        <w:rPr>
          <w:lang w:val="en-GB"/>
        </w:rPr>
        <w:t>E</w:t>
      </w:r>
      <w:r w:rsidR="00431CB3" w:rsidRPr="00B271A1">
        <w:t>: </w:t>
      </w:r>
      <w:hyperlink r:id="rId13" w:history="1">
        <w:r w:rsidR="00431CB3" w:rsidRPr="00B271A1">
          <w:rPr>
            <w:rStyle w:val="Hypertextovodkaz"/>
          </w:rPr>
          <w:t>jan.benedikt@csu.gov.cz</w:t>
        </w:r>
      </w:hyperlink>
    </w:p>
    <w:p w14:paraId="6CD0DCAF" w14:textId="1CD12EE9" w:rsidR="00431CB3" w:rsidRPr="00B271A1" w:rsidRDefault="00431CB3" w:rsidP="00431CB3">
      <w:pPr>
        <w:pStyle w:val="Poznamkytexty"/>
        <w:ind w:left="3600" w:hanging="3600"/>
        <w:rPr>
          <w:lang w:val="en-GB"/>
        </w:rPr>
      </w:pPr>
      <w:r w:rsidRPr="00B271A1">
        <w:rPr>
          <w:lang w:val="en-GB"/>
        </w:rPr>
        <w:t>Used data sources updated as at:</w:t>
      </w:r>
      <w:r w:rsidRPr="00B271A1">
        <w:rPr>
          <w:lang w:val="en-GB"/>
        </w:rPr>
        <w:tab/>
        <w:t>2</w:t>
      </w:r>
      <w:r w:rsidR="00A2153A" w:rsidRPr="00B271A1">
        <w:rPr>
          <w:lang w:val="en-GB"/>
        </w:rPr>
        <w:t>1 October </w:t>
      </w:r>
      <w:r w:rsidRPr="00B271A1">
        <w:rPr>
          <w:lang w:val="en-GB"/>
        </w:rPr>
        <w:t>202</w:t>
      </w:r>
      <w:r w:rsidR="00DA09E9" w:rsidRPr="00B271A1">
        <w:rPr>
          <w:lang w:val="en-GB"/>
        </w:rPr>
        <w:t>6</w:t>
      </w:r>
    </w:p>
    <w:p w14:paraId="23AF1452" w14:textId="35BDE7DF" w:rsidR="00431CB3" w:rsidRPr="00B271A1" w:rsidRDefault="00431CB3" w:rsidP="00431CB3">
      <w:pPr>
        <w:pStyle w:val="Poznamkytexty"/>
        <w:ind w:left="3600" w:hanging="3600"/>
        <w:rPr>
          <w:lang w:val="en-GB"/>
        </w:rPr>
      </w:pPr>
      <w:r w:rsidRPr="00B271A1">
        <w:rPr>
          <w:lang w:val="en-GB"/>
        </w:rPr>
        <w:t>Related CZSO</w:t>
      </w:r>
      <w:r w:rsidR="00EB61CB" w:rsidRPr="00B271A1">
        <w:rPr>
          <w:lang w:val="en-GB"/>
        </w:rPr>
        <w:t>’s</w:t>
      </w:r>
      <w:r w:rsidRPr="00B271A1">
        <w:rPr>
          <w:lang w:val="en-GB"/>
        </w:rPr>
        <w:t xml:space="preserve"> web page:</w:t>
      </w:r>
      <w:r w:rsidRPr="00B271A1">
        <w:rPr>
          <w:lang w:val="en-GB"/>
        </w:rPr>
        <w:tab/>
      </w:r>
      <w:hyperlink r:id="rId14" w:history="1">
        <w:r w:rsidRPr="00B271A1">
          <w:rPr>
            <w:rStyle w:val="Hypertextovodkaz"/>
            <w:lang w:val="en-GB"/>
          </w:rPr>
          <w:t>Quarterly GDP estimates | Statistics (gov.cz)</w:t>
        </w:r>
      </w:hyperlink>
      <w:r w:rsidRPr="00B271A1">
        <w:rPr>
          <w:color w:val="auto"/>
          <w:lang w:val="en-GB"/>
        </w:rPr>
        <w:t xml:space="preserve"> </w:t>
      </w:r>
    </w:p>
    <w:p w14:paraId="3AD8A79E" w14:textId="5B19C61A" w:rsidR="00DA09E9" w:rsidRPr="00B271A1" w:rsidRDefault="00431CB3" w:rsidP="00DA09E9">
      <w:pPr>
        <w:tabs>
          <w:tab w:val="left" w:pos="3544"/>
        </w:tabs>
        <w:spacing w:after="0"/>
        <w:ind w:left="3544" w:hanging="3544"/>
        <w:rPr>
          <w:i/>
          <w:sz w:val="18"/>
          <w:szCs w:val="18"/>
        </w:rPr>
      </w:pPr>
      <w:r w:rsidRPr="00B271A1">
        <w:rPr>
          <w:i/>
          <w:sz w:val="18"/>
          <w:szCs w:val="18"/>
        </w:rPr>
        <w:t>Next news release will be published on:</w:t>
      </w:r>
      <w:r w:rsidRPr="00B271A1">
        <w:rPr>
          <w:i/>
          <w:sz w:val="18"/>
          <w:szCs w:val="18"/>
        </w:rPr>
        <w:tab/>
      </w:r>
      <w:r w:rsidR="00E80A6F" w:rsidRPr="00B271A1">
        <w:rPr>
          <w:i/>
          <w:sz w:val="18"/>
          <w:szCs w:val="18"/>
        </w:rPr>
        <w:t>1 December</w:t>
      </w:r>
      <w:r w:rsidRPr="00B271A1">
        <w:rPr>
          <w:i/>
          <w:sz w:val="18"/>
          <w:szCs w:val="18"/>
        </w:rPr>
        <w:t> 202</w:t>
      </w:r>
      <w:r w:rsidR="00DA09E9" w:rsidRPr="00B271A1">
        <w:rPr>
          <w:i/>
          <w:sz w:val="18"/>
          <w:szCs w:val="18"/>
        </w:rPr>
        <w:t>6</w:t>
      </w:r>
      <w:r w:rsidR="00DA09E9" w:rsidRPr="00B271A1">
        <w:rPr>
          <w:i/>
          <w:sz w:val="18"/>
          <w:szCs w:val="18"/>
        </w:rPr>
        <w:tab/>
      </w:r>
      <w:r w:rsidR="00DA09E9" w:rsidRPr="00B271A1">
        <w:rPr>
          <w:i/>
          <w:sz w:val="18"/>
          <w:szCs w:val="18"/>
        </w:rPr>
        <w:tab/>
      </w:r>
      <w:r w:rsidR="00DA09E9" w:rsidRPr="00B271A1">
        <w:rPr>
          <w:i/>
          <w:sz w:val="18"/>
          <w:szCs w:val="18"/>
        </w:rPr>
        <w:tab/>
      </w:r>
      <w:r w:rsidR="00DA09E9" w:rsidRPr="00B271A1">
        <w:rPr>
          <w:i/>
          <w:sz w:val="18"/>
          <w:szCs w:val="18"/>
        </w:rPr>
        <w:tab/>
      </w:r>
      <w:r w:rsidR="00DA09E9" w:rsidRPr="00B271A1">
        <w:rPr>
          <w:i/>
          <w:sz w:val="18"/>
          <w:szCs w:val="18"/>
        </w:rPr>
        <w:tab/>
      </w:r>
    </w:p>
    <w:p w14:paraId="15BF21EC" w14:textId="1779372E" w:rsidR="00070445" w:rsidRDefault="00DA09E9" w:rsidP="00DA09E9">
      <w:pPr>
        <w:tabs>
          <w:tab w:val="left" w:pos="3544"/>
        </w:tabs>
        <w:ind w:left="3544" w:hanging="3544"/>
        <w:rPr>
          <w:i/>
          <w:sz w:val="18"/>
          <w:szCs w:val="18"/>
        </w:rPr>
      </w:pPr>
      <w:r w:rsidRPr="00B271A1">
        <w:rPr>
          <w:i/>
          <w:sz w:val="18"/>
          <w:szCs w:val="18"/>
        </w:rPr>
        <w:tab/>
      </w:r>
      <w:r w:rsidR="00431CB3" w:rsidRPr="00B271A1">
        <w:rPr>
          <w:i/>
          <w:sz w:val="18"/>
          <w:szCs w:val="18"/>
        </w:rPr>
        <w:t xml:space="preserve">(GDP resources and uses for the </w:t>
      </w:r>
      <w:r w:rsidR="0026276B" w:rsidRPr="00B271A1">
        <w:rPr>
          <w:i/>
          <w:sz w:val="18"/>
          <w:szCs w:val="18"/>
        </w:rPr>
        <w:t>Q3</w:t>
      </w:r>
      <w:r w:rsidR="00431CB3" w:rsidRPr="00B271A1">
        <w:rPr>
          <w:i/>
          <w:sz w:val="18"/>
          <w:szCs w:val="18"/>
        </w:rPr>
        <w:t> 202</w:t>
      </w:r>
      <w:r w:rsidRPr="00B271A1">
        <w:rPr>
          <w:szCs w:val="18"/>
        </w:rPr>
        <w:t>6</w:t>
      </w:r>
      <w:r w:rsidR="00431CB3" w:rsidRPr="00B271A1">
        <w:rPr>
          <w:i/>
          <w:sz w:val="18"/>
          <w:szCs w:val="18"/>
        </w:rPr>
        <w:t>)</w:t>
      </w:r>
    </w:p>
    <w:p w14:paraId="17983594" w14:textId="77777777" w:rsidR="00DA09E9" w:rsidRPr="00DA09E9" w:rsidRDefault="00DA09E9" w:rsidP="00DA09E9">
      <w:pPr>
        <w:tabs>
          <w:tab w:val="left" w:pos="3544"/>
        </w:tabs>
        <w:ind w:left="3544" w:hanging="3544"/>
        <w:rPr>
          <w:i/>
          <w:sz w:val="18"/>
          <w:szCs w:val="18"/>
        </w:rPr>
      </w:pPr>
    </w:p>
    <w:sectPr w:rsidR="00DA09E9" w:rsidRPr="00DA09E9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BD01" w14:textId="77777777" w:rsidR="00184318" w:rsidRDefault="00184318" w:rsidP="004A01A7">
      <w:pPr>
        <w:spacing w:after="0" w:line="240" w:lineRule="auto"/>
      </w:pPr>
      <w:r>
        <w:separator/>
      </w:r>
    </w:p>
  </w:endnote>
  <w:endnote w:type="continuationSeparator" w:id="0">
    <w:p w14:paraId="67611106" w14:textId="77777777" w:rsidR="00184318" w:rsidRDefault="00184318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Default="00B910FF" w:rsidP="00F21B6A">
    <w:pPr>
      <w:pStyle w:val="Zpat"/>
      <w:rPr>
        <w:b/>
        <w:bCs/>
      </w:rPr>
    </w:pPr>
    <w:r w:rsidRPr="00F243C9">
      <w:t>Czech Statistical Office</w:t>
    </w:r>
    <w:r w:rsidRPr="00B910FF">
      <w:rPr>
        <w:b/>
        <w:bCs/>
      </w:rPr>
      <w:t xml:space="preserve"> </w:t>
    </w:r>
  </w:p>
  <w:p w14:paraId="7F08CEE6" w14:textId="77777777" w:rsidR="00F21B6A" w:rsidRDefault="00B910FF" w:rsidP="00F21B6A">
    <w:pPr>
      <w:pStyle w:val="Zpat"/>
    </w:pPr>
    <w:r w:rsidRPr="00B910FF"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0FF645E5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75E40AE0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9D11" w14:textId="77777777" w:rsidR="00184318" w:rsidRDefault="00184318" w:rsidP="004A01A7">
      <w:pPr>
        <w:spacing w:after="0" w:line="240" w:lineRule="auto"/>
      </w:pPr>
    </w:p>
  </w:footnote>
  <w:footnote w:type="continuationSeparator" w:id="0">
    <w:p w14:paraId="13AF05AF" w14:textId="77777777" w:rsidR="00184318" w:rsidRDefault="00184318" w:rsidP="004A01A7">
      <w:pPr>
        <w:spacing w:after="0" w:line="240" w:lineRule="auto"/>
      </w:pPr>
      <w:r>
        <w:continuationSeparator/>
      </w:r>
    </w:p>
  </w:footnote>
  <w:footnote w:id="1">
    <w:p w14:paraId="5871FE47" w14:textId="04AA7942" w:rsidR="007D2831" w:rsidRPr="00943006" w:rsidRDefault="007D2831" w:rsidP="007D2831">
      <w:pPr>
        <w:pStyle w:val="Textpoznpodarou"/>
        <w:spacing w:before="60"/>
        <w:rPr>
          <w:i/>
          <w:sz w:val="18"/>
          <w:szCs w:val="18"/>
        </w:rPr>
      </w:pPr>
      <w:r w:rsidRPr="008A4056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8A4056">
        <w:rPr>
          <w:rFonts w:ascii="Arial" w:hAnsi="Arial" w:cs="Arial"/>
          <w:i/>
          <w:sz w:val="18"/>
          <w:szCs w:val="18"/>
        </w:rPr>
        <w:t xml:space="preserve"> </w:t>
      </w:r>
      <w:r w:rsidR="006A0ED3" w:rsidRPr="008A4056">
        <w:rPr>
          <w:rFonts w:ascii="Arial" w:hAnsi="Arial" w:cs="Arial"/>
          <w:i/>
          <w:sz w:val="18"/>
          <w:szCs w:val="18"/>
        </w:rPr>
        <w:t xml:space="preserve">All data presented in this news release </w:t>
      </w:r>
      <w:r w:rsidR="0038444D" w:rsidRPr="008A4056">
        <w:rPr>
          <w:rFonts w:ascii="Arial" w:hAnsi="Arial" w:cs="Arial"/>
          <w:i/>
          <w:sz w:val="18"/>
          <w:szCs w:val="18"/>
        </w:rPr>
        <w:t>have been</w:t>
      </w:r>
      <w:r w:rsidR="006A0ED3" w:rsidRPr="008A4056">
        <w:rPr>
          <w:rFonts w:ascii="Arial" w:hAnsi="Arial" w:cs="Arial"/>
          <w:i/>
          <w:sz w:val="18"/>
          <w:szCs w:val="18"/>
        </w:rPr>
        <w:t xml:space="preserve"> adjusted for seasonal and calendar effects.</w:t>
      </w:r>
      <w:r w:rsidRPr="00943006">
        <w:rPr>
          <w:rFonts w:ascii="Arial" w:hAnsi="Arial" w:cs="Arial"/>
          <w:i/>
          <w:sz w:val="18"/>
          <w:szCs w:val="18"/>
        </w:rPr>
        <w:t xml:space="preserve"> </w:t>
      </w:r>
    </w:p>
  </w:footnote>
  <w:footnote w:id="2">
    <w:p w14:paraId="6494C1C1" w14:textId="667955BA" w:rsidR="00F86DF8" w:rsidRPr="00943006" w:rsidRDefault="00F86DF8" w:rsidP="00F86DF8">
      <w:pPr>
        <w:pStyle w:val="Textpoznpodarou"/>
        <w:spacing w:before="60"/>
        <w:rPr>
          <w:rFonts w:ascii="Arial" w:hAnsi="Arial" w:cs="Arial"/>
          <w:i/>
          <w:sz w:val="18"/>
          <w:szCs w:val="18"/>
        </w:rPr>
      </w:pPr>
      <w:r w:rsidRPr="00943006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43006">
        <w:rPr>
          <w:i/>
          <w:sz w:val="18"/>
          <w:szCs w:val="18"/>
        </w:rPr>
        <w:t xml:space="preserve"> </w:t>
      </w:r>
      <w:r w:rsidR="008B4E6C">
        <w:rPr>
          <w:rFonts w:ascii="Arial" w:hAnsi="Arial" w:cs="Arial"/>
          <w:i/>
          <w:sz w:val="18"/>
          <w:szCs w:val="18"/>
        </w:rPr>
        <w:t>in terms of national accounts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Default="00B910FF" w:rsidP="00C063DD">
          <w:pPr>
            <w:pStyle w:val="Nadpis3"/>
            <w:spacing w:before="0"/>
            <w:jc w:val="right"/>
          </w:pPr>
          <w:r>
            <w:t>News release</w:t>
          </w:r>
        </w:p>
      </w:tc>
    </w:tr>
  </w:tbl>
  <w:p w14:paraId="59E182A3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50585037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106FE"/>
    <w:rsid w:val="000120B4"/>
    <w:rsid w:val="0002560E"/>
    <w:rsid w:val="00027C2D"/>
    <w:rsid w:val="00032CCE"/>
    <w:rsid w:val="00035F16"/>
    <w:rsid w:val="00043335"/>
    <w:rsid w:val="00052C69"/>
    <w:rsid w:val="00054392"/>
    <w:rsid w:val="0005510C"/>
    <w:rsid w:val="00055461"/>
    <w:rsid w:val="00056911"/>
    <w:rsid w:val="00062565"/>
    <w:rsid w:val="00070445"/>
    <w:rsid w:val="00071F0F"/>
    <w:rsid w:val="000752C4"/>
    <w:rsid w:val="00077A31"/>
    <w:rsid w:val="00083A55"/>
    <w:rsid w:val="00085436"/>
    <w:rsid w:val="00093DE2"/>
    <w:rsid w:val="000968A9"/>
    <w:rsid w:val="000B4B83"/>
    <w:rsid w:val="000B4F0B"/>
    <w:rsid w:val="000B5F0E"/>
    <w:rsid w:val="000C11F2"/>
    <w:rsid w:val="000C2452"/>
    <w:rsid w:val="000C34F6"/>
    <w:rsid w:val="000C4182"/>
    <w:rsid w:val="000C668F"/>
    <w:rsid w:val="000C67FA"/>
    <w:rsid w:val="000C68F4"/>
    <w:rsid w:val="000D2954"/>
    <w:rsid w:val="000D5C58"/>
    <w:rsid w:val="000D63BA"/>
    <w:rsid w:val="000E00C3"/>
    <w:rsid w:val="000E3099"/>
    <w:rsid w:val="000E3725"/>
    <w:rsid w:val="000F12FA"/>
    <w:rsid w:val="000F141D"/>
    <w:rsid w:val="000F57B4"/>
    <w:rsid w:val="000F5A54"/>
    <w:rsid w:val="00102994"/>
    <w:rsid w:val="0010606B"/>
    <w:rsid w:val="001112E6"/>
    <w:rsid w:val="00112607"/>
    <w:rsid w:val="00114093"/>
    <w:rsid w:val="00121A80"/>
    <w:rsid w:val="00124296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55200"/>
    <w:rsid w:val="00160FEB"/>
    <w:rsid w:val="00164790"/>
    <w:rsid w:val="00164FBA"/>
    <w:rsid w:val="001712FE"/>
    <w:rsid w:val="00171B3E"/>
    <w:rsid w:val="00175680"/>
    <w:rsid w:val="0018378B"/>
    <w:rsid w:val="00184318"/>
    <w:rsid w:val="001909FA"/>
    <w:rsid w:val="001D52C5"/>
    <w:rsid w:val="001D719A"/>
    <w:rsid w:val="001D78AA"/>
    <w:rsid w:val="001E0520"/>
    <w:rsid w:val="001E1B82"/>
    <w:rsid w:val="001E417F"/>
    <w:rsid w:val="001E513B"/>
    <w:rsid w:val="001E691A"/>
    <w:rsid w:val="001F2988"/>
    <w:rsid w:val="001F493F"/>
    <w:rsid w:val="001F7684"/>
    <w:rsid w:val="001F7B60"/>
    <w:rsid w:val="002000F6"/>
    <w:rsid w:val="00200551"/>
    <w:rsid w:val="002013B0"/>
    <w:rsid w:val="0020716F"/>
    <w:rsid w:val="00216463"/>
    <w:rsid w:val="00222610"/>
    <w:rsid w:val="002234D1"/>
    <w:rsid w:val="002337E3"/>
    <w:rsid w:val="002363CA"/>
    <w:rsid w:val="002439AF"/>
    <w:rsid w:val="002459D1"/>
    <w:rsid w:val="0024676C"/>
    <w:rsid w:val="00252E78"/>
    <w:rsid w:val="0025518A"/>
    <w:rsid w:val="00255C1B"/>
    <w:rsid w:val="00260DCA"/>
    <w:rsid w:val="0026276B"/>
    <w:rsid w:val="00275B42"/>
    <w:rsid w:val="00276F44"/>
    <w:rsid w:val="002776F6"/>
    <w:rsid w:val="00280346"/>
    <w:rsid w:val="00280D21"/>
    <w:rsid w:val="0028101B"/>
    <w:rsid w:val="002826B4"/>
    <w:rsid w:val="00285663"/>
    <w:rsid w:val="00293F29"/>
    <w:rsid w:val="00297C33"/>
    <w:rsid w:val="002A12A2"/>
    <w:rsid w:val="002B218E"/>
    <w:rsid w:val="002C4C20"/>
    <w:rsid w:val="002D11B9"/>
    <w:rsid w:val="002D796B"/>
    <w:rsid w:val="002F6E7C"/>
    <w:rsid w:val="002F7004"/>
    <w:rsid w:val="0030061B"/>
    <w:rsid w:val="00303A0E"/>
    <w:rsid w:val="003065FD"/>
    <w:rsid w:val="00307360"/>
    <w:rsid w:val="003206E7"/>
    <w:rsid w:val="003208E6"/>
    <w:rsid w:val="0032285E"/>
    <w:rsid w:val="0033021E"/>
    <w:rsid w:val="003351B8"/>
    <w:rsid w:val="00345045"/>
    <w:rsid w:val="00347FC7"/>
    <w:rsid w:val="003540FA"/>
    <w:rsid w:val="003549FD"/>
    <w:rsid w:val="00356332"/>
    <w:rsid w:val="00363815"/>
    <w:rsid w:val="00365163"/>
    <w:rsid w:val="003654CD"/>
    <w:rsid w:val="00367057"/>
    <w:rsid w:val="00370110"/>
    <w:rsid w:val="00372598"/>
    <w:rsid w:val="00383619"/>
    <w:rsid w:val="0038444D"/>
    <w:rsid w:val="00392F53"/>
    <w:rsid w:val="00393EC0"/>
    <w:rsid w:val="003A2A49"/>
    <w:rsid w:val="003A3966"/>
    <w:rsid w:val="003A7E6A"/>
    <w:rsid w:val="003B62E5"/>
    <w:rsid w:val="003C027F"/>
    <w:rsid w:val="003C3F6A"/>
    <w:rsid w:val="003C50A2"/>
    <w:rsid w:val="003D639F"/>
    <w:rsid w:val="003E0572"/>
    <w:rsid w:val="003E3254"/>
    <w:rsid w:val="003E3910"/>
    <w:rsid w:val="003E6369"/>
    <w:rsid w:val="003F36C7"/>
    <w:rsid w:val="003F5202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1CB3"/>
    <w:rsid w:val="0043243E"/>
    <w:rsid w:val="00433E54"/>
    <w:rsid w:val="004346EB"/>
    <w:rsid w:val="00436EC2"/>
    <w:rsid w:val="00450156"/>
    <w:rsid w:val="004533F8"/>
    <w:rsid w:val="00454DC7"/>
    <w:rsid w:val="004554F8"/>
    <w:rsid w:val="00455A60"/>
    <w:rsid w:val="004573FA"/>
    <w:rsid w:val="004607B2"/>
    <w:rsid w:val="00463047"/>
    <w:rsid w:val="00465F22"/>
    <w:rsid w:val="0046727D"/>
    <w:rsid w:val="00472093"/>
    <w:rsid w:val="004723B2"/>
    <w:rsid w:val="00491CE8"/>
    <w:rsid w:val="00493ED9"/>
    <w:rsid w:val="004977D7"/>
    <w:rsid w:val="004A01A7"/>
    <w:rsid w:val="004A09C5"/>
    <w:rsid w:val="004A38DD"/>
    <w:rsid w:val="004B4A94"/>
    <w:rsid w:val="004C7DCA"/>
    <w:rsid w:val="004D0657"/>
    <w:rsid w:val="004E7E0E"/>
    <w:rsid w:val="004F1941"/>
    <w:rsid w:val="00500A63"/>
    <w:rsid w:val="00520EDC"/>
    <w:rsid w:val="00521746"/>
    <w:rsid w:val="00534403"/>
    <w:rsid w:val="00534F17"/>
    <w:rsid w:val="00542A56"/>
    <w:rsid w:val="00542CA8"/>
    <w:rsid w:val="0054597A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6561F"/>
    <w:rsid w:val="00573D51"/>
    <w:rsid w:val="00574BF6"/>
    <w:rsid w:val="00576FE2"/>
    <w:rsid w:val="005801BB"/>
    <w:rsid w:val="005865A4"/>
    <w:rsid w:val="00586756"/>
    <w:rsid w:val="0058729F"/>
    <w:rsid w:val="005904B5"/>
    <w:rsid w:val="00592676"/>
    <w:rsid w:val="00593FA2"/>
    <w:rsid w:val="005970F5"/>
    <w:rsid w:val="005977BA"/>
    <w:rsid w:val="005A012C"/>
    <w:rsid w:val="005A4EC9"/>
    <w:rsid w:val="005A60C3"/>
    <w:rsid w:val="005A7249"/>
    <w:rsid w:val="005B4AE9"/>
    <w:rsid w:val="005C14EB"/>
    <w:rsid w:val="005C2979"/>
    <w:rsid w:val="005C29C9"/>
    <w:rsid w:val="005C4A33"/>
    <w:rsid w:val="005C781E"/>
    <w:rsid w:val="005C7D67"/>
    <w:rsid w:val="00601C8A"/>
    <w:rsid w:val="00601DFE"/>
    <w:rsid w:val="00604D29"/>
    <w:rsid w:val="006051FE"/>
    <w:rsid w:val="00606580"/>
    <w:rsid w:val="00606CF5"/>
    <w:rsid w:val="00607675"/>
    <w:rsid w:val="006120D2"/>
    <w:rsid w:val="0062151D"/>
    <w:rsid w:val="0062374F"/>
    <w:rsid w:val="006254F9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77EA2"/>
    <w:rsid w:val="006950C1"/>
    <w:rsid w:val="0069631F"/>
    <w:rsid w:val="00696BBD"/>
    <w:rsid w:val="006A0ED3"/>
    <w:rsid w:val="006A3008"/>
    <w:rsid w:val="006A4940"/>
    <w:rsid w:val="006A57CC"/>
    <w:rsid w:val="006B628A"/>
    <w:rsid w:val="006C0860"/>
    <w:rsid w:val="006C0B80"/>
    <w:rsid w:val="006C24E6"/>
    <w:rsid w:val="006D02FF"/>
    <w:rsid w:val="006E7273"/>
    <w:rsid w:val="006F05B1"/>
    <w:rsid w:val="006F4755"/>
    <w:rsid w:val="006F51DB"/>
    <w:rsid w:val="00702BED"/>
    <w:rsid w:val="007049E6"/>
    <w:rsid w:val="00713213"/>
    <w:rsid w:val="007141CA"/>
    <w:rsid w:val="0071455E"/>
    <w:rsid w:val="00716F0E"/>
    <w:rsid w:val="007227D6"/>
    <w:rsid w:val="00724E67"/>
    <w:rsid w:val="00727F2E"/>
    <w:rsid w:val="0073040F"/>
    <w:rsid w:val="007334B7"/>
    <w:rsid w:val="007371E0"/>
    <w:rsid w:val="0075474D"/>
    <w:rsid w:val="00764BFB"/>
    <w:rsid w:val="00765263"/>
    <w:rsid w:val="00773B0B"/>
    <w:rsid w:val="00783E51"/>
    <w:rsid w:val="007848B0"/>
    <w:rsid w:val="00787190"/>
    <w:rsid w:val="00791A49"/>
    <w:rsid w:val="00791B29"/>
    <w:rsid w:val="007A5B38"/>
    <w:rsid w:val="007B5567"/>
    <w:rsid w:val="007D2831"/>
    <w:rsid w:val="007D3BE5"/>
    <w:rsid w:val="007D6A0E"/>
    <w:rsid w:val="007D6F07"/>
    <w:rsid w:val="00801CDD"/>
    <w:rsid w:val="0081030A"/>
    <w:rsid w:val="00811964"/>
    <w:rsid w:val="008321E1"/>
    <w:rsid w:val="008348BA"/>
    <w:rsid w:val="00834A49"/>
    <w:rsid w:val="00834AF3"/>
    <w:rsid w:val="00837E45"/>
    <w:rsid w:val="0084277E"/>
    <w:rsid w:val="00851074"/>
    <w:rsid w:val="008541DA"/>
    <w:rsid w:val="00870D3E"/>
    <w:rsid w:val="008766C2"/>
    <w:rsid w:val="00877CF1"/>
    <w:rsid w:val="00884306"/>
    <w:rsid w:val="008906AD"/>
    <w:rsid w:val="0089315D"/>
    <w:rsid w:val="00896172"/>
    <w:rsid w:val="008A4056"/>
    <w:rsid w:val="008A4895"/>
    <w:rsid w:val="008B0E87"/>
    <w:rsid w:val="008B4E6C"/>
    <w:rsid w:val="008C2E06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77AEB"/>
    <w:rsid w:val="00983393"/>
    <w:rsid w:val="00984352"/>
    <w:rsid w:val="00985819"/>
    <w:rsid w:val="00992A51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153A"/>
    <w:rsid w:val="00A2525A"/>
    <w:rsid w:val="00A274A1"/>
    <w:rsid w:val="00A3283F"/>
    <w:rsid w:val="00A334B6"/>
    <w:rsid w:val="00A47859"/>
    <w:rsid w:val="00A55A71"/>
    <w:rsid w:val="00A7786D"/>
    <w:rsid w:val="00A82885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7D97"/>
    <w:rsid w:val="00AE1317"/>
    <w:rsid w:val="00AE6440"/>
    <w:rsid w:val="00AF06B0"/>
    <w:rsid w:val="00AF3319"/>
    <w:rsid w:val="00AF39AC"/>
    <w:rsid w:val="00AF5A51"/>
    <w:rsid w:val="00AF6E9E"/>
    <w:rsid w:val="00AF7D65"/>
    <w:rsid w:val="00B0330A"/>
    <w:rsid w:val="00B07208"/>
    <w:rsid w:val="00B13E35"/>
    <w:rsid w:val="00B2195A"/>
    <w:rsid w:val="00B271A1"/>
    <w:rsid w:val="00B31BB1"/>
    <w:rsid w:val="00B34609"/>
    <w:rsid w:val="00B373F9"/>
    <w:rsid w:val="00B37A65"/>
    <w:rsid w:val="00B40D87"/>
    <w:rsid w:val="00B422EB"/>
    <w:rsid w:val="00B43D9B"/>
    <w:rsid w:val="00B47092"/>
    <w:rsid w:val="00B51C8F"/>
    <w:rsid w:val="00B602D0"/>
    <w:rsid w:val="00B62344"/>
    <w:rsid w:val="00B6782A"/>
    <w:rsid w:val="00B70022"/>
    <w:rsid w:val="00B707D3"/>
    <w:rsid w:val="00B7165F"/>
    <w:rsid w:val="00B733E5"/>
    <w:rsid w:val="00B759AD"/>
    <w:rsid w:val="00B8647F"/>
    <w:rsid w:val="00B8724F"/>
    <w:rsid w:val="00B90BD8"/>
    <w:rsid w:val="00B910FF"/>
    <w:rsid w:val="00B93F3E"/>
    <w:rsid w:val="00B96F18"/>
    <w:rsid w:val="00BA0EA2"/>
    <w:rsid w:val="00BA64C3"/>
    <w:rsid w:val="00BA6934"/>
    <w:rsid w:val="00BB2466"/>
    <w:rsid w:val="00BB2B9A"/>
    <w:rsid w:val="00BB6195"/>
    <w:rsid w:val="00BB6635"/>
    <w:rsid w:val="00BC23FF"/>
    <w:rsid w:val="00BC5C99"/>
    <w:rsid w:val="00BC6660"/>
    <w:rsid w:val="00BD27B2"/>
    <w:rsid w:val="00BD2EEA"/>
    <w:rsid w:val="00BE002F"/>
    <w:rsid w:val="00BE2E0B"/>
    <w:rsid w:val="00BE3BE4"/>
    <w:rsid w:val="00BE5550"/>
    <w:rsid w:val="00BF3C87"/>
    <w:rsid w:val="00BF3DC1"/>
    <w:rsid w:val="00BF58C9"/>
    <w:rsid w:val="00C044C1"/>
    <w:rsid w:val="00C063DD"/>
    <w:rsid w:val="00C12B28"/>
    <w:rsid w:val="00C15C5E"/>
    <w:rsid w:val="00C206E5"/>
    <w:rsid w:val="00C21594"/>
    <w:rsid w:val="00C240F6"/>
    <w:rsid w:val="00C27088"/>
    <w:rsid w:val="00C27B17"/>
    <w:rsid w:val="00C311A5"/>
    <w:rsid w:val="00C43585"/>
    <w:rsid w:val="00C4391D"/>
    <w:rsid w:val="00C47BEA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8751B"/>
    <w:rsid w:val="00CA3ABB"/>
    <w:rsid w:val="00CA49F9"/>
    <w:rsid w:val="00CA5D7E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E61CA"/>
    <w:rsid w:val="00CF6697"/>
    <w:rsid w:val="00D04474"/>
    <w:rsid w:val="00D066AA"/>
    <w:rsid w:val="00D12AC4"/>
    <w:rsid w:val="00D135E9"/>
    <w:rsid w:val="00D15B3B"/>
    <w:rsid w:val="00D17598"/>
    <w:rsid w:val="00D20AC3"/>
    <w:rsid w:val="00D320E1"/>
    <w:rsid w:val="00D42A67"/>
    <w:rsid w:val="00D50FAD"/>
    <w:rsid w:val="00D63056"/>
    <w:rsid w:val="00D70040"/>
    <w:rsid w:val="00D7143F"/>
    <w:rsid w:val="00D878F2"/>
    <w:rsid w:val="00DA09E9"/>
    <w:rsid w:val="00DA10DB"/>
    <w:rsid w:val="00DB14C3"/>
    <w:rsid w:val="00DB6D75"/>
    <w:rsid w:val="00DC4750"/>
    <w:rsid w:val="00DD3D93"/>
    <w:rsid w:val="00DD4E3E"/>
    <w:rsid w:val="00DD6689"/>
    <w:rsid w:val="00DF3F66"/>
    <w:rsid w:val="00E12747"/>
    <w:rsid w:val="00E14659"/>
    <w:rsid w:val="00E158A6"/>
    <w:rsid w:val="00E24FEA"/>
    <w:rsid w:val="00E34849"/>
    <w:rsid w:val="00E414DB"/>
    <w:rsid w:val="00E43B62"/>
    <w:rsid w:val="00E456D4"/>
    <w:rsid w:val="00E47767"/>
    <w:rsid w:val="00E62893"/>
    <w:rsid w:val="00E67257"/>
    <w:rsid w:val="00E704CC"/>
    <w:rsid w:val="00E721D1"/>
    <w:rsid w:val="00E72CDB"/>
    <w:rsid w:val="00E77C4B"/>
    <w:rsid w:val="00E80A6F"/>
    <w:rsid w:val="00E84002"/>
    <w:rsid w:val="00E8736C"/>
    <w:rsid w:val="00E9571D"/>
    <w:rsid w:val="00E97FB6"/>
    <w:rsid w:val="00EA7A87"/>
    <w:rsid w:val="00EB5DA8"/>
    <w:rsid w:val="00EB61CB"/>
    <w:rsid w:val="00EC2292"/>
    <w:rsid w:val="00ED1F90"/>
    <w:rsid w:val="00EE2027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30E1E"/>
    <w:rsid w:val="00F326DB"/>
    <w:rsid w:val="00F33157"/>
    <w:rsid w:val="00F34410"/>
    <w:rsid w:val="00F4269B"/>
    <w:rsid w:val="00F562EF"/>
    <w:rsid w:val="00F5761A"/>
    <w:rsid w:val="00F668A6"/>
    <w:rsid w:val="00F67492"/>
    <w:rsid w:val="00F70F49"/>
    <w:rsid w:val="00F837DE"/>
    <w:rsid w:val="00F83BEC"/>
    <w:rsid w:val="00F86DF8"/>
    <w:rsid w:val="00F928EA"/>
    <w:rsid w:val="00FA0609"/>
    <w:rsid w:val="00FA0FB3"/>
    <w:rsid w:val="00FA0FEF"/>
    <w:rsid w:val="00FA20C8"/>
    <w:rsid w:val="00FA634C"/>
    <w:rsid w:val="00FA79CC"/>
    <w:rsid w:val="00FA7B77"/>
    <w:rsid w:val="00FB11FD"/>
    <w:rsid w:val="00FB202B"/>
    <w:rsid w:val="00FB4F1B"/>
    <w:rsid w:val="00FB57B9"/>
    <w:rsid w:val="00FC186E"/>
    <w:rsid w:val="00FD196D"/>
    <w:rsid w:val="00FD5BC4"/>
    <w:rsid w:val="00FD5BEC"/>
    <w:rsid w:val="00FD5E47"/>
    <w:rsid w:val="00FD715A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28A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erex0">
    <w:name w:val="Perex_"/>
    <w:next w:val="Normln"/>
    <w:qFormat/>
    <w:rsid w:val="006B628A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Zkladntext2">
    <w:name w:val="Body Text 2"/>
    <w:basedOn w:val="Normln"/>
    <w:link w:val="Zkladntext2Char"/>
    <w:unhideWhenUsed/>
    <w:rsid w:val="006B628A"/>
    <w:pPr>
      <w:spacing w:after="120" w:line="480" w:lineRule="auto"/>
      <w:jc w:val="left"/>
    </w:pPr>
    <w:rPr>
      <w:rFonts w:ascii="Arial" w:eastAsia="Calibri" w:hAnsi="Arial" w:cs="Times New Roman"/>
      <w:kern w:val="0"/>
      <w:sz w:val="18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6B628A"/>
    <w:rPr>
      <w:rFonts w:ascii="Arial" w:eastAsia="Calibri" w:hAnsi="Arial" w:cs="Times New Roman"/>
      <w:kern w:val="0"/>
      <w:sz w:val="18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D42A67"/>
    <w:rPr>
      <w:color w:val="00459B" w:themeColor="followedHyperlink"/>
      <w:u w:val="single"/>
    </w:rPr>
  </w:style>
  <w:style w:type="paragraph" w:customStyle="1" w:styleId="Poznamkytexty">
    <w:name w:val="Poznamky texty"/>
    <w:basedOn w:val="Normln"/>
    <w:qFormat/>
    <w:rsid w:val="00ED1F90"/>
    <w:pPr>
      <w:spacing w:after="0" w:line="240" w:lineRule="exact"/>
    </w:pPr>
    <w:rPr>
      <w:rFonts w:ascii="Arial" w:eastAsia="Calibri" w:hAnsi="Arial" w:cs="ArialMT"/>
      <w:i/>
      <w:color w:val="000000"/>
      <w:kern w:val="0"/>
      <w:sz w:val="18"/>
      <w:szCs w:val="18"/>
      <w14:ligatures w14:val="none"/>
    </w:rPr>
  </w:style>
  <w:style w:type="paragraph" w:customStyle="1" w:styleId="Poznmky0">
    <w:name w:val="Poznámky_"/>
    <w:next w:val="Normln"/>
    <w:qFormat/>
    <w:rsid w:val="00431CB3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n.benedikt@czs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kermiet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quarterly-gdp-estimates?pocet=10&amp;start=0&amp;podskupiny=051&amp;razeni=-datumVydan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Logo_&#353;ablony_a_podpisy_a_n&#225;zvy_funkc&#237;_AJ_MM_06_2026\Form_c466_Rychla%20informace_EN.dotx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ABFS3\BARANNU\nu\QU\HDP\VYS\RI\2026\3Q\T30\Graf_HDP_T30_&#382;iv&#28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054117072575236E-2"/>
          <c:y val="0.14749411982623345"/>
          <c:w val="0.91732965970245384"/>
          <c:h val="0.6605133475398108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data!$D$6</c:f>
              <c:strCache>
                <c:ptCount val="1"/>
                <c:pt idx="0">
                  <c:v>Quarter-on-quarter real change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cat>
            <c:multiLvlStrRef>
              <c:f>data!$B$91:$C$129</c:f>
              <c:multiLvlStrCache>
                <c:ptCount val="39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  <c:pt idx="22">
                    <c:v>3</c:v>
                  </c:pt>
                  <c:pt idx="23">
                    <c:v>4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1</c:v>
                  </c:pt>
                  <c:pt idx="29">
                    <c:v>2</c:v>
                  </c:pt>
                  <c:pt idx="30">
                    <c:v>3</c:v>
                  </c:pt>
                  <c:pt idx="31">
                    <c:v>4</c:v>
                  </c:pt>
                  <c:pt idx="32">
                    <c:v>1</c:v>
                  </c:pt>
                  <c:pt idx="33">
                    <c:v>2</c:v>
                  </c:pt>
                  <c:pt idx="34">
                    <c:v>3</c:v>
                  </c:pt>
                  <c:pt idx="35">
                    <c:v>4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</c:lvl>
                <c:lvl>
                  <c:pt idx="0">
                    <c:v>2017</c:v>
                  </c:pt>
                  <c:pt idx="4">
                    <c:v>2018</c:v>
                  </c:pt>
                  <c:pt idx="8">
                    <c:v>2019</c:v>
                  </c:pt>
                  <c:pt idx="12">
                    <c:v>2020</c:v>
                  </c:pt>
                  <c:pt idx="16">
                    <c:v>2021</c:v>
                  </c:pt>
                  <c:pt idx="20">
                    <c:v>2022</c:v>
                  </c:pt>
                  <c:pt idx="24">
                    <c:v>2023</c:v>
                  </c:pt>
                  <c:pt idx="28">
                    <c:v>2024</c:v>
                  </c:pt>
                  <c:pt idx="32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data!$D$91:$D$129</c:f>
              <c:numCache>
                <c:formatCode>#\ ##0.0</c:formatCode>
                <c:ptCount val="39"/>
                <c:pt idx="0">
                  <c:v>1.4389912596697343</c:v>
                </c:pt>
                <c:pt idx="1">
                  <c:v>3.0227375776059802</c:v>
                </c:pt>
                <c:pt idx="2">
                  <c:v>0.60998012854686579</c:v>
                </c:pt>
                <c:pt idx="3">
                  <c:v>0.51584079563333773</c:v>
                </c:pt>
                <c:pt idx="4">
                  <c:v>0.39470851784093952</c:v>
                </c:pt>
                <c:pt idx="5">
                  <c:v>0.58870302075682446</c:v>
                </c:pt>
                <c:pt idx="6">
                  <c:v>0.61243510521687483</c:v>
                </c:pt>
                <c:pt idx="7">
                  <c:v>0.82592621137216327</c:v>
                </c:pt>
                <c:pt idx="8">
                  <c:v>1.4432399460014551</c:v>
                </c:pt>
                <c:pt idx="9">
                  <c:v>0.70472945760593575</c:v>
                </c:pt>
                <c:pt idx="10">
                  <c:v>0.46401171228589533</c:v>
                </c:pt>
                <c:pt idx="11">
                  <c:v>0.68045966017105286</c:v>
                </c:pt>
                <c:pt idx="12">
                  <c:v>-3.3379674856075212</c:v>
                </c:pt>
                <c:pt idx="13">
                  <c:v>-8.549847723084298</c:v>
                </c:pt>
                <c:pt idx="14">
                  <c:v>7.1743910040053009</c:v>
                </c:pt>
                <c:pt idx="15">
                  <c:v>0.78052715406535356</c:v>
                </c:pt>
                <c:pt idx="16">
                  <c:v>2.9228489125699753E-2</c:v>
                </c:pt>
                <c:pt idx="17">
                  <c:v>1.4365987982629065</c:v>
                </c:pt>
                <c:pt idx="18">
                  <c:v>1.7350211172300334</c:v>
                </c:pt>
                <c:pt idx="19">
                  <c:v>0.61863116182236411</c:v>
                </c:pt>
                <c:pt idx="20">
                  <c:v>0.94875912386910954</c:v>
                </c:pt>
                <c:pt idx="21">
                  <c:v>0.30646581691773633</c:v>
                </c:pt>
                <c:pt idx="22">
                  <c:v>0.13616054375498265</c:v>
                </c:pt>
                <c:pt idx="23">
                  <c:v>-0.38583788533028951</c:v>
                </c:pt>
                <c:pt idx="24">
                  <c:v>0.18555807792735379</c:v>
                </c:pt>
                <c:pt idx="25">
                  <c:v>0.39909210092633884</c:v>
                </c:pt>
                <c:pt idx="26">
                  <c:v>-0.41332680900401897</c:v>
                </c:pt>
                <c:pt idx="27">
                  <c:v>0.28624584461248048</c:v>
                </c:pt>
                <c:pt idx="28">
                  <c:v>0.3175438800764141</c:v>
                </c:pt>
                <c:pt idx="29">
                  <c:v>0.2845730262160231</c:v>
                </c:pt>
                <c:pt idx="30">
                  <c:v>0.65499085529410195</c:v>
                </c:pt>
                <c:pt idx="31">
                  <c:v>0.71446907920018532</c:v>
                </c:pt>
                <c:pt idx="32">
                  <c:v>0.79124372603251913</c:v>
                </c:pt>
                <c:pt idx="33">
                  <c:v>0.57695279047358383</c:v>
                </c:pt>
                <c:pt idx="34">
                  <c:v>0.69504012158112971</c:v>
                </c:pt>
                <c:pt idx="35">
                  <c:v>0.70410333907653921</c:v>
                </c:pt>
                <c:pt idx="36">
                  <c:v>9.5714727437055558E-2</c:v>
                </c:pt>
                <c:pt idx="37">
                  <c:v>0.28055348780146971</c:v>
                </c:pt>
                <c:pt idx="38">
                  <c:v>0.53336779657978184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2C-46C6-946E-680FC07EA15A}"/>
            </c:ext>
          </c:extLst>
        </c:ser>
        <c:ser>
          <c:idx val="0"/>
          <c:order val="1"/>
          <c:tx>
            <c:strRef>
              <c:f>data!$G$6</c:f>
              <c:strCache>
                <c:ptCount val="1"/>
                <c:pt idx="0">
                  <c:v>Year-on-year real change</c:v>
                </c:pt>
              </c:strCache>
            </c:strRef>
          </c:tx>
          <c:spPr>
            <a:solidFill>
              <a:srgbClr val="BD1B21"/>
            </a:solidFill>
            <a:ln>
              <a:noFill/>
            </a:ln>
          </c:spPr>
          <c:invertIfNegative val="0"/>
          <c:cat>
            <c:multiLvlStrRef>
              <c:f>data!$B$91:$C$129</c:f>
              <c:multiLvlStrCache>
                <c:ptCount val="39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  <c:pt idx="22">
                    <c:v>3</c:v>
                  </c:pt>
                  <c:pt idx="23">
                    <c:v>4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1</c:v>
                  </c:pt>
                  <c:pt idx="29">
                    <c:v>2</c:v>
                  </c:pt>
                  <c:pt idx="30">
                    <c:v>3</c:v>
                  </c:pt>
                  <c:pt idx="31">
                    <c:v>4</c:v>
                  </c:pt>
                  <c:pt idx="32">
                    <c:v>1</c:v>
                  </c:pt>
                  <c:pt idx="33">
                    <c:v>2</c:v>
                  </c:pt>
                  <c:pt idx="34">
                    <c:v>3</c:v>
                  </c:pt>
                  <c:pt idx="35">
                    <c:v>4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</c:lvl>
                <c:lvl>
                  <c:pt idx="0">
                    <c:v>2017</c:v>
                  </c:pt>
                  <c:pt idx="4">
                    <c:v>2018</c:v>
                  </c:pt>
                  <c:pt idx="8">
                    <c:v>2019</c:v>
                  </c:pt>
                  <c:pt idx="12">
                    <c:v>2020</c:v>
                  </c:pt>
                  <c:pt idx="16">
                    <c:v>2021</c:v>
                  </c:pt>
                  <c:pt idx="20">
                    <c:v>2022</c:v>
                  </c:pt>
                  <c:pt idx="24">
                    <c:v>2023</c:v>
                  </c:pt>
                  <c:pt idx="28">
                    <c:v>2024</c:v>
                  </c:pt>
                  <c:pt idx="32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data!$G$91:$G$129</c:f>
              <c:numCache>
                <c:formatCode>#\ ##0.0</c:formatCode>
                <c:ptCount val="39"/>
                <c:pt idx="0">
                  <c:v>3.5468626217481471</c:v>
                </c:pt>
                <c:pt idx="1">
                  <c:v>6.3545636342577012</c:v>
                </c:pt>
                <c:pt idx="2">
                  <c:v>5.9607907363201491</c:v>
                </c:pt>
                <c:pt idx="3">
                  <c:v>5.685055749828976</c:v>
                </c:pt>
                <c:pt idx="4">
                  <c:v>4.5970610998600847</c:v>
                </c:pt>
                <c:pt idx="5">
                  <c:v>2.1258312796454959</c:v>
                </c:pt>
                <c:pt idx="6">
                  <c:v>2.1283232444870919</c:v>
                </c:pt>
                <c:pt idx="7">
                  <c:v>2.4433830730803123</c:v>
                </c:pt>
                <c:pt idx="8">
                  <c:v>3.5133110438371205</c:v>
                </c:pt>
                <c:pt idx="9">
                  <c:v>3.6327109395132027</c:v>
                </c:pt>
                <c:pt idx="10">
                  <c:v>3.4798320378128835</c:v>
                </c:pt>
                <c:pt idx="11">
                  <c:v>3.3305365653978782</c:v>
                </c:pt>
                <c:pt idx="12">
                  <c:v>-1.5396226448324768</c:v>
                </c:pt>
                <c:pt idx="13">
                  <c:v>-10.587948045049927</c:v>
                </c:pt>
                <c:pt idx="14">
                  <c:v>-4.6157718235098457</c:v>
                </c:pt>
                <c:pt idx="15">
                  <c:v>-4.5209683164253676</c:v>
                </c:pt>
                <c:pt idx="16">
                  <c:v>-1.1949818583143212</c:v>
                </c:pt>
                <c:pt idx="17">
                  <c:v>9.5946232450743878</c:v>
                </c:pt>
                <c:pt idx="18">
                  <c:v>4.0324204851868899</c:v>
                </c:pt>
                <c:pt idx="19">
                  <c:v>3.8653005820121109</c:v>
                </c:pt>
                <c:pt idx="20">
                  <c:v>4.820094767817281</c:v>
                </c:pt>
                <c:pt idx="21">
                  <c:v>3.6522653294463083</c:v>
                </c:pt>
                <c:pt idx="22">
                  <c:v>2.0232734781971686</c:v>
                </c:pt>
                <c:pt idx="23">
                  <c:v>1.0047819809989562</c:v>
                </c:pt>
                <c:pt idx="24">
                  <c:v>0.24115738648137608</c:v>
                </c:pt>
                <c:pt idx="25">
                  <c:v>0.33372336254097945</c:v>
                </c:pt>
                <c:pt idx="26">
                  <c:v>-0.21684809679560146</c:v>
                </c:pt>
                <c:pt idx="27">
                  <c:v>0.45637578515957955</c:v>
                </c:pt>
                <c:pt idx="28">
                  <c:v>0.58871836619984208</c:v>
                </c:pt>
                <c:pt idx="29">
                  <c:v>0.47398299646150122</c:v>
                </c:pt>
                <c:pt idx="30">
                  <c:v>1.5518192911999336</c:v>
                </c:pt>
                <c:pt idx="31">
                  <c:v>1.9854465365803691</c:v>
                </c:pt>
                <c:pt idx="32">
                  <c:v>2.4670222255933822</c:v>
                </c:pt>
                <c:pt idx="33">
                  <c:v>2.7657649224851752</c:v>
                </c:pt>
                <c:pt idx="34">
                  <c:v>2.8066540373675934</c:v>
                </c:pt>
                <c:pt idx="35">
                  <c:v>2.7960729652686496</c:v>
                </c:pt>
                <c:pt idx="36">
                  <c:v>2.0867092641576335</c:v>
                </c:pt>
                <c:pt idx="37">
                  <c:v>1.7858607238263176</c:v>
                </c:pt>
                <c:pt idx="38">
                  <c:v>1.6224370166048345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2C-46C6-946E-680FC07EA1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axId val="200844800"/>
        <c:axId val="44289984"/>
      </c:barChart>
      <c:catAx>
        <c:axId val="200844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 algn="ctr">
                  <a:defRPr/>
                </a:pPr>
                <a:r>
                  <a:rPr lang="cs-CZ" sz="600" b="1" i="0"/>
                  <a:t>Quarter</a:t>
                </a:r>
              </a:p>
            </c:rich>
          </c:tx>
          <c:layout>
            <c:manualLayout>
              <c:xMode val="edge"/>
              <c:yMode val="edge"/>
              <c:x val="0.47599321872045641"/>
              <c:y val="0.88230044181137623"/>
            </c:manualLayout>
          </c:layout>
          <c:overlay val="0"/>
        </c:title>
        <c:numFmt formatCode="General" sourceLinked="0"/>
        <c:majorTickMark val="out"/>
        <c:minorTickMark val="none"/>
        <c:tickLblPos val="low"/>
        <c:spPr>
          <a:ln>
            <a:solidFill>
              <a:schemeClr val="bg1">
                <a:lumMod val="50000"/>
              </a:schemeClr>
            </a:solidFill>
          </a:ln>
        </c:spPr>
        <c:txPr>
          <a:bodyPr/>
          <a:lstStyle/>
          <a:p>
            <a:pPr>
              <a:defRPr sz="430" baseline="0"/>
            </a:pPr>
            <a:endParaRPr lang="cs-CZ"/>
          </a:p>
        </c:txPr>
        <c:crossAx val="44289984"/>
        <c:crossesAt val="0"/>
        <c:auto val="1"/>
        <c:lblAlgn val="ctr"/>
        <c:lblOffset val="100"/>
        <c:noMultiLvlLbl val="0"/>
      </c:catAx>
      <c:valAx>
        <c:axId val="44289984"/>
        <c:scaling>
          <c:orientation val="minMax"/>
          <c:max val="10"/>
          <c:min val="-12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600" baseline="0"/>
                </a:pPr>
                <a:r>
                  <a:rPr lang="cs-CZ" sz="600" baseline="0"/>
                  <a:t>%</a:t>
                </a:r>
                <a:endParaRPr lang="cs-CZ" sz="600" b="0" i="1" baseline="0"/>
              </a:p>
            </c:rich>
          </c:tx>
          <c:layout>
            <c:manualLayout>
              <c:xMode val="edge"/>
              <c:yMode val="edge"/>
              <c:x val="1.800704635586178E-2"/>
              <c:y val="0.42288854967985046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430" baseline="0"/>
            </a:pPr>
            <a:endParaRPr lang="cs-CZ"/>
          </a:p>
        </c:txPr>
        <c:crossAx val="200844800"/>
        <c:crosses val="autoZero"/>
        <c:crossBetween val="between"/>
        <c:majorUnit val="2"/>
      </c:valAx>
      <c:spPr>
        <a:ln>
          <a:solidFill>
            <a:schemeClr val="bg1">
              <a:lumMod val="75000"/>
            </a:schemeClr>
          </a:solidFill>
        </a:ln>
      </c:spPr>
    </c:plotArea>
    <c:legend>
      <c:legendPos val="r"/>
      <c:legendEntry>
        <c:idx val="0"/>
        <c:txPr>
          <a:bodyPr/>
          <a:lstStyle/>
          <a:p>
            <a:pPr>
              <a:defRPr sz="600"/>
            </a:pPr>
            <a:endParaRPr lang="cs-CZ"/>
          </a:p>
        </c:txPr>
      </c:legendEntry>
      <c:legendEntry>
        <c:idx val="1"/>
        <c:txPr>
          <a:bodyPr/>
          <a:lstStyle/>
          <a:p>
            <a:pPr>
              <a:defRPr sz="600"/>
            </a:pPr>
            <a:endParaRPr lang="cs-CZ"/>
          </a:p>
        </c:txPr>
      </c:legendEntry>
      <c:layout>
        <c:manualLayout>
          <c:xMode val="edge"/>
          <c:yMode val="edge"/>
          <c:x val="1.0071260017624607E-2"/>
          <c:y val="0.91938196784902826"/>
          <c:w val="0.97560887856009215"/>
          <c:h val="4.1594148140311635E-2"/>
        </c:manualLayout>
      </c:layout>
      <c:overlay val="0"/>
      <c:spPr>
        <a:solidFill>
          <a:schemeClr val="bg1">
            <a:lumMod val="95000"/>
          </a:schemeClr>
        </a:solidFill>
      </c:spPr>
    </c:legend>
    <c:plotVisOnly val="1"/>
    <c:dispBlanksAs val="gap"/>
    <c:showDLblsOverMax val="0"/>
  </c:chart>
  <c:spPr>
    <a:ln w="6350">
      <a:solidFill>
        <a:schemeClr val="bg1">
          <a:lumMod val="50000"/>
        </a:schemeClr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cs-CZ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0.01172</cdr:x>
      <cdr:y>0.01536</cdr:y>
    </cdr:from>
    <cdr:to>
      <cdr:x>0.98783</cdr:x>
      <cdr:y>0.12092</cdr:y>
    </cdr:to>
    <cdr:sp macro="" textlink="">
      <cdr:nvSpPr>
        <cdr:cNvPr id="3" name="TextovéPole 1"/>
        <cdr:cNvSpPr txBox="1"/>
      </cdr:nvSpPr>
      <cdr:spPr>
        <a:xfrm xmlns:a="http://schemas.openxmlformats.org/drawingml/2006/main">
          <a:off x="114300" y="76201"/>
          <a:ext cx="9522637" cy="52387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>
            <a:lumMod val="95000"/>
          </a:schemeClr>
        </a:solidFill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cs-CZ" sz="1100" b="1" i="0" baseline="0">
              <a:effectLst/>
              <a:latin typeface="+mn-lt"/>
              <a:ea typeface="+mn-ea"/>
              <a:cs typeface="+mn-cs"/>
            </a:rPr>
            <a:t>Gross domestic product</a:t>
          </a:r>
          <a:endParaRPr lang="cs-CZ" sz="1000">
            <a:effectLst/>
          </a:endParaRPr>
        </a:p>
        <a:p xmlns:a="http://schemas.openxmlformats.org/drawingml/2006/main">
          <a:pPr marL="0" marR="0" lvl="0" indent="0" algn="l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cs-CZ" sz="1100" b="0" i="1" baseline="0">
              <a:effectLst/>
              <a:latin typeface="+mn-lt"/>
              <a:ea typeface="+mn-ea"/>
              <a:cs typeface="+mn-cs"/>
            </a:rPr>
            <a:t>quarter-on-quarter and year-on-year real change, seasonally adjusted</a:t>
          </a:r>
          <a:endParaRPr lang="cs-CZ" sz="1000" b="0" i="1" cap="none" baseline="0">
            <a:latin typeface="Arial" pitchFamily="34" charset="0"/>
            <a:ea typeface="+mn-ea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B75111-08A4-49CE-AD4C-2C129FAB2496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38</TotalTime>
  <Pages>2</Pages>
  <Words>360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Benedikt Jan</cp:lastModifiedBy>
  <cp:revision>45</cp:revision>
  <dcterms:created xsi:type="dcterms:W3CDTF">2026-10-27T11:07:00Z</dcterms:created>
  <dcterms:modified xsi:type="dcterms:W3CDTF">2026-10-29T08:01:00Z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