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0B1D4F53" w:rsidR="0096305F" w:rsidRDefault="00DA25C1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B0110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206369">
        <w:rPr>
          <w:rFonts w:cs="Arial"/>
          <w:b/>
          <w:sz w:val="18"/>
        </w:rPr>
        <w:t>7</w:t>
      </w:r>
      <w:r w:rsidR="0096305F" w:rsidRPr="0096305F">
        <w:rPr>
          <w:rFonts w:cs="Arial"/>
          <w:b/>
          <w:sz w:val="18"/>
        </w:rPr>
        <w:t>. 2020</w:t>
      </w:r>
    </w:p>
    <w:p w14:paraId="71741846" w14:textId="2C817FEB" w:rsidR="00A54606" w:rsidRPr="0096305F" w:rsidRDefault="00397B96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</w:t>
      </w:r>
      <w:r w:rsidR="009D74FA">
        <w:rPr>
          <w:rFonts w:eastAsia="Times New Roman"/>
          <w:b/>
          <w:bCs/>
          <w:color w:val="BD1B21"/>
          <w:sz w:val="32"/>
          <w:szCs w:val="32"/>
        </w:rPr>
        <w:t xml:space="preserve"> meziměsíčně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výrazně zvýšila</w:t>
      </w:r>
    </w:p>
    <w:p w14:paraId="0DD43303" w14:textId="7EF97732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>
        <w:rPr>
          <w:rFonts w:eastAsia="Times New Roman"/>
          <w:b/>
          <w:bCs/>
          <w:sz w:val="28"/>
          <w:szCs w:val="28"/>
        </w:rPr>
        <w:t>červen</w:t>
      </w:r>
      <w:r w:rsidR="00206369">
        <w:rPr>
          <w:rFonts w:eastAsia="Times New Roman"/>
          <w:b/>
          <w:bCs/>
          <w:sz w:val="28"/>
          <w:szCs w:val="28"/>
        </w:rPr>
        <w:t>ec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6D3EF479" w:rsidR="0057250A" w:rsidRPr="00BC3C7E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>Souhrnný</w:t>
      </w:r>
      <w:r w:rsidR="00F31D42">
        <w:rPr>
          <w:rFonts w:cs="Arial"/>
          <w:b/>
          <w:szCs w:val="18"/>
        </w:rPr>
        <w:t xml:space="preserve"> indikátor důvěry (indikátor ekonomického sentimentu), vyjádřený bazickým indexem,</w:t>
      </w:r>
      <w:r w:rsidR="00F31D42" w:rsidRPr="00BC3C7E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oproti </w:t>
      </w:r>
      <w:r w:rsidR="00D76300">
        <w:rPr>
          <w:rFonts w:cs="Arial"/>
          <w:b/>
          <w:szCs w:val="18"/>
        </w:rPr>
        <w:t>červnu</w:t>
      </w:r>
      <w:r w:rsidR="0057250A" w:rsidRPr="00BC3C7E">
        <w:rPr>
          <w:rFonts w:cs="Arial"/>
          <w:b/>
          <w:szCs w:val="18"/>
        </w:rPr>
        <w:t xml:space="preserve"> </w:t>
      </w:r>
      <w:r w:rsidR="00805DE6">
        <w:rPr>
          <w:rFonts w:cs="Arial"/>
          <w:b/>
          <w:szCs w:val="18"/>
        </w:rPr>
        <w:t>vzrost</w:t>
      </w:r>
      <w:r w:rsidR="00215CE0">
        <w:rPr>
          <w:rFonts w:cs="Arial"/>
          <w:b/>
          <w:szCs w:val="18"/>
        </w:rPr>
        <w:t>l</w:t>
      </w:r>
      <w:r w:rsidR="00B96AC6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 </w:t>
      </w:r>
      <w:r w:rsidR="00D76300">
        <w:rPr>
          <w:rFonts w:cs="Arial"/>
          <w:b/>
          <w:szCs w:val="18"/>
        </w:rPr>
        <w:t>9,5</w:t>
      </w:r>
      <w:r w:rsidR="0057250A" w:rsidRPr="00BC3C7E">
        <w:rPr>
          <w:rFonts w:cs="Arial"/>
          <w:b/>
          <w:szCs w:val="18"/>
        </w:rPr>
        <w:t xml:space="preserve"> bodu na hodnotu </w:t>
      </w:r>
      <w:r w:rsidR="00D76300">
        <w:rPr>
          <w:rFonts w:cs="Arial"/>
          <w:b/>
          <w:szCs w:val="18"/>
        </w:rPr>
        <w:t>86,7</w:t>
      </w:r>
      <w:r w:rsidR="002F2103">
        <w:rPr>
          <w:rFonts w:cs="Arial"/>
          <w:b/>
          <w:szCs w:val="18"/>
        </w:rPr>
        <w:t>.</w:t>
      </w:r>
      <w:r w:rsidR="00CA77A5" w:rsidRPr="00BC3C7E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2F2103">
        <w:rPr>
          <w:rFonts w:cs="Arial"/>
          <w:b/>
          <w:szCs w:val="18"/>
        </w:rPr>
        <w:t xml:space="preserve">zaznamenal nejvyšší meziměsíční růst od počátku sledování, když </w:t>
      </w:r>
      <w:r w:rsidR="00895BCA">
        <w:rPr>
          <w:rFonts w:cs="Arial"/>
          <w:b/>
          <w:szCs w:val="18"/>
        </w:rPr>
        <w:t xml:space="preserve">vzrostl </w:t>
      </w:r>
      <w:r w:rsidR="00215CE0">
        <w:rPr>
          <w:rFonts w:cs="Arial"/>
          <w:b/>
          <w:szCs w:val="18"/>
        </w:rPr>
        <w:t xml:space="preserve">o </w:t>
      </w:r>
      <w:r w:rsidR="00753EF2">
        <w:rPr>
          <w:rFonts w:cs="Arial"/>
          <w:b/>
          <w:szCs w:val="18"/>
        </w:rPr>
        <w:t> </w:t>
      </w:r>
      <w:r w:rsidR="00D76300">
        <w:rPr>
          <w:rFonts w:cs="Arial"/>
          <w:b/>
          <w:szCs w:val="18"/>
        </w:rPr>
        <w:t>10,9</w:t>
      </w:r>
      <w:r w:rsidR="00215CE0">
        <w:rPr>
          <w:rFonts w:cs="Arial"/>
          <w:b/>
          <w:szCs w:val="18"/>
        </w:rPr>
        <w:t xml:space="preserve">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D76300">
        <w:rPr>
          <w:rFonts w:cs="Arial"/>
          <w:b/>
          <w:szCs w:val="18"/>
        </w:rPr>
        <w:t>84,7</w:t>
      </w:r>
      <w:r w:rsidR="002F2103">
        <w:rPr>
          <w:rFonts w:cs="Arial"/>
          <w:b/>
          <w:szCs w:val="18"/>
        </w:rPr>
        <w:t>.</w:t>
      </w:r>
      <w:r w:rsidR="009B0887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spotřebitelů </w:t>
      </w:r>
      <w:r w:rsidR="00895BCA">
        <w:rPr>
          <w:rFonts w:cs="Arial"/>
          <w:b/>
          <w:szCs w:val="18"/>
        </w:rPr>
        <w:t xml:space="preserve">se zvýšil </w:t>
      </w:r>
      <w:r w:rsidR="0057250A" w:rsidRPr="00BC3C7E">
        <w:rPr>
          <w:rFonts w:cs="Arial"/>
          <w:b/>
          <w:szCs w:val="18"/>
        </w:rPr>
        <w:t xml:space="preserve">o </w:t>
      </w:r>
      <w:r w:rsidR="00D76300">
        <w:rPr>
          <w:rFonts w:cs="Arial"/>
          <w:b/>
          <w:szCs w:val="18"/>
        </w:rPr>
        <w:t>2,7</w:t>
      </w:r>
      <w:r w:rsidR="0057250A" w:rsidRPr="00BC3C7E">
        <w:rPr>
          <w:rFonts w:cs="Arial"/>
          <w:b/>
          <w:szCs w:val="18"/>
        </w:rPr>
        <w:t xml:space="preserve"> bodu na </w:t>
      </w:r>
      <w:r w:rsidR="00753EF2"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hodnotu </w:t>
      </w:r>
      <w:r w:rsidR="00D76300">
        <w:rPr>
          <w:rFonts w:cs="Arial"/>
          <w:b/>
          <w:szCs w:val="18"/>
        </w:rPr>
        <w:t>96,0</w:t>
      </w:r>
      <w:r w:rsidR="0057250A" w:rsidRPr="00BC3C7E">
        <w:rPr>
          <w:rFonts w:cs="Arial"/>
          <w:b/>
          <w:szCs w:val="18"/>
        </w:rPr>
        <w:t xml:space="preserve">. </w:t>
      </w:r>
      <w:r w:rsidR="00215CE0">
        <w:rPr>
          <w:rFonts w:cs="Arial"/>
          <w:b/>
          <w:szCs w:val="18"/>
        </w:rPr>
        <w:t xml:space="preserve">V meziročním srovnání </w:t>
      </w:r>
      <w:r w:rsidR="00A54606">
        <w:rPr>
          <w:rFonts w:cs="Arial"/>
          <w:b/>
          <w:szCs w:val="18"/>
        </w:rPr>
        <w:t>j</w:t>
      </w:r>
      <w:r w:rsidR="000B5A11">
        <w:rPr>
          <w:rFonts w:cs="Arial"/>
          <w:b/>
          <w:szCs w:val="18"/>
        </w:rPr>
        <w:t>sou</w:t>
      </w:r>
      <w:r w:rsidR="00A54606">
        <w:rPr>
          <w:rFonts w:cs="Arial"/>
          <w:b/>
          <w:szCs w:val="18"/>
        </w:rPr>
        <w:t xml:space="preserve"> </w:t>
      </w:r>
      <w:r w:rsidR="00D76300">
        <w:rPr>
          <w:rFonts w:cs="Arial"/>
          <w:b/>
          <w:szCs w:val="18"/>
        </w:rPr>
        <w:t xml:space="preserve">ale </w:t>
      </w:r>
      <w:r w:rsidR="00215CE0">
        <w:rPr>
          <w:rFonts w:cs="Arial"/>
          <w:b/>
          <w:szCs w:val="18"/>
        </w:rPr>
        <w:t xml:space="preserve">souhrnný indikátor, podnikatelský indikátor a indikátor důvěry spotřebitelů </w:t>
      </w:r>
      <w:r w:rsidR="00D76300">
        <w:rPr>
          <w:rFonts w:cs="Arial"/>
          <w:b/>
          <w:szCs w:val="18"/>
        </w:rPr>
        <w:t xml:space="preserve">stále výrazně </w:t>
      </w:r>
      <w:r w:rsidR="00215CE0">
        <w:rPr>
          <w:rFonts w:cs="Arial"/>
          <w:b/>
          <w:szCs w:val="18"/>
        </w:rPr>
        <w:t>nižší</w:t>
      </w:r>
      <w:r w:rsidR="00CA77A5" w:rsidRPr="00BC3C7E">
        <w:rPr>
          <w:rFonts w:cs="Arial"/>
          <w:b/>
          <w:szCs w:val="18"/>
        </w:rPr>
        <w:t>.</w:t>
      </w:r>
    </w:p>
    <w:p w14:paraId="71FF16C2" w14:textId="2AFCEF92" w:rsidR="00F0241E" w:rsidRDefault="00D76300" w:rsidP="009B4FB4">
      <w:r>
        <w:t>Důvěra podnikatelů v</w:t>
      </w:r>
      <w:r w:rsidR="0096305F" w:rsidRPr="0096305F">
        <w:t xml:space="preserve">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 w:rsidR="009B4FB4">
        <w:t xml:space="preserve">meziměsíčně </w:t>
      </w:r>
      <w:r>
        <w:t>výrazně zvýšila</w:t>
      </w:r>
      <w:r w:rsidR="0096305F" w:rsidRPr="0096305F">
        <w:t xml:space="preserve">. Indikátor důvěry </w:t>
      </w:r>
      <w:r>
        <w:t>vzrostl</w:t>
      </w:r>
      <w:r w:rsidR="0096305F" w:rsidRPr="0096305F">
        <w:t xml:space="preserve"> o</w:t>
      </w:r>
      <w:r w:rsidR="009B4FB4">
        <w:t> </w:t>
      </w:r>
      <w:r>
        <w:t>19,8</w:t>
      </w:r>
      <w:r w:rsidR="009B4FB4">
        <w:t> </w:t>
      </w:r>
      <w:r w:rsidR="0096305F" w:rsidRPr="0096305F">
        <w:t xml:space="preserve"> bodu </w:t>
      </w:r>
      <w:r w:rsidR="009F07D3">
        <w:t xml:space="preserve">(nejvíce od počátku sledování) </w:t>
      </w:r>
      <w:r w:rsidR="0096305F" w:rsidRPr="0096305F">
        <w:t xml:space="preserve">na hodnotu </w:t>
      </w:r>
      <w:r>
        <w:t>89,8</w:t>
      </w:r>
      <w:r w:rsidR="0096305F" w:rsidRPr="0096305F">
        <w:t>.</w:t>
      </w:r>
      <w:r w:rsidR="0096305F" w:rsidRPr="0096305F">
        <w:rPr>
          <w:i/>
        </w:rPr>
        <w:t xml:space="preserve"> </w:t>
      </w:r>
      <w:r w:rsidR="00C93443" w:rsidRPr="00C93443">
        <w:t xml:space="preserve">Ve srovnání </w:t>
      </w:r>
      <w:r w:rsidR="00C93443">
        <w:t xml:space="preserve">s červnem se výrazně snížil podíl podnikatelů hodnotících </w:t>
      </w:r>
      <w:r>
        <w:rPr>
          <w:i/>
        </w:rPr>
        <w:t>svou</w:t>
      </w:r>
      <w:r w:rsidR="00F31D42" w:rsidRPr="0096305F">
        <w:rPr>
          <w:i/>
        </w:rPr>
        <w:t xml:space="preserve"> současn</w:t>
      </w:r>
      <w:r>
        <w:rPr>
          <w:i/>
        </w:rPr>
        <w:t>ou</w:t>
      </w:r>
      <w:r w:rsidR="00F31D42" w:rsidRPr="0096305F">
        <w:rPr>
          <w:i/>
        </w:rPr>
        <w:t xml:space="preserve"> celko</w:t>
      </w:r>
      <w:r>
        <w:rPr>
          <w:i/>
        </w:rPr>
        <w:t>vou</w:t>
      </w:r>
      <w:r w:rsidR="00F31D42" w:rsidRPr="0096305F">
        <w:rPr>
          <w:i/>
        </w:rPr>
        <w:t xml:space="preserve"> poptávk</w:t>
      </w:r>
      <w:r>
        <w:rPr>
          <w:i/>
        </w:rPr>
        <w:t xml:space="preserve">u </w:t>
      </w:r>
      <w:r w:rsidR="00C93443" w:rsidRPr="00C93443">
        <w:t xml:space="preserve">jako </w:t>
      </w:r>
      <w:r w:rsidR="00C93443">
        <w:t>nedostatečnou</w:t>
      </w:r>
      <w:r w:rsidR="00F31D42" w:rsidRPr="0096305F">
        <w:t xml:space="preserve">. </w:t>
      </w:r>
      <w:r w:rsidR="00F31D42" w:rsidRPr="0096305F">
        <w:rPr>
          <w:i/>
        </w:rPr>
        <w:t>Stav zásob hotových výrobků</w:t>
      </w:r>
      <w:r w:rsidR="00F31D42" w:rsidRPr="0096305F">
        <w:t xml:space="preserve"> </w:t>
      </w:r>
      <w:r>
        <w:t>meziměsíčně poklesl</w:t>
      </w:r>
      <w:r w:rsidR="00F31D42" w:rsidRPr="0096305F">
        <w:t xml:space="preserve">. </w:t>
      </w:r>
      <w:r>
        <w:t xml:space="preserve">V červenci se </w:t>
      </w:r>
      <w:r w:rsidR="00976CE6">
        <w:t xml:space="preserve">výrazně </w:t>
      </w:r>
      <w:r>
        <w:t xml:space="preserve">zvýšil </w:t>
      </w:r>
      <w:r w:rsidR="00976CE6">
        <w:t>p</w:t>
      </w:r>
      <w:r w:rsidR="00976CE6">
        <w:rPr>
          <w:color w:val="000000"/>
          <w:szCs w:val="20"/>
        </w:rPr>
        <w:t xml:space="preserve">odíl podnikatelů </w:t>
      </w:r>
      <w:r w:rsidR="00976CE6" w:rsidRPr="0096305F">
        <w:rPr>
          <w:color w:val="000000"/>
          <w:szCs w:val="20"/>
        </w:rPr>
        <w:t>očekávají</w:t>
      </w:r>
      <w:r w:rsidR="00976CE6">
        <w:rPr>
          <w:color w:val="000000"/>
          <w:szCs w:val="20"/>
        </w:rPr>
        <w:t>cích</w:t>
      </w:r>
      <w:r w:rsidR="00976CE6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růst</w:t>
      </w:r>
      <w:r w:rsidR="00976CE6">
        <w:t xml:space="preserve"> </w:t>
      </w:r>
      <w:r w:rsidR="00976CE6" w:rsidRPr="0096305F">
        <w:rPr>
          <w:i/>
          <w:szCs w:val="20"/>
        </w:rPr>
        <w:t>výrobní činnosti</w:t>
      </w:r>
      <w:r w:rsidR="00C93443">
        <w:rPr>
          <w:i/>
          <w:szCs w:val="20"/>
        </w:rPr>
        <w:t xml:space="preserve"> </w:t>
      </w:r>
      <w:r w:rsidR="00C93443">
        <w:rPr>
          <w:szCs w:val="20"/>
        </w:rPr>
        <w:t>v následujících třech měsících</w:t>
      </w:r>
      <w:r w:rsidR="00976CE6" w:rsidRPr="0096305F">
        <w:rPr>
          <w:szCs w:val="20"/>
        </w:rPr>
        <w:t>.</w:t>
      </w:r>
      <w:r w:rsidR="00976CE6">
        <w:rPr>
          <w:szCs w:val="20"/>
        </w:rPr>
        <w:t xml:space="preserve"> </w:t>
      </w:r>
      <w:r w:rsidR="00BF1C58">
        <w:rPr>
          <w:szCs w:val="20"/>
        </w:rPr>
        <w:t>Meziměsíčně výrazně vzrost</w:t>
      </w:r>
      <w:r w:rsidR="00A91279">
        <w:rPr>
          <w:szCs w:val="20"/>
        </w:rPr>
        <w:t>l</w:t>
      </w:r>
      <w:r w:rsidR="00BF1C58">
        <w:rPr>
          <w:szCs w:val="20"/>
        </w:rPr>
        <w:t xml:space="preserve"> i podíl podnikatelů o</w:t>
      </w:r>
      <w:r w:rsidR="00F31D42" w:rsidRPr="0096305F">
        <w:t>čekáv</w:t>
      </w:r>
      <w:r w:rsidR="00BF1C58">
        <w:t>ajících zlepšení</w:t>
      </w:r>
      <w:r w:rsidR="00F31D42" w:rsidRPr="0096305F">
        <w:t xml:space="preserve"> </w:t>
      </w:r>
      <w:r w:rsidR="00BF1C58">
        <w:t xml:space="preserve">své </w:t>
      </w:r>
      <w:r w:rsidR="00F31D42" w:rsidRPr="0096305F">
        <w:t xml:space="preserve">ekonomické situace </w:t>
      </w:r>
      <w:r w:rsidR="00BF1C58">
        <w:t>v</w:t>
      </w:r>
      <w:r w:rsidR="00F31D42" w:rsidRPr="0096305F">
        <w:t xml:space="preserve"> </w:t>
      </w:r>
      <w:r w:rsidR="00F31D42">
        <w:t>příštích</w:t>
      </w:r>
      <w:r>
        <w:t xml:space="preserve"> tř</w:t>
      </w:r>
      <w:r w:rsidR="00151308">
        <w:t>ech</w:t>
      </w:r>
      <w:r>
        <w:t xml:space="preserve"> i </w:t>
      </w:r>
      <w:r w:rsidR="000C4AD2">
        <w:t>šest</w:t>
      </w:r>
      <w:r w:rsidR="005C13CE">
        <w:t>i</w:t>
      </w:r>
      <w:r w:rsidR="000C4AD2">
        <w:t xml:space="preserve"> </w:t>
      </w:r>
      <w:r w:rsidR="00F31D42">
        <w:t>měsíc</w:t>
      </w:r>
      <w:r w:rsidR="00BF1C58">
        <w:t>ích</w:t>
      </w:r>
      <w:r w:rsidR="005C13CE">
        <w:t>.</w:t>
      </w:r>
      <w:r w:rsidR="00F31D42">
        <w:t xml:space="preserve"> </w:t>
      </w:r>
      <w:r w:rsidR="00206369" w:rsidRPr="00044779">
        <w:t>Hlavní bariér</w:t>
      </w:r>
      <w:r w:rsidR="00206369">
        <w:t>ou</w:t>
      </w:r>
      <w:r w:rsidR="00206369" w:rsidRPr="00044779">
        <w:t xml:space="preserve"> růstu produkce </w:t>
      </w:r>
      <w:r w:rsidR="00206369" w:rsidRPr="008D26B1">
        <w:t>je</w:t>
      </w:r>
      <w:r w:rsidR="00206369" w:rsidRPr="00C710E7">
        <w:rPr>
          <w:color w:val="FF0000"/>
        </w:rPr>
        <w:t xml:space="preserve"> </w:t>
      </w:r>
      <w:r>
        <w:t>nedostatečná poptávka, kterou uvedla více než polovina respondentů</w:t>
      </w:r>
      <w:r w:rsidR="00206369">
        <w:t>.</w:t>
      </w:r>
      <w:r w:rsidR="00206369" w:rsidRPr="00BC3C7E">
        <w:t xml:space="preserve"> </w:t>
      </w:r>
      <w:r>
        <w:t>Oproti červenci 2019</w:t>
      </w:r>
      <w:r w:rsidR="00F31D42">
        <w:t xml:space="preserve"> </w:t>
      </w:r>
      <w:r w:rsidR="00A54606">
        <w:t xml:space="preserve">je </w:t>
      </w:r>
      <w:r w:rsidR="0009403E">
        <w:t xml:space="preserve">ovšem </w:t>
      </w:r>
      <w:r w:rsidR="00F31D42">
        <w:t xml:space="preserve">důvěra v průmyslu </w:t>
      </w:r>
      <w:r>
        <w:t>stále</w:t>
      </w:r>
      <w:r w:rsidR="00F31D42" w:rsidRPr="00BC3C7E">
        <w:t xml:space="preserve"> n</w:t>
      </w:r>
      <w:r w:rsidR="00F31D42">
        <w:t>ižší.</w:t>
      </w:r>
      <w:r w:rsidR="00B96AC6">
        <w:t> </w:t>
      </w:r>
    </w:p>
    <w:p w14:paraId="6047E060" w14:textId="77777777" w:rsidR="00206369" w:rsidRDefault="00206369" w:rsidP="009B4FB4"/>
    <w:p w14:paraId="315F9E50" w14:textId="447F8184" w:rsidR="00206369" w:rsidRDefault="00C90CB5" w:rsidP="00206369">
      <w:pPr>
        <w:rPr>
          <w:szCs w:val="20"/>
        </w:rPr>
      </w:pPr>
      <w:r>
        <w:rPr>
          <w:szCs w:val="20"/>
        </w:rPr>
        <w:t>Po výrazném poklesu v minulém čtvrtletí se využití výrobních kapacit podniků</w:t>
      </w:r>
      <w:r w:rsidR="0013203D">
        <w:rPr>
          <w:szCs w:val="20"/>
        </w:rPr>
        <w:t xml:space="preserve"> ve </w:t>
      </w:r>
      <w:r w:rsidR="00A91279">
        <w:rPr>
          <w:szCs w:val="20"/>
        </w:rPr>
        <w:t> </w:t>
      </w:r>
      <w:r w:rsidR="0013203D" w:rsidRPr="00A91279">
        <w:rPr>
          <w:b/>
          <w:szCs w:val="20"/>
        </w:rPr>
        <w:t>zpracovatelském průmyslu</w:t>
      </w:r>
      <w:r>
        <w:rPr>
          <w:szCs w:val="20"/>
        </w:rPr>
        <w:t xml:space="preserve"> v červenci zvýšilo na 76,2 %, což je ale stále </w:t>
      </w:r>
      <w:r w:rsidR="006355E5">
        <w:rPr>
          <w:szCs w:val="20"/>
        </w:rPr>
        <w:t>hluboko pod průměrem</w:t>
      </w:r>
      <w:r>
        <w:rPr>
          <w:szCs w:val="20"/>
        </w:rPr>
        <w:t xml:space="preserve">. </w:t>
      </w:r>
      <w:r w:rsidR="00206369" w:rsidRPr="00005592">
        <w:rPr>
          <w:szCs w:val="20"/>
        </w:rPr>
        <w:t xml:space="preserve">Podnikatelé odhadují zajištění práce zakázkami na </w:t>
      </w:r>
      <w:r w:rsidR="0009403E">
        <w:rPr>
          <w:szCs w:val="20"/>
        </w:rPr>
        <w:t>12,1</w:t>
      </w:r>
      <w:r w:rsidR="00206369" w:rsidRPr="00005592">
        <w:rPr>
          <w:szCs w:val="20"/>
        </w:rPr>
        <w:t xml:space="preserve"> měsíce</w:t>
      </w:r>
      <w:r w:rsidR="0013203D">
        <w:rPr>
          <w:szCs w:val="20"/>
        </w:rPr>
        <w:t>, což je více než v předchozím čtvrtletí</w:t>
      </w:r>
      <w:r w:rsidR="00206369">
        <w:rPr>
          <w:szCs w:val="20"/>
        </w:rPr>
        <w:t>.</w:t>
      </w:r>
    </w:p>
    <w:p w14:paraId="621902F7" w14:textId="77777777" w:rsidR="0096305F" w:rsidRPr="0096305F" w:rsidRDefault="0096305F" w:rsidP="0096305F">
      <w:pPr>
        <w:rPr>
          <w:szCs w:val="20"/>
        </w:rPr>
      </w:pPr>
    </w:p>
    <w:p w14:paraId="1703D6A4" w14:textId="7D414810" w:rsidR="00F31D42" w:rsidRPr="0096305F" w:rsidRDefault="0034333F" w:rsidP="00F31D42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D62F48">
        <w:rPr>
          <w:color w:val="000000"/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v ekonomiku </w:t>
      </w:r>
      <w:r w:rsidR="00D62F48">
        <w:rPr>
          <w:color w:val="000000"/>
          <w:szCs w:val="20"/>
        </w:rPr>
        <w:t xml:space="preserve">meziměsíčně </w:t>
      </w:r>
      <w:r w:rsidR="0009403E">
        <w:rPr>
          <w:color w:val="000000"/>
          <w:szCs w:val="20"/>
        </w:rPr>
        <w:t>mírně zvýšila</w:t>
      </w:r>
      <w:r w:rsidR="00D62F48">
        <w:rPr>
          <w:color w:val="000000"/>
          <w:szCs w:val="20"/>
        </w:rPr>
        <w:t xml:space="preserve">. Indikátor důvěry </w:t>
      </w:r>
      <w:r w:rsidR="0009403E">
        <w:rPr>
          <w:color w:val="000000"/>
          <w:szCs w:val="20"/>
        </w:rPr>
        <w:t>vzrostl o 0,6</w:t>
      </w:r>
      <w:r w:rsidR="00D07B80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bodu na hodnotu </w:t>
      </w:r>
      <w:r w:rsidR="0009403E">
        <w:rPr>
          <w:color w:val="000000"/>
          <w:szCs w:val="20"/>
        </w:rPr>
        <w:t>103,0</w:t>
      </w:r>
      <w:r w:rsidR="0096305F" w:rsidRPr="0096305F">
        <w:rPr>
          <w:color w:val="000000"/>
          <w:szCs w:val="20"/>
        </w:rPr>
        <w:t xml:space="preserve">. </w:t>
      </w:r>
      <w:r w:rsidR="0009403E" w:rsidRPr="0009403E">
        <w:rPr>
          <w:i/>
          <w:color w:val="000000"/>
          <w:szCs w:val="20"/>
        </w:rPr>
        <w:t>Poptávka po stavebních pracích</w:t>
      </w:r>
      <w:r w:rsidR="0009403E">
        <w:rPr>
          <w:color w:val="000000"/>
          <w:szCs w:val="20"/>
        </w:rPr>
        <w:t xml:space="preserve"> se oproti červnu mírně zvýšila</w:t>
      </w:r>
      <w:r w:rsidR="00270748">
        <w:rPr>
          <w:color w:val="000000"/>
          <w:szCs w:val="20"/>
        </w:rPr>
        <w:t>,</w:t>
      </w:r>
      <w:r w:rsidR="00AE2C16">
        <w:rPr>
          <w:color w:val="000000"/>
          <w:szCs w:val="20"/>
        </w:rPr>
        <w:t xml:space="preserve"> i když </w:t>
      </w:r>
      <w:r w:rsidR="00270748">
        <w:rPr>
          <w:color w:val="000000"/>
          <w:szCs w:val="20"/>
        </w:rPr>
        <w:t>stále</w:t>
      </w:r>
      <w:r w:rsidR="00AE2C16">
        <w:rPr>
          <w:color w:val="000000"/>
          <w:szCs w:val="20"/>
        </w:rPr>
        <w:t xml:space="preserve"> převažovali podnikatelé hodnotící celkovou poptávku jako nedostatečnou</w:t>
      </w:r>
      <w:r w:rsidR="0096305F" w:rsidRPr="0096305F">
        <w:rPr>
          <w:color w:val="000000"/>
          <w:szCs w:val="20"/>
        </w:rPr>
        <w:t xml:space="preserve">. </w:t>
      </w:r>
      <w:r w:rsidR="0009403E">
        <w:rPr>
          <w:color w:val="000000"/>
          <w:szCs w:val="20"/>
        </w:rPr>
        <w:t>Podnikatelé ve stavebnictví</w:t>
      </w:r>
      <w:r w:rsidR="00792FDE">
        <w:rPr>
          <w:i/>
          <w:color w:val="000000"/>
          <w:szCs w:val="20"/>
        </w:rPr>
        <w:t xml:space="preserve"> </w:t>
      </w:r>
      <w:r w:rsidR="00792FDE" w:rsidRPr="00C54797">
        <w:rPr>
          <w:i/>
          <w:color w:val="000000"/>
          <w:szCs w:val="20"/>
        </w:rPr>
        <w:t>očekávají</w:t>
      </w:r>
      <w:r w:rsidR="00792FDE" w:rsidRPr="00C54797">
        <w:rPr>
          <w:color w:val="000000"/>
          <w:szCs w:val="20"/>
        </w:rPr>
        <w:t xml:space="preserve"> pro</w:t>
      </w:r>
      <w:r w:rsidR="00895BCA">
        <w:rPr>
          <w:color w:val="000000"/>
          <w:szCs w:val="20"/>
        </w:rPr>
        <w:t> </w:t>
      </w:r>
      <w:r w:rsidR="00792FDE" w:rsidRPr="00C54797">
        <w:rPr>
          <w:color w:val="000000"/>
          <w:szCs w:val="20"/>
        </w:rPr>
        <w:t xml:space="preserve"> období příštích tř</w:t>
      </w:r>
      <w:r w:rsidR="005F003E">
        <w:rPr>
          <w:color w:val="000000"/>
          <w:szCs w:val="20"/>
        </w:rPr>
        <w:t>í</w:t>
      </w:r>
      <w:r w:rsidR="00792FDE" w:rsidRPr="00C54797">
        <w:rPr>
          <w:color w:val="000000"/>
          <w:szCs w:val="20"/>
        </w:rPr>
        <w:t xml:space="preserve"> měsíců </w:t>
      </w:r>
      <w:r w:rsidR="0009403E">
        <w:rPr>
          <w:color w:val="000000"/>
          <w:szCs w:val="20"/>
        </w:rPr>
        <w:t>neměnnost stávajícího</w:t>
      </w:r>
      <w:r w:rsidR="00792FDE" w:rsidRPr="00C54797">
        <w:rPr>
          <w:color w:val="000000"/>
          <w:szCs w:val="20"/>
        </w:rPr>
        <w:t xml:space="preserve"> </w:t>
      </w:r>
      <w:r w:rsidR="00792FDE">
        <w:rPr>
          <w:i/>
          <w:color w:val="000000"/>
          <w:szCs w:val="20"/>
        </w:rPr>
        <w:t>počtu zaměstnanců</w:t>
      </w:r>
      <w:r w:rsidR="00731D72">
        <w:rPr>
          <w:color w:val="000000"/>
          <w:szCs w:val="20"/>
        </w:rPr>
        <w:t>.</w:t>
      </w:r>
      <w:r w:rsidR="0009403E">
        <w:rPr>
          <w:color w:val="000000"/>
          <w:szCs w:val="20"/>
        </w:rPr>
        <w:t xml:space="preserve"> </w:t>
      </w:r>
      <w:r w:rsidR="00206369" w:rsidRPr="00044779">
        <w:t>Hlavní</w:t>
      </w:r>
      <w:r w:rsidR="00206369">
        <w:t>mi</w:t>
      </w:r>
      <w:r w:rsidR="00206369" w:rsidRPr="00044779">
        <w:t xml:space="preserve"> bariér</w:t>
      </w:r>
      <w:r w:rsidR="00206369">
        <w:t>ami</w:t>
      </w:r>
      <w:r w:rsidR="00206369" w:rsidRPr="00044779">
        <w:t xml:space="preserve"> růstu produkce </w:t>
      </w:r>
      <w:r w:rsidR="00206369">
        <w:t xml:space="preserve">zůstávají </w:t>
      </w:r>
      <w:r w:rsidR="0009403E">
        <w:t xml:space="preserve">podobně jako v předchozím čtvrtletí </w:t>
      </w:r>
      <w:r w:rsidR="00206369">
        <w:t>nedostatek zaměstnanců (uvedlo přibližně 37</w:t>
      </w:r>
      <w:r w:rsidR="00206369" w:rsidRPr="00044779">
        <w:t xml:space="preserve"> % respondentů</w:t>
      </w:r>
      <w:r w:rsidR="0009403E">
        <w:t xml:space="preserve">) </w:t>
      </w:r>
      <w:r w:rsidR="00206369">
        <w:t>a</w:t>
      </w:r>
      <w:r w:rsidR="0009403E">
        <w:t> </w:t>
      </w:r>
      <w:r w:rsidR="00206369">
        <w:t xml:space="preserve"> nedostatečná poptávka (uvedlo přibližně 22 % respondentů). </w:t>
      </w:r>
      <w:r w:rsidR="0009403E">
        <w:rPr>
          <w:color w:val="000000"/>
          <w:szCs w:val="20"/>
        </w:rPr>
        <w:t>V meziročním srovnání je důvěra ve stavebnictví nižší.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3ADF0C55" w:rsidR="0096305F" w:rsidRPr="0096305F" w:rsidRDefault="0009403E" w:rsidP="0096305F">
      <w:pPr>
        <w:rPr>
          <w:color w:val="000000"/>
          <w:szCs w:val="20"/>
        </w:rPr>
      </w:pPr>
      <w:r>
        <w:rPr>
          <w:szCs w:val="20"/>
        </w:rPr>
        <w:t>V</w:t>
      </w:r>
      <w:r w:rsidR="0096305F" w:rsidRPr="0096305F">
        <w:rPr>
          <w:szCs w:val="20"/>
        </w:rPr>
        <w:t xml:space="preserve"> 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důvěra ve srovnání s červnem snížila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 o 2,6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89,5</w:t>
      </w:r>
      <w:r w:rsidR="0096305F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v obchodě </w:t>
      </w:r>
      <w:r w:rsidRPr="0009403E">
        <w:rPr>
          <w:i/>
          <w:color w:val="000000"/>
          <w:szCs w:val="20"/>
        </w:rPr>
        <w:t>zhodnotili</w:t>
      </w:r>
      <w:r w:rsidR="0096305F" w:rsidRPr="0096305F">
        <w:rPr>
          <w:i/>
          <w:color w:val="000000"/>
          <w:szCs w:val="20"/>
        </w:rPr>
        <w:t xml:space="preserve"> celkov</w:t>
      </w:r>
      <w:r>
        <w:rPr>
          <w:i/>
          <w:color w:val="000000"/>
          <w:szCs w:val="20"/>
        </w:rPr>
        <w:t>ou</w:t>
      </w:r>
      <w:r w:rsidR="0096305F" w:rsidRPr="0096305F">
        <w:rPr>
          <w:i/>
          <w:color w:val="000000"/>
          <w:szCs w:val="20"/>
        </w:rPr>
        <w:t xml:space="preserve"> ekonomick</w:t>
      </w:r>
      <w:r>
        <w:rPr>
          <w:i/>
          <w:color w:val="000000"/>
          <w:szCs w:val="20"/>
        </w:rPr>
        <w:t>ou</w:t>
      </w:r>
      <w:r w:rsidR="0096305F" w:rsidRPr="0096305F">
        <w:rPr>
          <w:i/>
          <w:color w:val="000000"/>
          <w:szCs w:val="20"/>
        </w:rPr>
        <w:t xml:space="preserve"> situac</w:t>
      </w:r>
      <w:r>
        <w:rPr>
          <w:i/>
          <w:color w:val="000000"/>
          <w:szCs w:val="20"/>
        </w:rPr>
        <w:t xml:space="preserve">i </w:t>
      </w:r>
      <w:r>
        <w:rPr>
          <w:color w:val="000000"/>
          <w:szCs w:val="20"/>
        </w:rPr>
        <w:t>hůře než v</w:t>
      </w:r>
      <w:r w:rsidR="00196916">
        <w:rPr>
          <w:color w:val="000000"/>
          <w:szCs w:val="20"/>
        </w:rPr>
        <w:t> </w:t>
      </w:r>
      <w:r>
        <w:rPr>
          <w:color w:val="000000"/>
          <w:szCs w:val="20"/>
        </w:rPr>
        <w:t xml:space="preserve"> červnu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Stav zásob zboží na skladech</w:t>
      </w:r>
      <w:r w:rsidR="0096305F" w:rsidRPr="0096305F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v prvním prázdninovém měsíci zvýšil</w:t>
      </w:r>
      <w:r w:rsidR="0034333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C54797">
        <w:rPr>
          <w:color w:val="000000"/>
          <w:szCs w:val="20"/>
        </w:rPr>
        <w:t xml:space="preserve">odíl </w:t>
      </w:r>
      <w:r w:rsidR="00F31D42">
        <w:rPr>
          <w:color w:val="000000"/>
          <w:szCs w:val="20"/>
        </w:rPr>
        <w:t xml:space="preserve">podniků, které pro období příštích tří měsíců </w:t>
      </w:r>
      <w:r w:rsidR="00F31D42" w:rsidRPr="00833A34">
        <w:rPr>
          <w:i/>
          <w:color w:val="000000"/>
          <w:szCs w:val="20"/>
        </w:rPr>
        <w:t>očekávají</w:t>
      </w:r>
      <w:r w:rsidR="00F31D42">
        <w:rPr>
          <w:color w:val="000000"/>
          <w:szCs w:val="20"/>
        </w:rPr>
        <w:t xml:space="preserve"> zlepšení </w:t>
      </w:r>
      <w:r w:rsidR="00F31D42" w:rsidRPr="00DB4FFD">
        <w:rPr>
          <w:color w:val="000000"/>
          <w:szCs w:val="20"/>
        </w:rPr>
        <w:t>své</w:t>
      </w:r>
      <w:r w:rsidR="00F31D42" w:rsidRPr="0096305F">
        <w:rPr>
          <w:i/>
          <w:color w:val="000000"/>
          <w:szCs w:val="20"/>
        </w:rPr>
        <w:t xml:space="preserve"> ekonomické situace</w:t>
      </w:r>
      <w:r>
        <w:rPr>
          <w:i/>
          <w:color w:val="000000"/>
          <w:szCs w:val="20"/>
        </w:rPr>
        <w:t xml:space="preserve">, </w:t>
      </w:r>
      <w:r>
        <w:rPr>
          <w:color w:val="000000"/>
          <w:szCs w:val="20"/>
        </w:rPr>
        <w:t>se v červenci zvýšil</w:t>
      </w:r>
      <w:r w:rsidR="00F31D42" w:rsidRPr="0096305F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Ve srovnání </w:t>
      </w:r>
      <w:r w:rsidR="00A91279">
        <w:rPr>
          <w:color w:val="000000"/>
          <w:szCs w:val="20"/>
        </w:rPr>
        <w:t>se stejným měsícem loňského roku</w:t>
      </w:r>
      <w:r>
        <w:rPr>
          <w:color w:val="000000"/>
          <w:szCs w:val="20"/>
        </w:rPr>
        <w:t xml:space="preserve"> je</w:t>
      </w:r>
      <w:r w:rsidR="0034333F">
        <w:rPr>
          <w:color w:val="000000"/>
          <w:szCs w:val="20"/>
        </w:rPr>
        <w:t xml:space="preserve"> </w:t>
      </w:r>
      <w:r w:rsidR="00BD02DE">
        <w:rPr>
          <w:color w:val="000000"/>
          <w:szCs w:val="20"/>
        </w:rPr>
        <w:t xml:space="preserve">důvěra v obchodě </w:t>
      </w:r>
      <w:r>
        <w:rPr>
          <w:color w:val="000000"/>
          <w:szCs w:val="20"/>
        </w:rPr>
        <w:t xml:space="preserve">také </w:t>
      </w:r>
      <w:r w:rsidR="00BD02DE">
        <w:rPr>
          <w:color w:val="000000"/>
          <w:szCs w:val="20"/>
        </w:rPr>
        <w:t>nižší.</w:t>
      </w:r>
    </w:p>
    <w:p w14:paraId="4C4CB9F8" w14:textId="77777777" w:rsidR="0096305F" w:rsidRPr="0096305F" w:rsidRDefault="0096305F" w:rsidP="0096305F"/>
    <w:p w14:paraId="36872DFF" w14:textId="7AEE4986" w:rsidR="0096305F" w:rsidRDefault="00247564" w:rsidP="0096305F">
      <w:pPr>
        <w:rPr>
          <w:szCs w:val="20"/>
        </w:rPr>
      </w:pPr>
      <w:r>
        <w:rPr>
          <w:color w:val="000000"/>
          <w:szCs w:val="20"/>
        </w:rPr>
        <w:t xml:space="preserve">Důvěra </w:t>
      </w:r>
      <w:r w:rsidR="00811EAC">
        <w:rPr>
          <w:color w:val="000000"/>
          <w:szCs w:val="20"/>
        </w:rPr>
        <w:t xml:space="preserve">podnikatelů </w:t>
      </w:r>
      <w:r>
        <w:rPr>
          <w:color w:val="000000"/>
          <w:szCs w:val="20"/>
        </w:rPr>
        <w:t>v</w:t>
      </w:r>
      <w:r w:rsidR="0096305F" w:rsidRPr="0096305F">
        <w:rPr>
          <w:color w:val="000000"/>
          <w:szCs w:val="20"/>
        </w:rPr>
        <w:t xml:space="preserve">e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 w:rsidR="00833A34">
        <w:rPr>
          <w:color w:val="000000"/>
          <w:szCs w:val="20"/>
        </w:rPr>
        <w:t xml:space="preserve">podruhé v řadě </w:t>
      </w:r>
      <w:r w:rsidR="00CE36B1">
        <w:rPr>
          <w:color w:val="000000"/>
          <w:szCs w:val="20"/>
        </w:rPr>
        <w:t>zvýšila</w:t>
      </w:r>
      <w:r w:rsidR="0096305F" w:rsidRPr="0096305F">
        <w:rPr>
          <w:color w:val="000000"/>
          <w:szCs w:val="20"/>
        </w:rPr>
        <w:t xml:space="preserve">. Indikátor důvěry </w:t>
      </w:r>
      <w:r w:rsidR="00CE36B1">
        <w:rPr>
          <w:color w:val="000000"/>
          <w:szCs w:val="20"/>
        </w:rPr>
        <w:t xml:space="preserve">vzrostl o </w:t>
      </w:r>
      <w:r w:rsidR="00811EAC">
        <w:rPr>
          <w:color w:val="000000"/>
          <w:szCs w:val="20"/>
        </w:rPr>
        <w:t>4,8</w:t>
      </w:r>
      <w:r w:rsidR="0096305F" w:rsidRPr="0096305F">
        <w:rPr>
          <w:color w:val="000000"/>
          <w:szCs w:val="20"/>
        </w:rPr>
        <w:t xml:space="preserve"> </w:t>
      </w:r>
      <w:r>
        <w:rPr>
          <w:szCs w:val="20"/>
        </w:rPr>
        <w:t xml:space="preserve">bodu </w:t>
      </w:r>
      <w:r w:rsidR="0096305F" w:rsidRPr="0096305F">
        <w:rPr>
          <w:color w:val="000000"/>
          <w:szCs w:val="20"/>
        </w:rPr>
        <w:t xml:space="preserve">na hodnotu </w:t>
      </w:r>
      <w:r w:rsidR="00833A34">
        <w:rPr>
          <w:color w:val="000000"/>
          <w:szCs w:val="20"/>
        </w:rPr>
        <w:t>77,0</w:t>
      </w:r>
      <w:r w:rsidR="00CE36B1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 w:rsidR="00F31D42" w:rsidRPr="0096305F">
        <w:rPr>
          <w:i/>
          <w:color w:val="000000"/>
          <w:szCs w:val="20"/>
        </w:rPr>
        <w:t xml:space="preserve">Hodnocení celkové ekonomické </w:t>
      </w:r>
      <w:r w:rsidR="00F31D42" w:rsidRPr="0096305F">
        <w:rPr>
          <w:i/>
          <w:color w:val="000000"/>
          <w:szCs w:val="20"/>
        </w:rPr>
        <w:lastRenderedPageBreak/>
        <w:t>situace</w:t>
      </w:r>
      <w:r w:rsidR="00F31D42" w:rsidRPr="0096305F">
        <w:rPr>
          <w:color w:val="000000"/>
          <w:szCs w:val="20"/>
        </w:rPr>
        <w:t xml:space="preserve"> se</w:t>
      </w:r>
      <w:r w:rsidR="00833A34">
        <w:rPr>
          <w:color w:val="000000"/>
          <w:szCs w:val="20"/>
        </w:rPr>
        <w:t xml:space="preserve"> sice</w:t>
      </w:r>
      <w:r w:rsidR="00F31D42" w:rsidRPr="0096305F">
        <w:rPr>
          <w:color w:val="000000"/>
          <w:szCs w:val="20"/>
        </w:rPr>
        <w:t xml:space="preserve"> </w:t>
      </w:r>
      <w:r w:rsidR="00F31D42">
        <w:rPr>
          <w:color w:val="000000"/>
          <w:szCs w:val="20"/>
        </w:rPr>
        <w:t xml:space="preserve">meziměsíčně </w:t>
      </w:r>
      <w:r w:rsidR="00833A34">
        <w:rPr>
          <w:color w:val="000000"/>
          <w:szCs w:val="20"/>
        </w:rPr>
        <w:t>mírně snížilo, ale podíl respondentů negativně</w:t>
      </w:r>
      <w:r w:rsidR="00C54797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hodnotících</w:t>
      </w:r>
      <w:r w:rsidR="00C54797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 xml:space="preserve">ku </w:t>
      </w:r>
      <w:r w:rsidR="00833A34">
        <w:rPr>
          <w:color w:val="000000"/>
          <w:szCs w:val="20"/>
        </w:rPr>
        <w:t>výrazně poklesl</w:t>
      </w:r>
      <w:r w:rsidR="00F31D42" w:rsidRPr="0096305F">
        <w:rPr>
          <w:color w:val="000000"/>
          <w:szCs w:val="20"/>
        </w:rPr>
        <w:t xml:space="preserve">. </w:t>
      </w:r>
      <w:r w:rsidR="00833A34" w:rsidRPr="00833A34">
        <w:rPr>
          <w:i/>
          <w:color w:val="000000"/>
          <w:szCs w:val="20"/>
        </w:rPr>
        <w:t>Očekávání</w:t>
      </w:r>
      <w:r w:rsidR="00833A34">
        <w:rPr>
          <w:color w:val="000000"/>
          <w:szCs w:val="20"/>
        </w:rPr>
        <w:t xml:space="preserve"> </w:t>
      </w:r>
      <w:r w:rsidR="00F31D42" w:rsidRPr="0042743D">
        <w:rPr>
          <w:i/>
          <w:color w:val="000000"/>
          <w:szCs w:val="20"/>
        </w:rPr>
        <w:t>poptávky</w:t>
      </w:r>
      <w:r w:rsidR="00833A34">
        <w:rPr>
          <w:i/>
          <w:color w:val="000000"/>
          <w:szCs w:val="20"/>
        </w:rPr>
        <w:t xml:space="preserve"> </w:t>
      </w:r>
      <w:r w:rsidR="00833A34" w:rsidRPr="00A91279">
        <w:rPr>
          <w:color w:val="000000"/>
          <w:szCs w:val="20"/>
        </w:rPr>
        <w:t>v sektoru služeb se</w:t>
      </w:r>
      <w:r w:rsidR="00F31D42" w:rsidRPr="00A91279">
        <w:rPr>
          <w:color w:val="000000"/>
          <w:szCs w:val="20"/>
        </w:rPr>
        <w:t xml:space="preserve"> pro</w:t>
      </w:r>
      <w:r w:rsidR="00196916" w:rsidRPr="00A91279">
        <w:rPr>
          <w:color w:val="000000"/>
          <w:szCs w:val="20"/>
        </w:rPr>
        <w:t> </w:t>
      </w:r>
      <w:r w:rsidR="00F31D42" w:rsidRPr="00A91279">
        <w:rPr>
          <w:color w:val="000000"/>
          <w:szCs w:val="20"/>
        </w:rPr>
        <w:t xml:space="preserve"> období příštích tř</w:t>
      </w:r>
      <w:r w:rsidR="002D6D48" w:rsidRPr="00A91279">
        <w:rPr>
          <w:color w:val="000000"/>
          <w:szCs w:val="20"/>
        </w:rPr>
        <w:t>í</w:t>
      </w:r>
      <w:r w:rsidR="00CE36B1" w:rsidRPr="00A91279">
        <w:rPr>
          <w:color w:val="000000"/>
          <w:szCs w:val="20"/>
        </w:rPr>
        <w:t xml:space="preserve"> měsíců</w:t>
      </w:r>
      <w:r w:rsidR="00DB2E3B" w:rsidRPr="00895BCA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výrazně zvýšila</w:t>
      </w:r>
      <w:r w:rsidR="00F31D42">
        <w:rPr>
          <w:color w:val="000000"/>
          <w:szCs w:val="20"/>
        </w:rPr>
        <w:t>.</w:t>
      </w:r>
      <w:r w:rsidR="00206369">
        <w:rPr>
          <w:color w:val="000000"/>
          <w:szCs w:val="20"/>
        </w:rPr>
        <w:t xml:space="preserve"> </w:t>
      </w:r>
      <w:r w:rsidR="00206369" w:rsidRPr="00BC3C7E">
        <w:rPr>
          <w:szCs w:val="20"/>
        </w:rPr>
        <w:t xml:space="preserve">Nejvíce podnikatelů (téměř </w:t>
      </w:r>
      <w:r w:rsidR="00833A34">
        <w:rPr>
          <w:szCs w:val="20"/>
        </w:rPr>
        <w:t>30</w:t>
      </w:r>
      <w:r w:rsidR="00206369">
        <w:rPr>
          <w:szCs w:val="20"/>
        </w:rPr>
        <w:t xml:space="preserve"> </w:t>
      </w:r>
      <w:r w:rsidR="00206369" w:rsidRPr="00BC3C7E">
        <w:rPr>
          <w:szCs w:val="20"/>
        </w:rPr>
        <w:t>%) vnímalo jak</w:t>
      </w:r>
      <w:r w:rsidR="00206369">
        <w:rPr>
          <w:szCs w:val="20"/>
        </w:rPr>
        <w:t>o</w:t>
      </w:r>
      <w:r w:rsidR="00206369" w:rsidRPr="00BC3C7E">
        <w:rPr>
          <w:szCs w:val="20"/>
        </w:rPr>
        <w:t xml:space="preserve"> hlavní bariéru růstu </w:t>
      </w:r>
      <w:r w:rsidR="00833A34">
        <w:rPr>
          <w:szCs w:val="20"/>
        </w:rPr>
        <w:t xml:space="preserve">nedostatečnou poptávku. Přibližně 27 % respondentů uvádí, že nemá žádné bariéry a 26 % respondentů uvádí </w:t>
      </w:r>
      <w:r w:rsidR="00206369" w:rsidRPr="00BC3C7E">
        <w:rPr>
          <w:szCs w:val="20"/>
        </w:rPr>
        <w:t>skupinu b</w:t>
      </w:r>
      <w:r w:rsidR="00206369">
        <w:rPr>
          <w:szCs w:val="20"/>
        </w:rPr>
        <w:t>líže nespecifikovaných překážek.</w:t>
      </w:r>
      <w:r w:rsidR="00206369" w:rsidRPr="00BC3C7E">
        <w:rPr>
          <w:szCs w:val="20"/>
        </w:rPr>
        <w:t xml:space="preserve"> </w:t>
      </w:r>
      <w:r w:rsidR="00CE36B1">
        <w:rPr>
          <w:color w:val="000000"/>
          <w:szCs w:val="20"/>
        </w:rPr>
        <w:t>V meziročním srovnání</w:t>
      </w:r>
      <w:r w:rsidR="00F31D42" w:rsidRPr="0096305F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 xml:space="preserve">ale </w:t>
      </w:r>
      <w:r w:rsidR="00F31D42" w:rsidRPr="0096305F">
        <w:rPr>
          <w:color w:val="000000"/>
          <w:szCs w:val="20"/>
        </w:rPr>
        <w:t>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833A34">
        <w:rPr>
          <w:szCs w:val="20"/>
        </w:rPr>
        <w:t>stále</w:t>
      </w:r>
      <w:r w:rsidR="00F31D42">
        <w:rPr>
          <w:color w:val="000000"/>
          <w:szCs w:val="20"/>
        </w:rPr>
        <w:t xml:space="preserve"> nižší</w:t>
      </w:r>
      <w:r w:rsidR="00F31D42" w:rsidRPr="00BC3C7E">
        <w:rPr>
          <w:szCs w:val="20"/>
        </w:rPr>
        <w:t>.</w:t>
      </w:r>
      <w:bookmarkStart w:id="0" w:name="_GoBack"/>
      <w:bookmarkEnd w:id="0"/>
    </w:p>
    <w:p w14:paraId="499E7CB4" w14:textId="6022EBD1" w:rsidR="0076285A" w:rsidRDefault="0076285A" w:rsidP="0096305F">
      <w:pPr>
        <w:rPr>
          <w:szCs w:val="20"/>
        </w:rPr>
      </w:pPr>
    </w:p>
    <w:p w14:paraId="3C314F7D" w14:textId="226325A6" w:rsidR="0096305F" w:rsidRDefault="0096305F" w:rsidP="0096305F">
      <w:pPr>
        <w:rPr>
          <w:rFonts w:eastAsia="Times New Roman"/>
          <w:bCs/>
          <w:szCs w:val="20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>se v </w:t>
      </w:r>
      <w:r w:rsidR="00397B96">
        <w:rPr>
          <w:rFonts w:eastAsia="Times New Roman"/>
          <w:bCs/>
          <w:szCs w:val="20"/>
        </w:rPr>
        <w:t>červenci</w:t>
      </w:r>
      <w:r w:rsidR="00D66492" w:rsidRPr="0096305F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důvěra meziměsíčně </w:t>
      </w:r>
      <w:r w:rsidR="000660CB">
        <w:rPr>
          <w:rFonts w:eastAsia="Times New Roman"/>
          <w:bCs/>
          <w:szCs w:val="20"/>
        </w:rPr>
        <w:t>zvýšila</w:t>
      </w:r>
      <w:r w:rsidRPr="0096305F">
        <w:rPr>
          <w:rFonts w:eastAsia="Times New Roman"/>
          <w:bCs/>
          <w:szCs w:val="20"/>
        </w:rPr>
        <w:t>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="000660CB">
        <w:rPr>
          <w:rFonts w:eastAsia="Times New Roman"/>
          <w:bCs/>
          <w:szCs w:val="20"/>
        </w:rPr>
        <w:t xml:space="preserve">vzrostl </w:t>
      </w:r>
      <w:r w:rsidR="00E26AB1">
        <w:rPr>
          <w:rFonts w:eastAsia="Times New Roman"/>
          <w:bCs/>
          <w:szCs w:val="20"/>
        </w:rPr>
        <w:t>o </w:t>
      </w:r>
      <w:r w:rsidR="00397B96">
        <w:rPr>
          <w:rFonts w:eastAsia="Times New Roman"/>
          <w:bCs/>
          <w:szCs w:val="20"/>
        </w:rPr>
        <w:t>2,7</w:t>
      </w:r>
      <w:r w:rsidR="000660CB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bodu na hodnotu </w:t>
      </w:r>
      <w:r w:rsidR="00397B96">
        <w:rPr>
          <w:rFonts w:eastAsia="Times New Roman"/>
          <w:bCs/>
          <w:szCs w:val="20"/>
        </w:rPr>
        <w:t>96,0</w:t>
      </w:r>
      <w:r w:rsidRPr="0096305F">
        <w:rPr>
          <w:rFonts w:eastAsia="Times New Roman"/>
          <w:bCs/>
          <w:szCs w:val="20"/>
        </w:rPr>
        <w:t xml:space="preserve">. </w:t>
      </w:r>
      <w:r w:rsidR="00CE36B1">
        <w:rPr>
          <w:rFonts w:eastAsia="Times New Roman"/>
          <w:bCs/>
          <w:szCs w:val="20"/>
        </w:rPr>
        <w:t xml:space="preserve">Obavy ze zhoršení </w:t>
      </w:r>
      <w:r w:rsidR="00CE36B1" w:rsidRPr="00CE36B1">
        <w:rPr>
          <w:rFonts w:eastAsia="Times New Roman"/>
          <w:bCs/>
          <w:i/>
          <w:szCs w:val="20"/>
        </w:rPr>
        <w:t>celkové ekonomické situace</w:t>
      </w:r>
      <w:r w:rsidR="00CE36B1">
        <w:rPr>
          <w:rFonts w:eastAsia="Times New Roman"/>
          <w:bCs/>
          <w:szCs w:val="20"/>
        </w:rPr>
        <w:t xml:space="preserve"> </w:t>
      </w:r>
      <w:r w:rsidR="00D66492">
        <w:rPr>
          <w:rFonts w:eastAsia="Times New Roman"/>
          <w:bCs/>
          <w:szCs w:val="20"/>
        </w:rPr>
        <w:t>byly</w:t>
      </w:r>
      <w:r w:rsidR="00CE36B1">
        <w:rPr>
          <w:rFonts w:eastAsia="Times New Roman"/>
          <w:bCs/>
          <w:szCs w:val="20"/>
        </w:rPr>
        <w:t xml:space="preserve"> meziměsíčně </w:t>
      </w:r>
      <w:r w:rsidR="00397B96">
        <w:rPr>
          <w:rFonts w:eastAsia="Times New Roman"/>
          <w:bCs/>
          <w:szCs w:val="20"/>
        </w:rPr>
        <w:t>mírně nižší</w:t>
      </w:r>
      <w:r w:rsidR="00F31D42" w:rsidRPr="0096305F">
        <w:rPr>
          <w:rFonts w:eastAsia="Times New Roman"/>
          <w:bCs/>
          <w:szCs w:val="20"/>
        </w:rPr>
        <w:t>.</w:t>
      </w:r>
      <w:r w:rsidR="00397B96">
        <w:rPr>
          <w:rFonts w:eastAsia="Times New Roman"/>
          <w:bCs/>
          <w:szCs w:val="20"/>
        </w:rPr>
        <w:t xml:space="preserve"> Obavy spotřebitelů ze zhoršení </w:t>
      </w:r>
      <w:r w:rsidR="00397B96" w:rsidRPr="0096305F">
        <w:rPr>
          <w:rFonts w:eastAsia="Times New Roman"/>
          <w:bCs/>
          <w:szCs w:val="20"/>
        </w:rPr>
        <w:t>jejich</w:t>
      </w:r>
      <w:r w:rsidR="00397B96" w:rsidRPr="0096305F">
        <w:rPr>
          <w:rFonts w:eastAsia="Times New Roman"/>
          <w:bCs/>
          <w:i/>
          <w:szCs w:val="20"/>
        </w:rPr>
        <w:t xml:space="preserve"> vlastní finanční situace</w:t>
      </w:r>
      <w:r w:rsidR="00397B96">
        <w:rPr>
          <w:rFonts w:eastAsia="Times New Roman"/>
          <w:bCs/>
          <w:i/>
          <w:szCs w:val="20"/>
        </w:rPr>
        <w:t xml:space="preserve"> </w:t>
      </w:r>
      <w:r w:rsidR="00397B96">
        <w:rPr>
          <w:rFonts w:eastAsia="Times New Roman"/>
          <w:bCs/>
          <w:szCs w:val="20"/>
        </w:rPr>
        <w:t>se mírně zvýšily.</w:t>
      </w:r>
      <w:r w:rsidR="00F31D42" w:rsidRPr="0096305F">
        <w:rPr>
          <w:rFonts w:eastAsia="Times New Roman"/>
          <w:bCs/>
          <w:szCs w:val="20"/>
        </w:rPr>
        <w:t xml:space="preserve"> </w:t>
      </w:r>
      <w:r w:rsidR="00F31D42" w:rsidRPr="0096305F">
        <w:rPr>
          <w:rFonts w:eastAsia="Times New Roman"/>
          <w:bCs/>
          <w:i/>
          <w:szCs w:val="20"/>
        </w:rPr>
        <w:t>Úmysl spořit</w:t>
      </w:r>
      <w:r w:rsidR="00F31D42" w:rsidRPr="0096305F">
        <w:rPr>
          <w:rFonts w:eastAsia="Times New Roman"/>
          <w:bCs/>
          <w:szCs w:val="20"/>
        </w:rPr>
        <w:t xml:space="preserve"> se </w:t>
      </w:r>
      <w:r w:rsidR="00236D13">
        <w:rPr>
          <w:rFonts w:eastAsia="Times New Roman"/>
          <w:bCs/>
          <w:szCs w:val="20"/>
        </w:rPr>
        <w:t>meziměsíčně zvýšil</w:t>
      </w:r>
      <w:r w:rsidR="00F31D42" w:rsidRPr="0096305F">
        <w:rPr>
          <w:rFonts w:eastAsia="Times New Roman"/>
          <w:bCs/>
          <w:szCs w:val="20"/>
        </w:rPr>
        <w:t>.</w:t>
      </w:r>
      <w:r w:rsidR="00236D13">
        <w:rPr>
          <w:rFonts w:eastAsia="Times New Roman"/>
          <w:bCs/>
          <w:szCs w:val="20"/>
        </w:rPr>
        <w:t xml:space="preserve"> Obavy z růstu cen se oproti červnu snížily.</w:t>
      </w:r>
      <w:r w:rsidR="00F31D42" w:rsidRPr="0096305F">
        <w:rPr>
          <w:rFonts w:eastAsia="Times New Roman"/>
          <w:bCs/>
          <w:szCs w:val="20"/>
        </w:rPr>
        <w:t xml:space="preserve"> </w:t>
      </w:r>
      <w:r w:rsidR="00236D13">
        <w:rPr>
          <w:rFonts w:eastAsia="Times New Roman"/>
          <w:bCs/>
          <w:szCs w:val="20"/>
        </w:rPr>
        <w:t xml:space="preserve">V červenci dále </w:t>
      </w:r>
      <w:r w:rsidR="0061374B">
        <w:rPr>
          <w:rFonts w:eastAsia="Times New Roman"/>
          <w:bCs/>
          <w:szCs w:val="20"/>
        </w:rPr>
        <w:t xml:space="preserve">výrazně převládal počet spotřebitelů, kteří se obávali </w:t>
      </w:r>
      <w:r w:rsidR="0061374B" w:rsidRPr="0061374B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>
        <w:rPr>
          <w:rFonts w:eastAsia="Times New Roman"/>
          <w:bCs/>
          <w:i/>
          <w:szCs w:val="20"/>
        </w:rPr>
        <w:t>dvanácti</w:t>
      </w:r>
      <w:r w:rsidR="0061374B" w:rsidRPr="0061374B">
        <w:rPr>
          <w:rFonts w:eastAsia="Times New Roman"/>
          <w:bCs/>
          <w:i/>
          <w:szCs w:val="20"/>
        </w:rPr>
        <w:t xml:space="preserve"> měsících</w:t>
      </w:r>
      <w:r w:rsidR="00AC619A">
        <w:rPr>
          <w:rFonts w:eastAsia="Times New Roman"/>
          <w:bCs/>
          <w:szCs w:val="20"/>
        </w:rPr>
        <w:t xml:space="preserve">. </w:t>
      </w:r>
      <w:r w:rsidR="00236D13">
        <w:rPr>
          <w:rFonts w:eastAsia="Times New Roman"/>
          <w:bCs/>
          <w:szCs w:val="20"/>
        </w:rPr>
        <w:t>V meziročním srovnání je důvěra spotřebitelů stále</w:t>
      </w:r>
      <w:r w:rsidR="00F31D42">
        <w:rPr>
          <w:rFonts w:eastAsia="Times New Roman"/>
          <w:bCs/>
          <w:szCs w:val="20"/>
        </w:rPr>
        <w:t xml:space="preserve"> nižší.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0CEAFE5A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>1</w:t>
      </w:r>
      <w:r w:rsidR="00206369">
        <w:rPr>
          <w:rFonts w:cs="ArialMT"/>
          <w:i/>
          <w:iCs/>
          <w:color w:val="000000"/>
          <w:sz w:val="18"/>
          <w:szCs w:val="18"/>
        </w:rPr>
        <w:t>7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06369">
        <w:rPr>
          <w:rFonts w:cs="ArialMT"/>
          <w:i/>
          <w:iCs/>
          <w:color w:val="000000"/>
          <w:sz w:val="18"/>
          <w:szCs w:val="18"/>
        </w:rPr>
        <w:t>7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794B7856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3413CC">
        <w:rPr>
          <w:rFonts w:cs="ArialMT"/>
          <w:i/>
          <w:iCs/>
          <w:color w:val="000000"/>
          <w:sz w:val="18"/>
          <w:szCs w:val="18"/>
        </w:rPr>
        <w:t>4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06369">
        <w:rPr>
          <w:rFonts w:cs="ArialMT"/>
          <w:i/>
          <w:iCs/>
          <w:color w:val="000000"/>
          <w:sz w:val="18"/>
          <w:szCs w:val="18"/>
        </w:rPr>
        <w:t>8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5F547586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62D804D" w14:textId="77777777" w:rsidR="00206369" w:rsidRPr="0096305F" w:rsidRDefault="00206369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07CE8DA1" w14:textId="435F206F" w:rsidR="008141D1" w:rsidRDefault="008141D1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7E723BF9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p w14:paraId="14A6D501" w14:textId="77777777" w:rsidR="00206369" w:rsidRPr="009C1E43" w:rsidRDefault="00206369" w:rsidP="00206369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  <w:r>
        <w:rPr>
          <w:szCs w:val="20"/>
        </w:rPr>
        <w:t xml:space="preserve"> (2003 – 2020) </w:t>
      </w:r>
    </w:p>
    <w:p w14:paraId="5F463E49" w14:textId="77777777" w:rsidR="00206369" w:rsidRPr="009C1E43" w:rsidRDefault="00206369" w:rsidP="00206369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>
        <w:rPr>
          <w:szCs w:val="20"/>
        </w:rPr>
        <w:t xml:space="preserve"> (2005–2020)</w:t>
      </w:r>
      <w:r w:rsidRPr="009C1E43">
        <w:rPr>
          <w:szCs w:val="20"/>
        </w:rPr>
        <w:tab/>
      </w:r>
    </w:p>
    <w:p w14:paraId="24D055D5" w14:textId="77777777" w:rsidR="00206369" w:rsidRDefault="00206369" w:rsidP="00206369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>
        <w:rPr>
          <w:szCs w:val="20"/>
        </w:rPr>
        <w:t xml:space="preserve"> (2005–2020)</w:t>
      </w:r>
    </w:p>
    <w:p w14:paraId="677981A7" w14:textId="77777777" w:rsidR="00206369" w:rsidRDefault="00206369" w:rsidP="00206369">
      <w:pPr>
        <w:ind w:left="709" w:hanging="709"/>
        <w:jc w:val="left"/>
        <w:rPr>
          <w:szCs w:val="20"/>
        </w:rPr>
      </w:pPr>
      <w:r>
        <w:rPr>
          <w:szCs w:val="20"/>
        </w:rPr>
        <w:t>Graf Bariéry růstu produkce ve vybraných odvětvích služeb (2005-2020)</w:t>
      </w:r>
    </w:p>
    <w:p w14:paraId="7F73B2FF" w14:textId="77777777" w:rsidR="00206369" w:rsidRPr="0096305F" w:rsidRDefault="00206369" w:rsidP="00BB534D">
      <w:pPr>
        <w:spacing w:line="240" w:lineRule="auto"/>
        <w:ind w:left="709" w:hanging="709"/>
        <w:jc w:val="left"/>
      </w:pPr>
    </w:p>
    <w:sectPr w:rsidR="00206369" w:rsidRPr="0096305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25A8" w14:textId="77777777" w:rsidR="00C10F13" w:rsidRDefault="00C10F13" w:rsidP="00BA6370">
      <w:r>
        <w:separator/>
      </w:r>
    </w:p>
  </w:endnote>
  <w:endnote w:type="continuationSeparator" w:id="0">
    <w:p w14:paraId="7E647BD2" w14:textId="77777777" w:rsidR="00C10F13" w:rsidRDefault="00C10F1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F176" w14:textId="77777777" w:rsidR="00C10F13" w:rsidRDefault="00C10F13" w:rsidP="00BA6370">
      <w:r>
        <w:separator/>
      </w:r>
    </w:p>
  </w:footnote>
  <w:footnote w:type="continuationSeparator" w:id="0">
    <w:p w14:paraId="2F733A26" w14:textId="77777777" w:rsidR="00C10F13" w:rsidRDefault="00C10F1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42D9"/>
    <w:rsid w:val="00043BF4"/>
    <w:rsid w:val="0004637D"/>
    <w:rsid w:val="0005149C"/>
    <w:rsid w:val="00053568"/>
    <w:rsid w:val="000560BD"/>
    <w:rsid w:val="0006356B"/>
    <w:rsid w:val="000660CB"/>
    <w:rsid w:val="000742A0"/>
    <w:rsid w:val="00077C44"/>
    <w:rsid w:val="00083B0F"/>
    <w:rsid w:val="000843A5"/>
    <w:rsid w:val="000910DA"/>
    <w:rsid w:val="00091E14"/>
    <w:rsid w:val="0009403E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E43CC"/>
    <w:rsid w:val="000E5F11"/>
    <w:rsid w:val="000E6456"/>
    <w:rsid w:val="000F2EB6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30A40"/>
    <w:rsid w:val="00131DDB"/>
    <w:rsid w:val="0013203D"/>
    <w:rsid w:val="001404AB"/>
    <w:rsid w:val="00140B01"/>
    <w:rsid w:val="00146BDF"/>
    <w:rsid w:val="001505BE"/>
    <w:rsid w:val="00151308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96916"/>
    <w:rsid w:val="001A0D6E"/>
    <w:rsid w:val="001A3C26"/>
    <w:rsid w:val="001A49F9"/>
    <w:rsid w:val="001B001E"/>
    <w:rsid w:val="001B607F"/>
    <w:rsid w:val="001C1765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3729"/>
    <w:rsid w:val="00215CE0"/>
    <w:rsid w:val="00227742"/>
    <w:rsid w:val="0023093C"/>
    <w:rsid w:val="00236D13"/>
    <w:rsid w:val="002406FA"/>
    <w:rsid w:val="00241EAA"/>
    <w:rsid w:val="00242D38"/>
    <w:rsid w:val="00243B1B"/>
    <w:rsid w:val="00245236"/>
    <w:rsid w:val="00247564"/>
    <w:rsid w:val="00251241"/>
    <w:rsid w:val="0026107B"/>
    <w:rsid w:val="00270748"/>
    <w:rsid w:val="00273843"/>
    <w:rsid w:val="002745F6"/>
    <w:rsid w:val="00283CE4"/>
    <w:rsid w:val="00292F99"/>
    <w:rsid w:val="00294080"/>
    <w:rsid w:val="00294E57"/>
    <w:rsid w:val="002B2E47"/>
    <w:rsid w:val="002C41A7"/>
    <w:rsid w:val="002D1324"/>
    <w:rsid w:val="002D633A"/>
    <w:rsid w:val="002D6D48"/>
    <w:rsid w:val="002E4005"/>
    <w:rsid w:val="002E7448"/>
    <w:rsid w:val="002F1AFE"/>
    <w:rsid w:val="002F2103"/>
    <w:rsid w:val="00304079"/>
    <w:rsid w:val="00307272"/>
    <w:rsid w:val="003168AB"/>
    <w:rsid w:val="00320F20"/>
    <w:rsid w:val="0032438B"/>
    <w:rsid w:val="0032484F"/>
    <w:rsid w:val="0032500A"/>
    <w:rsid w:val="003261C0"/>
    <w:rsid w:val="003301A3"/>
    <w:rsid w:val="0033052E"/>
    <w:rsid w:val="003335E8"/>
    <w:rsid w:val="003413CC"/>
    <w:rsid w:val="00342EA2"/>
    <w:rsid w:val="0034333F"/>
    <w:rsid w:val="00353FCE"/>
    <w:rsid w:val="003651AA"/>
    <w:rsid w:val="0036777B"/>
    <w:rsid w:val="00373F7B"/>
    <w:rsid w:val="0038032F"/>
    <w:rsid w:val="0038282A"/>
    <w:rsid w:val="00386C05"/>
    <w:rsid w:val="00397580"/>
    <w:rsid w:val="00397B96"/>
    <w:rsid w:val="003A2E2F"/>
    <w:rsid w:val="003A45C8"/>
    <w:rsid w:val="003C1EBB"/>
    <w:rsid w:val="003C2DCF"/>
    <w:rsid w:val="003C3C43"/>
    <w:rsid w:val="003C5348"/>
    <w:rsid w:val="003C7193"/>
    <w:rsid w:val="003C7FE7"/>
    <w:rsid w:val="003D0499"/>
    <w:rsid w:val="003D1F0C"/>
    <w:rsid w:val="003D22A5"/>
    <w:rsid w:val="003D3054"/>
    <w:rsid w:val="003D3576"/>
    <w:rsid w:val="003D3FE8"/>
    <w:rsid w:val="003D72ED"/>
    <w:rsid w:val="003E17D6"/>
    <w:rsid w:val="003E27A9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5EA5"/>
    <w:rsid w:val="00433993"/>
    <w:rsid w:val="00434260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A322E"/>
    <w:rsid w:val="004A4B82"/>
    <w:rsid w:val="004A6351"/>
    <w:rsid w:val="004A6895"/>
    <w:rsid w:val="004B088B"/>
    <w:rsid w:val="004B2605"/>
    <w:rsid w:val="004B7E30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673"/>
    <w:rsid w:val="00531DBB"/>
    <w:rsid w:val="00536458"/>
    <w:rsid w:val="005442A9"/>
    <w:rsid w:val="00546541"/>
    <w:rsid w:val="00550183"/>
    <w:rsid w:val="00564C0C"/>
    <w:rsid w:val="00565821"/>
    <w:rsid w:val="00567FD8"/>
    <w:rsid w:val="0057250A"/>
    <w:rsid w:val="00573994"/>
    <w:rsid w:val="00583FFA"/>
    <w:rsid w:val="0058597E"/>
    <w:rsid w:val="00586F07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82D"/>
    <w:rsid w:val="006223D4"/>
    <w:rsid w:val="006227A8"/>
    <w:rsid w:val="00622B80"/>
    <w:rsid w:val="0062638C"/>
    <w:rsid w:val="00627ADB"/>
    <w:rsid w:val="006355E5"/>
    <w:rsid w:val="006375A5"/>
    <w:rsid w:val="00641160"/>
    <w:rsid w:val="0064139A"/>
    <w:rsid w:val="0064627E"/>
    <w:rsid w:val="00657767"/>
    <w:rsid w:val="00660510"/>
    <w:rsid w:val="00662486"/>
    <w:rsid w:val="00676AF6"/>
    <w:rsid w:val="0068031D"/>
    <w:rsid w:val="0069106B"/>
    <w:rsid w:val="00691E5A"/>
    <w:rsid w:val="006931CF"/>
    <w:rsid w:val="006A2665"/>
    <w:rsid w:val="006C008D"/>
    <w:rsid w:val="006C7EAB"/>
    <w:rsid w:val="006D355E"/>
    <w:rsid w:val="006D3D72"/>
    <w:rsid w:val="006E0018"/>
    <w:rsid w:val="006E024F"/>
    <w:rsid w:val="006E4E81"/>
    <w:rsid w:val="006F524D"/>
    <w:rsid w:val="00707F7D"/>
    <w:rsid w:val="0071234B"/>
    <w:rsid w:val="00714597"/>
    <w:rsid w:val="007162E1"/>
    <w:rsid w:val="00717EC5"/>
    <w:rsid w:val="00727407"/>
    <w:rsid w:val="00731D72"/>
    <w:rsid w:val="007327C0"/>
    <w:rsid w:val="00741BA4"/>
    <w:rsid w:val="0074303E"/>
    <w:rsid w:val="0074604D"/>
    <w:rsid w:val="00747E23"/>
    <w:rsid w:val="00753EF2"/>
    <w:rsid w:val="00754C20"/>
    <w:rsid w:val="00757C44"/>
    <w:rsid w:val="0076021B"/>
    <w:rsid w:val="0076285A"/>
    <w:rsid w:val="0076321A"/>
    <w:rsid w:val="00763A69"/>
    <w:rsid w:val="00775133"/>
    <w:rsid w:val="0077603D"/>
    <w:rsid w:val="007910D7"/>
    <w:rsid w:val="00792FDE"/>
    <w:rsid w:val="007934DC"/>
    <w:rsid w:val="00795797"/>
    <w:rsid w:val="0079785D"/>
    <w:rsid w:val="007A00AE"/>
    <w:rsid w:val="007A2048"/>
    <w:rsid w:val="007A57F2"/>
    <w:rsid w:val="007B1333"/>
    <w:rsid w:val="007D30C5"/>
    <w:rsid w:val="007F3BF1"/>
    <w:rsid w:val="007F4AEB"/>
    <w:rsid w:val="007F75B2"/>
    <w:rsid w:val="008037CC"/>
    <w:rsid w:val="00803993"/>
    <w:rsid w:val="008043C4"/>
    <w:rsid w:val="00805DE6"/>
    <w:rsid w:val="00811EAC"/>
    <w:rsid w:val="008121FF"/>
    <w:rsid w:val="008141D1"/>
    <w:rsid w:val="00815401"/>
    <w:rsid w:val="00816030"/>
    <w:rsid w:val="00816781"/>
    <w:rsid w:val="008172FE"/>
    <w:rsid w:val="00817846"/>
    <w:rsid w:val="00831B1B"/>
    <w:rsid w:val="00833A34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C3824"/>
    <w:rsid w:val="008C384C"/>
    <w:rsid w:val="008D0F11"/>
    <w:rsid w:val="008D26B1"/>
    <w:rsid w:val="008E129A"/>
    <w:rsid w:val="008E3382"/>
    <w:rsid w:val="008E7417"/>
    <w:rsid w:val="008E7B30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46B35"/>
    <w:rsid w:val="00950F62"/>
    <w:rsid w:val="0096305F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B0887"/>
    <w:rsid w:val="009B4FB4"/>
    <w:rsid w:val="009B55B1"/>
    <w:rsid w:val="009C0C41"/>
    <w:rsid w:val="009C0D9B"/>
    <w:rsid w:val="009D1EE9"/>
    <w:rsid w:val="009D74FA"/>
    <w:rsid w:val="009F07D3"/>
    <w:rsid w:val="009F35EA"/>
    <w:rsid w:val="009F4D1E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2695"/>
    <w:rsid w:val="00A40A11"/>
    <w:rsid w:val="00A4343D"/>
    <w:rsid w:val="00A4687B"/>
    <w:rsid w:val="00A502F1"/>
    <w:rsid w:val="00A54606"/>
    <w:rsid w:val="00A65E81"/>
    <w:rsid w:val="00A70A83"/>
    <w:rsid w:val="00A72FA2"/>
    <w:rsid w:val="00A80880"/>
    <w:rsid w:val="00A81EB3"/>
    <w:rsid w:val="00A8642F"/>
    <w:rsid w:val="00A87CF6"/>
    <w:rsid w:val="00A91279"/>
    <w:rsid w:val="00A9736E"/>
    <w:rsid w:val="00AA67F9"/>
    <w:rsid w:val="00AB3410"/>
    <w:rsid w:val="00AB44DC"/>
    <w:rsid w:val="00AB4F10"/>
    <w:rsid w:val="00AC619A"/>
    <w:rsid w:val="00AE2C16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316EE"/>
    <w:rsid w:val="00B339D2"/>
    <w:rsid w:val="00B40C0E"/>
    <w:rsid w:val="00B52BAA"/>
    <w:rsid w:val="00B54E38"/>
    <w:rsid w:val="00B55375"/>
    <w:rsid w:val="00B61D59"/>
    <w:rsid w:val="00B632CC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C3C7E"/>
    <w:rsid w:val="00BC67DF"/>
    <w:rsid w:val="00BD02DE"/>
    <w:rsid w:val="00BD03D7"/>
    <w:rsid w:val="00BD39E4"/>
    <w:rsid w:val="00BF1C58"/>
    <w:rsid w:val="00BF28BE"/>
    <w:rsid w:val="00BF35AF"/>
    <w:rsid w:val="00C004FE"/>
    <w:rsid w:val="00C01CCE"/>
    <w:rsid w:val="00C10BFC"/>
    <w:rsid w:val="00C10F13"/>
    <w:rsid w:val="00C269D4"/>
    <w:rsid w:val="00C372DE"/>
    <w:rsid w:val="00C37ADB"/>
    <w:rsid w:val="00C4160D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6F89"/>
    <w:rsid w:val="00CC0AE9"/>
    <w:rsid w:val="00CC12C1"/>
    <w:rsid w:val="00CD4B01"/>
    <w:rsid w:val="00CD6C55"/>
    <w:rsid w:val="00CE15F5"/>
    <w:rsid w:val="00CE228C"/>
    <w:rsid w:val="00CE36B1"/>
    <w:rsid w:val="00CE71D9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4E7E"/>
    <w:rsid w:val="00D45A6D"/>
    <w:rsid w:val="00D62ECB"/>
    <w:rsid w:val="00D62F48"/>
    <w:rsid w:val="00D66492"/>
    <w:rsid w:val="00D666C3"/>
    <w:rsid w:val="00D670C4"/>
    <w:rsid w:val="00D707F1"/>
    <w:rsid w:val="00D72912"/>
    <w:rsid w:val="00D76300"/>
    <w:rsid w:val="00D7730E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B3ACE"/>
    <w:rsid w:val="00DC0E8E"/>
    <w:rsid w:val="00DD3E74"/>
    <w:rsid w:val="00DD461E"/>
    <w:rsid w:val="00DE0427"/>
    <w:rsid w:val="00DE1EE6"/>
    <w:rsid w:val="00DE4E3D"/>
    <w:rsid w:val="00DF016F"/>
    <w:rsid w:val="00DF29E8"/>
    <w:rsid w:val="00DF47FE"/>
    <w:rsid w:val="00DF6A99"/>
    <w:rsid w:val="00E0156A"/>
    <w:rsid w:val="00E01E79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C3EED"/>
    <w:rsid w:val="00EC4840"/>
    <w:rsid w:val="00EC6380"/>
    <w:rsid w:val="00EC73E5"/>
    <w:rsid w:val="00ED263D"/>
    <w:rsid w:val="00ED6E75"/>
    <w:rsid w:val="00ED7A12"/>
    <w:rsid w:val="00EE1B80"/>
    <w:rsid w:val="00EE6B48"/>
    <w:rsid w:val="00EF3CC4"/>
    <w:rsid w:val="00EF7AED"/>
    <w:rsid w:val="00F0241E"/>
    <w:rsid w:val="00F02D69"/>
    <w:rsid w:val="00F112F3"/>
    <w:rsid w:val="00F2080B"/>
    <w:rsid w:val="00F21E7B"/>
    <w:rsid w:val="00F266E8"/>
    <w:rsid w:val="00F31D42"/>
    <w:rsid w:val="00F3627F"/>
    <w:rsid w:val="00F5077A"/>
    <w:rsid w:val="00F626FD"/>
    <w:rsid w:val="00F636BF"/>
    <w:rsid w:val="00F64551"/>
    <w:rsid w:val="00F659C4"/>
    <w:rsid w:val="00F75F2A"/>
    <w:rsid w:val="00F80FFC"/>
    <w:rsid w:val="00F856E3"/>
    <w:rsid w:val="00F946A9"/>
    <w:rsid w:val="00F95765"/>
    <w:rsid w:val="00FA015E"/>
    <w:rsid w:val="00FB687C"/>
    <w:rsid w:val="00FB7140"/>
    <w:rsid w:val="00FC4D0D"/>
    <w:rsid w:val="00FC61DF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E2E7-368D-470F-A997-D1555E47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14</TotalTime>
  <Pages>2</Pages>
  <Words>790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5</cp:revision>
  <cp:lastPrinted>2019-08-22T07:00:00Z</cp:lastPrinted>
  <dcterms:created xsi:type="dcterms:W3CDTF">2020-07-21T04:23:00Z</dcterms:created>
  <dcterms:modified xsi:type="dcterms:W3CDTF">2020-07-23T04:27:00Z</dcterms:modified>
</cp:coreProperties>
</file>