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B67D7" w14:textId="00E203F0" w:rsidR="00307D50" w:rsidRPr="000531BD" w:rsidRDefault="00A57E98" w:rsidP="00307D50">
      <w:pPr>
        <w:pStyle w:val="Datum"/>
      </w:pPr>
      <w:r w:rsidRPr="000531BD">
        <w:t>1</w:t>
      </w:r>
      <w:r w:rsidR="00307D50" w:rsidRPr="000531BD">
        <w:t> </w:t>
      </w:r>
      <w:r w:rsidR="003F52D7" w:rsidRPr="000531BD">
        <w:t>October</w:t>
      </w:r>
      <w:r w:rsidR="00527E28" w:rsidRPr="000531BD">
        <w:t xml:space="preserve"> </w:t>
      </w:r>
      <w:r w:rsidR="00037D0B" w:rsidRPr="000531BD">
        <w:t>2025</w:t>
      </w:r>
    </w:p>
    <w:p w14:paraId="4AFBA255" w14:textId="1A5E2E0F" w:rsidR="00307D50" w:rsidRPr="000531BD" w:rsidRDefault="00307D50" w:rsidP="00307D50">
      <w:pPr>
        <w:pStyle w:val="Podtitulek"/>
        <w:rPr>
          <w:color w:val="BD1B21"/>
          <w:sz w:val="32"/>
          <w:szCs w:val="32"/>
        </w:rPr>
      </w:pPr>
      <w:r w:rsidRPr="000531BD">
        <w:rPr>
          <w:color w:val="BD1B21"/>
          <w:sz w:val="32"/>
          <w:szCs w:val="32"/>
        </w:rPr>
        <w:t xml:space="preserve">General government sector balance </w:t>
      </w:r>
      <w:r w:rsidR="00D850F4" w:rsidRPr="000531BD">
        <w:rPr>
          <w:color w:val="BD1B21"/>
          <w:sz w:val="32"/>
          <w:szCs w:val="32"/>
        </w:rPr>
        <w:t>ended up</w:t>
      </w:r>
      <w:r w:rsidRPr="000531BD">
        <w:rPr>
          <w:color w:val="BD1B21"/>
          <w:sz w:val="32"/>
          <w:szCs w:val="32"/>
        </w:rPr>
        <w:t xml:space="preserve"> in a </w:t>
      </w:r>
      <w:r w:rsidR="003F52D7" w:rsidRPr="000531BD">
        <w:rPr>
          <w:color w:val="BD1B21"/>
          <w:sz w:val="32"/>
          <w:szCs w:val="32"/>
        </w:rPr>
        <w:t>surplus</w:t>
      </w:r>
      <w:r w:rsidRPr="000531BD">
        <w:rPr>
          <w:color w:val="BD1B21"/>
          <w:sz w:val="32"/>
          <w:szCs w:val="32"/>
        </w:rPr>
        <w:t xml:space="preserve"> </w:t>
      </w:r>
    </w:p>
    <w:p w14:paraId="328F8134" w14:textId="1E2AE637" w:rsidR="00307D50" w:rsidRPr="000531BD" w:rsidRDefault="00307D50" w:rsidP="00307D50">
      <w:pPr>
        <w:pStyle w:val="Podtitulek"/>
      </w:pPr>
      <w:r w:rsidRPr="000531BD">
        <w:t xml:space="preserve">Government deficit and debt – the </w:t>
      </w:r>
      <w:r w:rsidR="003F52D7" w:rsidRPr="000531BD">
        <w:t>second</w:t>
      </w:r>
      <w:r w:rsidRPr="000531BD">
        <w:t xml:space="preserve"> quarter of 202</w:t>
      </w:r>
      <w:r w:rsidR="00A57E98" w:rsidRPr="000531BD">
        <w:t>5</w:t>
      </w:r>
    </w:p>
    <w:p w14:paraId="5FD06D34" w14:textId="48468C6B" w:rsidR="00C21892" w:rsidRPr="000531BD" w:rsidRDefault="00C21892" w:rsidP="00AA065C">
      <w:pPr>
        <w:rPr>
          <w:b/>
        </w:rPr>
      </w:pPr>
      <w:r w:rsidRPr="000531BD">
        <w:rPr>
          <w:b/>
        </w:rPr>
        <w:t>In the Q2 2025, the general government sector balance ended up with a surplus corresponding to 0.4% of the GDP. The go</w:t>
      </w:r>
      <w:r w:rsidR="007D0FDA" w:rsidRPr="000531BD">
        <w:rPr>
          <w:b/>
        </w:rPr>
        <w:t>vernment debt ratio reached 43.8</w:t>
      </w:r>
      <w:r w:rsidRPr="000531BD">
        <w:rPr>
          <w:b/>
        </w:rPr>
        <w:t>% of the GDP.</w:t>
      </w:r>
    </w:p>
    <w:p w14:paraId="044DBA6D" w14:textId="77777777" w:rsidR="00AA065C" w:rsidRPr="000531BD" w:rsidRDefault="00AA065C" w:rsidP="00AA065C"/>
    <w:p w14:paraId="147ED2FF" w14:textId="056527C6" w:rsidR="00EE7999" w:rsidRPr="000531BD" w:rsidRDefault="00EE7999" w:rsidP="00AA065C">
      <w:r w:rsidRPr="000531BD">
        <w:t xml:space="preserve">In the Q2 2025, the general government sector surplus reached CZK 8.3 billion, which means that it improved by CZK 4.6 billion in the year-on-year comparison. The central government ended up with a </w:t>
      </w:r>
      <w:r w:rsidR="00093F1D" w:rsidRPr="000531BD">
        <w:t>surplus</w:t>
      </w:r>
      <w:r w:rsidRPr="000531BD">
        <w:t xml:space="preserve"> of CZK </w:t>
      </w:r>
      <w:r w:rsidR="00093F1D" w:rsidRPr="000531BD">
        <w:t>32.0</w:t>
      </w:r>
      <w:r w:rsidRPr="000531BD">
        <w:t xml:space="preserve"> billion that </w:t>
      </w:r>
      <w:r w:rsidR="00093F1D" w:rsidRPr="000531BD">
        <w:t>improved by CZK 12.8</w:t>
      </w:r>
      <w:r w:rsidRPr="000531BD">
        <w:t> billion, y-o-y. Performance of the local government sector ended up with a surplus in the amount of CZK </w:t>
      </w:r>
      <w:r w:rsidR="00093F1D" w:rsidRPr="000531BD">
        <w:t>41.0</w:t>
      </w:r>
      <w:r w:rsidRPr="000531BD">
        <w:t xml:space="preserve"> billion, which means, in a year-on-year comparison, a </w:t>
      </w:r>
      <w:bookmarkStart w:id="0" w:name="_GoBack"/>
      <w:bookmarkEnd w:id="0"/>
      <w:r w:rsidRPr="000531BD">
        <w:t>worsening by CZK </w:t>
      </w:r>
      <w:r w:rsidR="00093F1D" w:rsidRPr="000531BD">
        <w:t>10.7</w:t>
      </w:r>
      <w:r w:rsidRPr="000531BD">
        <w:t> billion. Performance of social security funds (of health insurance companies) e</w:t>
      </w:r>
      <w:r w:rsidR="00093F1D" w:rsidRPr="000531BD">
        <w:t>nded up with a deficit of CZK 0.8</w:t>
      </w:r>
      <w:r w:rsidRPr="000531BD">
        <w:t xml:space="preserve"> billion. </w:t>
      </w:r>
    </w:p>
    <w:p w14:paraId="78BB242B" w14:textId="52FF6D68" w:rsidR="00DE7936" w:rsidRPr="000531BD" w:rsidRDefault="00DE7936" w:rsidP="00AA065C"/>
    <w:p w14:paraId="10E47A4E" w14:textId="63369771" w:rsidR="00DE7936" w:rsidRPr="000531BD" w:rsidRDefault="00DE7936" w:rsidP="00AA065C">
      <w:pPr>
        <w:rPr>
          <w:i/>
        </w:rPr>
      </w:pPr>
      <w:r w:rsidRPr="000531BD">
        <w:rPr>
          <w:i/>
        </w:rPr>
        <w:t>“In the second quarter of 2025, the general government sector ended up with a surplus of CZK 8.3 billion, which is in relative terms 0.4% of the GDP. The government debt ratio</w:t>
      </w:r>
      <w:r w:rsidR="009C4F86" w:rsidRPr="000531BD">
        <w:rPr>
          <w:i/>
        </w:rPr>
        <w:t xml:space="preserve"> increased by 1.4</w:t>
      </w:r>
      <w:r w:rsidRPr="000531BD">
        <w:rPr>
          <w:i/>
        </w:rPr>
        <w:t xml:space="preserve"> p. p., year-on-year,” </w:t>
      </w:r>
      <w:r w:rsidRPr="000531BD">
        <w:t>Helena Houžvičková, Director of the Government and Financial Accounts Department of the Czech Statistical Office (CZSO), stated.</w:t>
      </w:r>
    </w:p>
    <w:p w14:paraId="1CD7AC33" w14:textId="77777777" w:rsidR="00307D50" w:rsidRPr="000531BD" w:rsidRDefault="00307D50" w:rsidP="00307D50"/>
    <w:p w14:paraId="46D2A3BD" w14:textId="1EB3F65E" w:rsidR="006956B8" w:rsidRPr="000531BD" w:rsidRDefault="006956B8" w:rsidP="006956B8">
      <w:pPr>
        <w:pStyle w:val="TabulkaGraf"/>
      </w:pPr>
      <w:r w:rsidRPr="000531BD">
        <w:t xml:space="preserve">Tab. 1.1 </w:t>
      </w:r>
      <w:proofErr w:type="gramStart"/>
      <w:r w:rsidR="00E86EB2" w:rsidRPr="000531BD">
        <w:t>The</w:t>
      </w:r>
      <w:proofErr w:type="gramEnd"/>
      <w:r w:rsidR="00E86EB2" w:rsidRPr="000531BD">
        <w:t xml:space="preserve"> general government sector balance</w:t>
      </w:r>
    </w:p>
    <w:p w14:paraId="18F5E697" w14:textId="4AAEB071" w:rsidR="00307D50" w:rsidRPr="003E1DA3" w:rsidRDefault="006956B8" w:rsidP="006956B8">
      <w:pPr>
        <w:pStyle w:val="TabulkaGraf"/>
        <w:rPr>
          <w:b w:val="0"/>
          <w:sz w:val="16"/>
          <w:szCs w:val="16"/>
        </w:rPr>
      </w:pPr>
      <w:r w:rsidRPr="000531BD">
        <w:rPr>
          <w:b w:val="0"/>
          <w:sz w:val="16"/>
          <w:szCs w:val="16"/>
        </w:rPr>
        <w:t xml:space="preserve">                   </w:t>
      </w:r>
      <w:r w:rsidRPr="003E1DA3">
        <w:rPr>
          <w:b w:val="0"/>
          <w:sz w:val="16"/>
          <w:szCs w:val="16"/>
        </w:rPr>
        <w:t>(</w:t>
      </w:r>
      <w:r w:rsidR="00E86EB2" w:rsidRPr="003E1DA3">
        <w:rPr>
          <w:b w:val="0"/>
          <w:sz w:val="16"/>
          <w:szCs w:val="16"/>
        </w:rPr>
        <w:t>Data in the table are not seasonally adjusted; they cannot be compared quarter-on-quarter.</w:t>
      </w:r>
      <w:r w:rsidRPr="003E1DA3">
        <w:rPr>
          <w:b w:val="0"/>
          <w:sz w:val="16"/>
          <w:szCs w:val="16"/>
        </w:rPr>
        <w:t>)</w:t>
      </w:r>
    </w:p>
    <w:tbl>
      <w:tblPr>
        <w:tblW w:w="8505" w:type="dxa"/>
        <w:tblLayout w:type="fixed"/>
        <w:tblCellMar>
          <w:left w:w="70" w:type="dxa"/>
          <w:right w:w="70" w:type="dxa"/>
        </w:tblCellMar>
        <w:tblLook w:val="04A0" w:firstRow="1" w:lastRow="0" w:firstColumn="1" w:lastColumn="0" w:noHBand="0" w:noVBand="1"/>
      </w:tblPr>
      <w:tblGrid>
        <w:gridCol w:w="851"/>
        <w:gridCol w:w="850"/>
        <w:gridCol w:w="850"/>
        <w:gridCol w:w="851"/>
        <w:gridCol w:w="850"/>
        <w:gridCol w:w="851"/>
        <w:gridCol w:w="850"/>
        <w:gridCol w:w="851"/>
        <w:gridCol w:w="850"/>
        <w:gridCol w:w="851"/>
      </w:tblGrid>
      <w:tr w:rsidR="00C31C7D" w:rsidRPr="000531BD" w14:paraId="588D7E99" w14:textId="77777777" w:rsidTr="00CA501A">
        <w:trPr>
          <w:trHeight w:val="315"/>
        </w:trPr>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02F11AED" w14:textId="0DD8446E" w:rsidR="00C31C7D" w:rsidRPr="000531BD" w:rsidRDefault="00C31C7D" w:rsidP="00C31C7D">
            <w:pPr>
              <w:spacing w:line="240" w:lineRule="auto"/>
              <w:jc w:val="center"/>
              <w:rPr>
                <w:rFonts w:eastAsia="Times New Roman" w:cs="Arial"/>
                <w:sz w:val="16"/>
                <w:szCs w:val="16"/>
                <w:lang w:val="cs-CZ" w:eastAsia="cs-CZ"/>
              </w:rPr>
            </w:pPr>
            <w:r w:rsidRPr="000531BD">
              <w:rPr>
                <w:rFonts w:eastAsia="Times New Roman" w:cs="Arial"/>
                <w:sz w:val="16"/>
                <w:szCs w:val="16"/>
                <w:lang w:val="cs-CZ" w:eastAsia="cs-CZ"/>
              </w:rPr>
              <w:t> </w:t>
            </w:r>
          </w:p>
        </w:tc>
        <w:tc>
          <w:tcPr>
            <w:tcW w:w="850" w:type="dxa"/>
            <w:tcBorders>
              <w:top w:val="single" w:sz="8" w:space="0" w:color="auto"/>
              <w:left w:val="nil"/>
              <w:bottom w:val="single" w:sz="8" w:space="0" w:color="auto"/>
              <w:right w:val="single" w:sz="4" w:space="0" w:color="auto"/>
            </w:tcBorders>
            <w:shd w:val="clear" w:color="000000" w:fill="E3E2ED"/>
            <w:vAlign w:val="center"/>
            <w:hideMark/>
          </w:tcPr>
          <w:p w14:paraId="76A2AEE4" w14:textId="1ECBEFEE"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Q2 2023</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5A1C54E5" w14:textId="0D9614B9"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Q3 2023</w:t>
            </w:r>
          </w:p>
        </w:tc>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0BF1AD89" w14:textId="30EA741A"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Q4 2023</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519B1A2A" w14:textId="33EFB887"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Q1 2024</w:t>
            </w:r>
          </w:p>
        </w:tc>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46479C57" w14:textId="31CBE14E"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Q2 2024</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4445A2B3" w14:textId="51266E67"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Q3 2024</w:t>
            </w:r>
          </w:p>
        </w:tc>
        <w:tc>
          <w:tcPr>
            <w:tcW w:w="851" w:type="dxa"/>
            <w:tcBorders>
              <w:top w:val="single" w:sz="8" w:space="0" w:color="auto"/>
              <w:left w:val="nil"/>
              <w:bottom w:val="single" w:sz="8" w:space="0" w:color="auto"/>
              <w:right w:val="single" w:sz="4" w:space="0" w:color="auto"/>
            </w:tcBorders>
            <w:shd w:val="clear" w:color="000000" w:fill="E3E2ED"/>
            <w:vAlign w:val="center"/>
            <w:hideMark/>
          </w:tcPr>
          <w:p w14:paraId="3E7F98D9" w14:textId="64F0D2DA"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Q4 2024</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4017A548" w14:textId="7E7485C4"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Q1 2025</w:t>
            </w:r>
          </w:p>
        </w:tc>
        <w:tc>
          <w:tcPr>
            <w:tcW w:w="851" w:type="dxa"/>
            <w:tcBorders>
              <w:top w:val="single" w:sz="8" w:space="0" w:color="auto"/>
              <w:left w:val="nil"/>
              <w:bottom w:val="single" w:sz="8" w:space="0" w:color="auto"/>
              <w:right w:val="nil"/>
            </w:tcBorders>
            <w:shd w:val="clear" w:color="000000" w:fill="E3E2ED"/>
            <w:noWrap/>
            <w:vAlign w:val="center"/>
            <w:hideMark/>
          </w:tcPr>
          <w:p w14:paraId="662C9CF0" w14:textId="7DF474E0" w:rsidR="00C31C7D" w:rsidRPr="000531BD" w:rsidRDefault="00C31C7D" w:rsidP="00C31C7D">
            <w:pPr>
              <w:spacing w:line="240" w:lineRule="auto"/>
              <w:jc w:val="center"/>
              <w:rPr>
                <w:rFonts w:eastAsia="Times New Roman" w:cs="Arial"/>
                <w:sz w:val="16"/>
                <w:szCs w:val="16"/>
                <w:lang w:val="cs-CZ" w:eastAsia="cs-CZ"/>
              </w:rPr>
            </w:pPr>
            <w:r w:rsidRPr="000531BD">
              <w:rPr>
                <w:rFonts w:cs="Arial"/>
                <w:sz w:val="16"/>
                <w:szCs w:val="16"/>
              </w:rPr>
              <w:t>Q2 2025</w:t>
            </w:r>
          </w:p>
        </w:tc>
      </w:tr>
      <w:tr w:rsidR="00CA501A" w:rsidRPr="000531BD" w14:paraId="58B194C3" w14:textId="77777777" w:rsidTr="00CA501A">
        <w:trPr>
          <w:trHeight w:val="300"/>
        </w:trPr>
        <w:tc>
          <w:tcPr>
            <w:tcW w:w="851" w:type="dxa"/>
            <w:tcBorders>
              <w:top w:val="single" w:sz="8" w:space="0" w:color="auto"/>
              <w:left w:val="nil"/>
              <w:bottom w:val="nil"/>
              <w:right w:val="single" w:sz="4" w:space="0" w:color="auto"/>
            </w:tcBorders>
            <w:shd w:val="clear" w:color="auto" w:fill="auto"/>
            <w:noWrap/>
            <w:vAlign w:val="bottom"/>
            <w:hideMark/>
          </w:tcPr>
          <w:p w14:paraId="473EA480" w14:textId="77777777" w:rsidR="00CA501A" w:rsidRPr="000531BD" w:rsidRDefault="00CA501A" w:rsidP="00CA501A">
            <w:pPr>
              <w:spacing w:line="240" w:lineRule="auto"/>
              <w:jc w:val="left"/>
              <w:rPr>
                <w:rFonts w:eastAsia="Times New Roman" w:cs="Arial"/>
                <w:color w:val="000000"/>
                <w:sz w:val="16"/>
                <w:szCs w:val="16"/>
                <w:lang w:val="cs-CZ" w:eastAsia="cs-CZ"/>
              </w:rPr>
            </w:pPr>
            <w:r w:rsidRPr="000531BD">
              <w:rPr>
                <w:rFonts w:eastAsia="Times New Roman" w:cs="Arial"/>
                <w:color w:val="000000"/>
                <w:sz w:val="16"/>
                <w:szCs w:val="16"/>
                <w:lang w:eastAsia="cs-CZ"/>
              </w:rPr>
              <w:t xml:space="preserve">CZK </w:t>
            </w:r>
            <w:proofErr w:type="spellStart"/>
            <w:r w:rsidRPr="000531BD">
              <w:rPr>
                <w:rFonts w:eastAsia="Times New Roman" w:cs="Arial"/>
                <w:color w:val="000000"/>
                <w:sz w:val="16"/>
                <w:szCs w:val="16"/>
                <w:lang w:eastAsia="cs-CZ"/>
              </w:rPr>
              <w:t>bn</w:t>
            </w:r>
            <w:proofErr w:type="spellEnd"/>
          </w:p>
        </w:tc>
        <w:tc>
          <w:tcPr>
            <w:tcW w:w="850" w:type="dxa"/>
            <w:tcBorders>
              <w:top w:val="nil"/>
              <w:left w:val="single" w:sz="4" w:space="0" w:color="auto"/>
              <w:bottom w:val="nil"/>
              <w:right w:val="single" w:sz="4" w:space="0" w:color="auto"/>
            </w:tcBorders>
            <w:shd w:val="clear" w:color="auto" w:fill="auto"/>
            <w:noWrap/>
            <w:vAlign w:val="bottom"/>
            <w:hideMark/>
          </w:tcPr>
          <w:p w14:paraId="49399213"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-15.4 </w:t>
            </w:r>
          </w:p>
        </w:tc>
        <w:tc>
          <w:tcPr>
            <w:tcW w:w="850" w:type="dxa"/>
            <w:tcBorders>
              <w:top w:val="nil"/>
              <w:left w:val="nil"/>
              <w:bottom w:val="nil"/>
              <w:right w:val="single" w:sz="4" w:space="0" w:color="auto"/>
            </w:tcBorders>
            <w:shd w:val="clear" w:color="auto" w:fill="auto"/>
            <w:noWrap/>
            <w:vAlign w:val="bottom"/>
            <w:hideMark/>
          </w:tcPr>
          <w:p w14:paraId="40A5B8FF"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-45.0 </w:t>
            </w:r>
          </w:p>
        </w:tc>
        <w:tc>
          <w:tcPr>
            <w:tcW w:w="851" w:type="dxa"/>
            <w:tcBorders>
              <w:top w:val="nil"/>
              <w:left w:val="nil"/>
              <w:bottom w:val="nil"/>
              <w:right w:val="single" w:sz="4" w:space="0" w:color="auto"/>
            </w:tcBorders>
            <w:shd w:val="clear" w:color="auto" w:fill="auto"/>
            <w:noWrap/>
            <w:vAlign w:val="bottom"/>
            <w:hideMark/>
          </w:tcPr>
          <w:p w14:paraId="30B6DD2A"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-114.7 </w:t>
            </w:r>
          </w:p>
        </w:tc>
        <w:tc>
          <w:tcPr>
            <w:tcW w:w="850" w:type="dxa"/>
            <w:tcBorders>
              <w:top w:val="nil"/>
              <w:left w:val="nil"/>
              <w:bottom w:val="nil"/>
              <w:right w:val="single" w:sz="4" w:space="0" w:color="auto"/>
            </w:tcBorders>
            <w:shd w:val="clear" w:color="auto" w:fill="auto"/>
            <w:noWrap/>
            <w:vAlign w:val="bottom"/>
            <w:hideMark/>
          </w:tcPr>
          <w:p w14:paraId="724F5585"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-59.0 </w:t>
            </w:r>
          </w:p>
        </w:tc>
        <w:tc>
          <w:tcPr>
            <w:tcW w:w="851" w:type="dxa"/>
            <w:tcBorders>
              <w:top w:val="nil"/>
              <w:left w:val="nil"/>
              <w:bottom w:val="nil"/>
              <w:right w:val="single" w:sz="4" w:space="0" w:color="auto"/>
            </w:tcBorders>
            <w:shd w:val="clear" w:color="auto" w:fill="auto"/>
            <w:noWrap/>
            <w:vAlign w:val="bottom"/>
            <w:hideMark/>
          </w:tcPr>
          <w:p w14:paraId="6890B12C"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3.7 </w:t>
            </w:r>
          </w:p>
        </w:tc>
        <w:tc>
          <w:tcPr>
            <w:tcW w:w="850" w:type="dxa"/>
            <w:tcBorders>
              <w:top w:val="nil"/>
              <w:left w:val="nil"/>
              <w:bottom w:val="nil"/>
              <w:right w:val="single" w:sz="4" w:space="0" w:color="auto"/>
            </w:tcBorders>
            <w:shd w:val="clear" w:color="auto" w:fill="auto"/>
            <w:noWrap/>
            <w:vAlign w:val="bottom"/>
            <w:hideMark/>
          </w:tcPr>
          <w:p w14:paraId="11E9C785"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-31.6 </w:t>
            </w:r>
          </w:p>
        </w:tc>
        <w:tc>
          <w:tcPr>
            <w:tcW w:w="851" w:type="dxa"/>
            <w:tcBorders>
              <w:top w:val="nil"/>
              <w:left w:val="nil"/>
              <w:bottom w:val="nil"/>
              <w:right w:val="single" w:sz="4" w:space="0" w:color="auto"/>
            </w:tcBorders>
            <w:shd w:val="clear" w:color="auto" w:fill="auto"/>
            <w:noWrap/>
            <w:vAlign w:val="bottom"/>
            <w:hideMark/>
          </w:tcPr>
          <w:p w14:paraId="5097E752"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-76.6 </w:t>
            </w:r>
          </w:p>
        </w:tc>
        <w:tc>
          <w:tcPr>
            <w:tcW w:w="850" w:type="dxa"/>
            <w:tcBorders>
              <w:top w:val="nil"/>
              <w:left w:val="nil"/>
              <w:bottom w:val="nil"/>
              <w:right w:val="single" w:sz="4" w:space="0" w:color="auto"/>
            </w:tcBorders>
            <w:shd w:val="clear" w:color="auto" w:fill="auto"/>
            <w:noWrap/>
            <w:vAlign w:val="bottom"/>
            <w:hideMark/>
          </w:tcPr>
          <w:p w14:paraId="6E9222DB"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-71.3 </w:t>
            </w:r>
          </w:p>
        </w:tc>
        <w:tc>
          <w:tcPr>
            <w:tcW w:w="851" w:type="dxa"/>
            <w:tcBorders>
              <w:top w:val="nil"/>
              <w:left w:val="single" w:sz="4" w:space="0" w:color="auto"/>
              <w:bottom w:val="nil"/>
              <w:right w:val="nil"/>
            </w:tcBorders>
            <w:shd w:val="clear" w:color="auto" w:fill="auto"/>
            <w:noWrap/>
            <w:vAlign w:val="bottom"/>
            <w:hideMark/>
          </w:tcPr>
          <w:p w14:paraId="7750253D"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8.3 </w:t>
            </w:r>
          </w:p>
        </w:tc>
      </w:tr>
      <w:tr w:rsidR="00CA501A" w:rsidRPr="000531BD" w14:paraId="0ED64F43" w14:textId="77777777" w:rsidTr="00CA501A">
        <w:trPr>
          <w:trHeight w:val="300"/>
        </w:trPr>
        <w:tc>
          <w:tcPr>
            <w:tcW w:w="851" w:type="dxa"/>
            <w:tcBorders>
              <w:top w:val="nil"/>
              <w:left w:val="nil"/>
              <w:bottom w:val="nil"/>
              <w:right w:val="single" w:sz="4" w:space="0" w:color="auto"/>
            </w:tcBorders>
            <w:shd w:val="clear" w:color="auto" w:fill="auto"/>
            <w:noWrap/>
            <w:vAlign w:val="bottom"/>
            <w:hideMark/>
          </w:tcPr>
          <w:p w14:paraId="2FA4E391" w14:textId="77777777" w:rsidR="00CA501A" w:rsidRPr="000531BD" w:rsidRDefault="00CA501A" w:rsidP="00CA501A">
            <w:pPr>
              <w:spacing w:line="240" w:lineRule="auto"/>
              <w:jc w:val="left"/>
              <w:rPr>
                <w:rFonts w:eastAsia="Times New Roman" w:cs="Arial"/>
                <w:color w:val="000000"/>
                <w:sz w:val="16"/>
                <w:szCs w:val="16"/>
                <w:lang w:val="cs-CZ" w:eastAsia="cs-CZ"/>
              </w:rPr>
            </w:pPr>
            <w:r w:rsidRPr="000531BD">
              <w:rPr>
                <w:rFonts w:eastAsia="Times New Roman" w:cs="Arial"/>
                <w:color w:val="000000"/>
                <w:sz w:val="16"/>
                <w:szCs w:val="16"/>
                <w:lang w:eastAsia="cs-CZ"/>
              </w:rPr>
              <w:t>% of the GDP</w:t>
            </w:r>
          </w:p>
        </w:tc>
        <w:tc>
          <w:tcPr>
            <w:tcW w:w="850" w:type="dxa"/>
            <w:tcBorders>
              <w:top w:val="nil"/>
              <w:left w:val="nil"/>
              <w:bottom w:val="nil"/>
              <w:right w:val="single" w:sz="4" w:space="0" w:color="auto"/>
            </w:tcBorders>
            <w:shd w:val="clear" w:color="auto" w:fill="auto"/>
            <w:noWrap/>
            <w:vAlign w:val="bottom"/>
            <w:hideMark/>
          </w:tcPr>
          <w:p w14:paraId="63BB0CA3"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-0.8 </w:t>
            </w:r>
          </w:p>
        </w:tc>
        <w:tc>
          <w:tcPr>
            <w:tcW w:w="850" w:type="dxa"/>
            <w:tcBorders>
              <w:top w:val="nil"/>
              <w:left w:val="nil"/>
              <w:bottom w:val="nil"/>
              <w:right w:val="single" w:sz="4" w:space="0" w:color="auto"/>
            </w:tcBorders>
            <w:shd w:val="clear" w:color="auto" w:fill="auto"/>
            <w:noWrap/>
            <w:vAlign w:val="bottom"/>
            <w:hideMark/>
          </w:tcPr>
          <w:p w14:paraId="19E0B6B0"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-2.3 </w:t>
            </w:r>
          </w:p>
        </w:tc>
        <w:tc>
          <w:tcPr>
            <w:tcW w:w="851" w:type="dxa"/>
            <w:tcBorders>
              <w:top w:val="nil"/>
              <w:left w:val="nil"/>
              <w:bottom w:val="nil"/>
              <w:right w:val="single" w:sz="4" w:space="0" w:color="auto"/>
            </w:tcBorders>
            <w:shd w:val="clear" w:color="auto" w:fill="auto"/>
            <w:noWrap/>
            <w:vAlign w:val="bottom"/>
            <w:hideMark/>
          </w:tcPr>
          <w:p w14:paraId="5CCD3FDF"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-5.7 </w:t>
            </w:r>
          </w:p>
        </w:tc>
        <w:tc>
          <w:tcPr>
            <w:tcW w:w="850" w:type="dxa"/>
            <w:tcBorders>
              <w:top w:val="nil"/>
              <w:left w:val="nil"/>
              <w:bottom w:val="nil"/>
              <w:right w:val="single" w:sz="4" w:space="0" w:color="auto"/>
            </w:tcBorders>
            <w:shd w:val="clear" w:color="auto" w:fill="auto"/>
            <w:noWrap/>
            <w:vAlign w:val="bottom"/>
            <w:hideMark/>
          </w:tcPr>
          <w:p w14:paraId="49184838"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-3.2 </w:t>
            </w:r>
          </w:p>
        </w:tc>
        <w:tc>
          <w:tcPr>
            <w:tcW w:w="851" w:type="dxa"/>
            <w:tcBorders>
              <w:top w:val="nil"/>
              <w:left w:val="nil"/>
              <w:bottom w:val="nil"/>
              <w:right w:val="single" w:sz="4" w:space="0" w:color="auto"/>
            </w:tcBorders>
            <w:shd w:val="clear" w:color="auto" w:fill="auto"/>
            <w:noWrap/>
            <w:vAlign w:val="bottom"/>
            <w:hideMark/>
          </w:tcPr>
          <w:p w14:paraId="43977000"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0.2 </w:t>
            </w:r>
          </w:p>
        </w:tc>
        <w:tc>
          <w:tcPr>
            <w:tcW w:w="850" w:type="dxa"/>
            <w:tcBorders>
              <w:top w:val="nil"/>
              <w:left w:val="nil"/>
              <w:bottom w:val="nil"/>
              <w:right w:val="single" w:sz="4" w:space="0" w:color="auto"/>
            </w:tcBorders>
            <w:shd w:val="clear" w:color="auto" w:fill="auto"/>
            <w:noWrap/>
            <w:vAlign w:val="bottom"/>
            <w:hideMark/>
          </w:tcPr>
          <w:p w14:paraId="23B079CE"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-1.5 </w:t>
            </w:r>
          </w:p>
        </w:tc>
        <w:tc>
          <w:tcPr>
            <w:tcW w:w="851" w:type="dxa"/>
            <w:tcBorders>
              <w:top w:val="nil"/>
              <w:left w:val="nil"/>
              <w:bottom w:val="nil"/>
              <w:right w:val="single" w:sz="4" w:space="0" w:color="auto"/>
            </w:tcBorders>
            <w:shd w:val="clear" w:color="auto" w:fill="auto"/>
            <w:noWrap/>
            <w:vAlign w:val="bottom"/>
            <w:hideMark/>
          </w:tcPr>
          <w:p w14:paraId="443DAA74"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-3.6 </w:t>
            </w:r>
          </w:p>
        </w:tc>
        <w:tc>
          <w:tcPr>
            <w:tcW w:w="850" w:type="dxa"/>
            <w:tcBorders>
              <w:top w:val="nil"/>
              <w:left w:val="nil"/>
              <w:bottom w:val="nil"/>
              <w:right w:val="single" w:sz="4" w:space="0" w:color="auto"/>
            </w:tcBorders>
            <w:shd w:val="clear" w:color="auto" w:fill="auto"/>
            <w:noWrap/>
            <w:vAlign w:val="bottom"/>
            <w:hideMark/>
          </w:tcPr>
          <w:p w14:paraId="0CC0FD15"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-3.6 </w:t>
            </w:r>
          </w:p>
        </w:tc>
        <w:tc>
          <w:tcPr>
            <w:tcW w:w="851" w:type="dxa"/>
            <w:tcBorders>
              <w:top w:val="nil"/>
              <w:left w:val="single" w:sz="4" w:space="0" w:color="auto"/>
              <w:bottom w:val="nil"/>
              <w:right w:val="nil"/>
            </w:tcBorders>
            <w:shd w:val="clear" w:color="auto" w:fill="auto"/>
            <w:noWrap/>
            <w:vAlign w:val="bottom"/>
            <w:hideMark/>
          </w:tcPr>
          <w:p w14:paraId="62B9D968" w14:textId="77777777" w:rsidR="00CA501A" w:rsidRPr="000531BD" w:rsidRDefault="00CA501A" w:rsidP="00CA501A">
            <w:pPr>
              <w:spacing w:line="240" w:lineRule="auto"/>
              <w:jc w:val="right"/>
              <w:rPr>
                <w:rFonts w:eastAsia="Times New Roman" w:cs="Arial"/>
                <w:color w:val="000000"/>
                <w:sz w:val="16"/>
                <w:szCs w:val="16"/>
                <w:lang w:val="cs-CZ" w:eastAsia="cs-CZ"/>
              </w:rPr>
            </w:pPr>
            <w:r w:rsidRPr="000531BD">
              <w:rPr>
                <w:rFonts w:eastAsia="Times New Roman" w:cs="Arial"/>
                <w:color w:val="000000"/>
                <w:sz w:val="16"/>
                <w:szCs w:val="16"/>
                <w:lang w:val="cs-CZ" w:eastAsia="cs-CZ"/>
              </w:rPr>
              <w:t xml:space="preserve">0.4 </w:t>
            </w:r>
          </w:p>
        </w:tc>
      </w:tr>
    </w:tbl>
    <w:p w14:paraId="69ECC5F6" w14:textId="63680AFB" w:rsidR="00975E8C" w:rsidRPr="000531BD" w:rsidRDefault="00975E8C" w:rsidP="001640C6"/>
    <w:p w14:paraId="3CF5B3A5" w14:textId="58725FB4" w:rsidR="00E86EB2" w:rsidRPr="000531BD" w:rsidRDefault="00E86EB2" w:rsidP="00AA065C">
      <w:r w:rsidRPr="000531BD">
        <w:t xml:space="preserve">The total government revenues increased by </w:t>
      </w:r>
      <w:r w:rsidR="00A04042" w:rsidRPr="000531BD">
        <w:t>6.0%, y-o-y, and reached 42.5</w:t>
      </w:r>
      <w:r w:rsidRPr="000531BD">
        <w:t xml:space="preserve">% of the GDP. Especially the following contributed to the y-o-y increase in revenues: </w:t>
      </w:r>
      <w:r w:rsidR="00A04042" w:rsidRPr="000531BD">
        <w:t xml:space="preserve">received </w:t>
      </w:r>
      <w:r w:rsidR="00A946CA" w:rsidRPr="000531BD">
        <w:t xml:space="preserve">income </w:t>
      </w:r>
      <w:r w:rsidR="00A04042" w:rsidRPr="000531BD">
        <w:t xml:space="preserve">taxes and </w:t>
      </w:r>
      <w:r w:rsidRPr="000531BD">
        <w:t>received social contributions. The total government expenditure increase</w:t>
      </w:r>
      <w:r w:rsidR="00A04042" w:rsidRPr="000531BD">
        <w:t>d by 5.5%, y-o-y, and reached 42.1</w:t>
      </w:r>
      <w:r w:rsidRPr="000531BD">
        <w:t>% of the GDP. An increase was mainly recorded in compensation of employees paid,</w:t>
      </w:r>
      <w:r w:rsidR="004E7BDD" w:rsidRPr="000531BD">
        <w:t xml:space="preserve"> gross capital formation, and social benefits</w:t>
      </w:r>
      <w:r w:rsidRPr="000531BD">
        <w:t>.</w:t>
      </w:r>
    </w:p>
    <w:p w14:paraId="25093C01" w14:textId="5C6AE041" w:rsidR="00E86EB2" w:rsidRPr="000531BD" w:rsidRDefault="00E86EB2" w:rsidP="00AA065C"/>
    <w:p w14:paraId="1E080F05" w14:textId="3ECCAA5C" w:rsidR="00E86EB2" w:rsidRPr="000531BD" w:rsidRDefault="00E86EB2" w:rsidP="00AA065C">
      <w:r w:rsidRPr="000531BD">
        <w:t>The nominal debt of the general government increased, year-on-year, by CZK </w:t>
      </w:r>
      <w:r w:rsidR="002A616E" w:rsidRPr="000531BD">
        <w:t>306.2</w:t>
      </w:r>
      <w:r w:rsidRPr="000531BD">
        <w:t> </w:t>
      </w:r>
      <w:proofErr w:type="spellStart"/>
      <w:r w:rsidRPr="000531BD">
        <w:t>bn</w:t>
      </w:r>
      <w:proofErr w:type="spellEnd"/>
      <w:r w:rsidRPr="000531BD">
        <w:t xml:space="preserve"> to CZK 3 </w:t>
      </w:r>
      <w:r w:rsidR="002A616E" w:rsidRPr="000531BD">
        <w:t>627.0</w:t>
      </w:r>
      <w:r w:rsidRPr="000531BD">
        <w:t> bn. The governm</w:t>
      </w:r>
      <w:r w:rsidR="00E12005" w:rsidRPr="000531BD">
        <w:t>ent debt ratio increased from 42.4% to 43.8</w:t>
      </w:r>
      <w:r w:rsidRPr="000531BD">
        <w:t>% of the GDP, y-o-y; the influence of the nom</w:t>
      </w:r>
      <w:r w:rsidR="00E12005" w:rsidRPr="000531BD">
        <w:t>inal change of the debt was +3.7</w:t>
      </w:r>
      <w:r w:rsidRPr="000531BD">
        <w:t xml:space="preserve"> p. p., while the increasing nominal GDP contributed to a decrease in indebtedness by </w:t>
      </w:r>
      <w:r w:rsidR="00E12005" w:rsidRPr="000531BD">
        <w:t>–2.3</w:t>
      </w:r>
      <w:r w:rsidRPr="000531BD">
        <w:t> p. p. In the quarter-on-quarter comparison, the</w:t>
      </w:r>
      <w:r w:rsidR="00E12005" w:rsidRPr="000531BD">
        <w:t xml:space="preserve"> debt increased by CZK 91.9</w:t>
      </w:r>
      <w:r w:rsidRPr="000531BD">
        <w:t> </w:t>
      </w:r>
      <w:proofErr w:type="spellStart"/>
      <w:r w:rsidRPr="000531BD">
        <w:t>bn</w:t>
      </w:r>
      <w:proofErr w:type="spellEnd"/>
      <w:r w:rsidRPr="000531BD">
        <w:t>, the n</w:t>
      </w:r>
      <w:r w:rsidR="00E12005" w:rsidRPr="000531BD">
        <w:t>ominal change of the debt was +1.1</w:t>
      </w:r>
      <w:r w:rsidRPr="000531BD">
        <w:t> p. p., whereas an increase in the nominal GDP contributed to a decrease in the indebtedness b</w:t>
      </w:r>
      <w:r w:rsidR="00E12005" w:rsidRPr="000531BD">
        <w:t>y –0.6</w:t>
      </w:r>
      <w:r w:rsidRPr="000531BD">
        <w:t> p. p., which resulted in an i</w:t>
      </w:r>
      <w:r w:rsidR="00E12005" w:rsidRPr="000531BD">
        <w:t>ncrease in the debt ratio by 0.5</w:t>
      </w:r>
      <w:r w:rsidRPr="000531BD">
        <w:t> p. p., quarter-on-quarter.</w:t>
      </w:r>
    </w:p>
    <w:p w14:paraId="2206D24A" w14:textId="3A215876" w:rsidR="00131E5E" w:rsidRPr="000531BD" w:rsidRDefault="00131E5E" w:rsidP="00AA065C"/>
    <w:p w14:paraId="3FB4AC4C" w14:textId="478E8275" w:rsidR="00131E5E" w:rsidRPr="000531BD" w:rsidRDefault="00131E5E" w:rsidP="00AA065C">
      <w:r w:rsidRPr="000531BD">
        <w:t xml:space="preserve">Regarding the debt structure, a year-on-year increase was mainly recorded in issued debt securities </w:t>
      </w:r>
      <w:r w:rsidR="00E12005" w:rsidRPr="000531BD">
        <w:t>(CZK +237.9</w:t>
      </w:r>
      <w:r w:rsidRPr="000531BD">
        <w:t> </w:t>
      </w:r>
      <w:proofErr w:type="spellStart"/>
      <w:r w:rsidRPr="000531BD">
        <w:t>bn</w:t>
      </w:r>
      <w:proofErr w:type="spellEnd"/>
      <w:r w:rsidRPr="000531BD">
        <w:t>).</w:t>
      </w:r>
    </w:p>
    <w:p w14:paraId="3738EBAC" w14:textId="7974D037" w:rsidR="006F49A9" w:rsidRPr="000531BD" w:rsidRDefault="006F49A9" w:rsidP="00AA065C"/>
    <w:p w14:paraId="498D3EE8" w14:textId="7A1B88D5" w:rsidR="006F49A9" w:rsidRPr="000531BD" w:rsidRDefault="00C1673C" w:rsidP="00AA065C">
      <w:r w:rsidRPr="000531BD">
        <w:t xml:space="preserve">In the Q2 2025, </w:t>
      </w:r>
      <w:r w:rsidR="0015153A" w:rsidRPr="000531BD">
        <w:t xml:space="preserve">the quarter-on-quarter change </w:t>
      </w:r>
      <w:r w:rsidR="00DE0E1B" w:rsidRPr="000531BD">
        <w:t>in</w:t>
      </w:r>
      <w:r w:rsidR="0015153A" w:rsidRPr="000531BD">
        <w:t xml:space="preserve"> the debt (an increase by CZK 91.9 </w:t>
      </w:r>
      <w:proofErr w:type="spellStart"/>
      <w:r w:rsidR="0015153A" w:rsidRPr="000531BD">
        <w:t>bn</w:t>
      </w:r>
      <w:proofErr w:type="spellEnd"/>
      <w:r w:rsidR="0015153A" w:rsidRPr="000531BD">
        <w:t>) was significantly different from the</w:t>
      </w:r>
      <w:r w:rsidR="00DE0E1B" w:rsidRPr="000531BD">
        <w:t xml:space="preserve"> general government sector balance</w:t>
      </w:r>
      <w:r w:rsidR="0015153A" w:rsidRPr="000531BD">
        <w:t xml:space="preserve"> (the surplus of CZK 8.3 </w:t>
      </w:r>
      <w:proofErr w:type="spellStart"/>
      <w:r w:rsidR="0015153A" w:rsidRPr="000531BD">
        <w:t>bn</w:t>
      </w:r>
      <w:proofErr w:type="spellEnd"/>
      <w:r w:rsidR="0015153A" w:rsidRPr="000531BD">
        <w:t>).</w:t>
      </w:r>
      <w:r w:rsidR="007575C3" w:rsidRPr="000531BD">
        <w:t xml:space="preserve"> The general government</w:t>
      </w:r>
      <w:r w:rsidR="00DE0E1B" w:rsidRPr="000531BD">
        <w:t xml:space="preserve"> sector</w:t>
      </w:r>
      <w:r w:rsidR="007575C3" w:rsidRPr="000531BD">
        <w:t xml:space="preserve"> borrowed by CZK 100.2 </w:t>
      </w:r>
      <w:proofErr w:type="spellStart"/>
      <w:r w:rsidR="007575C3" w:rsidRPr="000531BD">
        <w:t>bn</w:t>
      </w:r>
      <w:proofErr w:type="spellEnd"/>
      <w:r w:rsidR="007575C3" w:rsidRPr="000531BD">
        <w:t xml:space="preserve"> more </w:t>
      </w:r>
      <w:r w:rsidR="009E307F" w:rsidRPr="000531BD">
        <w:t xml:space="preserve">than </w:t>
      </w:r>
      <w:r w:rsidR="00DE0E1B" w:rsidRPr="000531BD">
        <w:t>its balance was,</w:t>
      </w:r>
      <w:r w:rsidR="009E307F" w:rsidRPr="000531BD">
        <w:t xml:space="preserve"> which resulted in an increase </w:t>
      </w:r>
      <w:r w:rsidR="00DE0E1B" w:rsidRPr="000531BD">
        <w:t>in</w:t>
      </w:r>
      <w:r w:rsidR="009E307F" w:rsidRPr="000531BD">
        <w:t xml:space="preserve"> the value of assets held, especially of deposits.  </w:t>
      </w:r>
      <w:r w:rsidR="0015153A" w:rsidRPr="000531BD">
        <w:t xml:space="preserve">  </w:t>
      </w:r>
      <w:r w:rsidRPr="000531BD">
        <w:t xml:space="preserve"> </w:t>
      </w:r>
    </w:p>
    <w:p w14:paraId="7C8164B2" w14:textId="77777777" w:rsidR="00233677" w:rsidRPr="000531BD" w:rsidRDefault="00233677" w:rsidP="00233677"/>
    <w:p w14:paraId="0F5E212B" w14:textId="2447E857" w:rsidR="006956B8" w:rsidRPr="000531BD" w:rsidRDefault="00957905" w:rsidP="006956B8">
      <w:pPr>
        <w:pStyle w:val="TabulkaGraf"/>
      </w:pPr>
      <w:r w:rsidRPr="000531BD">
        <w:t>Chart</w:t>
      </w:r>
      <w:r w:rsidR="006956B8" w:rsidRPr="000531BD">
        <w:t xml:space="preserve"> 1.1 </w:t>
      </w:r>
      <w:r w:rsidR="00C330CF" w:rsidRPr="000531BD">
        <w:t>Debt of the general government sector</w:t>
      </w:r>
    </w:p>
    <w:p w14:paraId="0C455F69" w14:textId="17BED781" w:rsidR="00307D50" w:rsidRPr="000531BD" w:rsidRDefault="00307D50" w:rsidP="00307D50">
      <w:pPr>
        <w:jc w:val="left"/>
        <w:rPr>
          <w:noProof/>
          <w:lang w:eastAsia="cs-CZ"/>
        </w:rPr>
      </w:pPr>
    </w:p>
    <w:p w14:paraId="5C69F9AA" w14:textId="5ACC2407" w:rsidR="00AC1252" w:rsidRPr="000531BD" w:rsidRDefault="00774281" w:rsidP="00307D50">
      <w:r w:rsidRPr="000531BD">
        <w:rPr>
          <w:noProof/>
          <w:lang w:val="cs-CZ" w:eastAsia="cs-CZ"/>
        </w:rPr>
        <w:drawing>
          <wp:inline distT="0" distB="0" distL="0" distR="0" wp14:anchorId="0C570441" wp14:editId="4D295974">
            <wp:extent cx="5362575" cy="2882807"/>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9907" cy="2886749"/>
                    </a:xfrm>
                    <a:prstGeom prst="rect">
                      <a:avLst/>
                    </a:prstGeom>
                    <a:noFill/>
                  </pic:spPr>
                </pic:pic>
              </a:graphicData>
            </a:graphic>
          </wp:inline>
        </w:drawing>
      </w:r>
    </w:p>
    <w:p w14:paraId="689BC346" w14:textId="106DA5DB" w:rsidR="00307D50" w:rsidRPr="000531BD" w:rsidRDefault="00307D50" w:rsidP="00307D50">
      <w:pPr>
        <w:rPr>
          <w:noProof/>
          <w:lang w:val="cs-CZ" w:eastAsia="cs-CZ"/>
        </w:rPr>
      </w:pPr>
    </w:p>
    <w:p w14:paraId="59806EC4" w14:textId="1A0D704F" w:rsidR="00CA501A" w:rsidRPr="000531BD" w:rsidRDefault="00957905" w:rsidP="006956B8">
      <w:pPr>
        <w:spacing w:line="240" w:lineRule="auto"/>
        <w:rPr>
          <w:rFonts w:eastAsia="Times New Roman" w:cs="Arial"/>
          <w:b/>
          <w:bCs/>
          <w:color w:val="000000"/>
          <w:szCs w:val="20"/>
          <w:lang w:eastAsia="cs-CZ"/>
        </w:rPr>
      </w:pPr>
      <w:r w:rsidRPr="000531BD">
        <w:rPr>
          <w:rFonts w:eastAsia="Times New Roman" w:cs="Arial"/>
          <w:b/>
          <w:bCs/>
          <w:color w:val="000000"/>
          <w:szCs w:val="20"/>
          <w:lang w:eastAsia="cs-CZ"/>
        </w:rPr>
        <w:t>Chart</w:t>
      </w:r>
      <w:r w:rsidR="006956B8" w:rsidRPr="000531BD">
        <w:rPr>
          <w:rFonts w:eastAsia="Times New Roman" w:cs="Arial"/>
          <w:b/>
          <w:bCs/>
          <w:color w:val="000000"/>
          <w:szCs w:val="20"/>
          <w:lang w:eastAsia="cs-CZ"/>
        </w:rPr>
        <w:t xml:space="preserve"> 1.2 </w:t>
      </w:r>
      <w:r w:rsidR="00B213C7" w:rsidRPr="000531BD">
        <w:rPr>
          <w:rFonts w:eastAsia="Times New Roman" w:cs="Arial"/>
          <w:b/>
          <w:bCs/>
          <w:color w:val="000000"/>
          <w:szCs w:val="20"/>
          <w:lang w:eastAsia="cs-CZ"/>
        </w:rPr>
        <w:t>Year-on-year relative change</w:t>
      </w:r>
      <w:r w:rsidR="003D27CB" w:rsidRPr="000531BD">
        <w:rPr>
          <w:rFonts w:eastAsia="Times New Roman" w:cs="Arial"/>
          <w:b/>
          <w:bCs/>
          <w:color w:val="000000"/>
          <w:szCs w:val="20"/>
          <w:lang w:eastAsia="cs-CZ"/>
        </w:rPr>
        <w:t>s in government debt</w:t>
      </w:r>
    </w:p>
    <w:p w14:paraId="5E6CB7C0" w14:textId="5235C728" w:rsidR="00CA501A" w:rsidRPr="000531BD" w:rsidRDefault="00CA501A" w:rsidP="00307D50">
      <w:r w:rsidRPr="000531BD">
        <w:rPr>
          <w:noProof/>
          <w:lang w:val="cs-CZ" w:eastAsia="cs-CZ"/>
        </w:rPr>
        <w:drawing>
          <wp:inline distT="0" distB="0" distL="0" distR="0" wp14:anchorId="688B53CB" wp14:editId="15763468">
            <wp:extent cx="5346076" cy="2305050"/>
            <wp:effectExtent l="0" t="0" r="698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1929" cy="2311885"/>
                    </a:xfrm>
                    <a:prstGeom prst="rect">
                      <a:avLst/>
                    </a:prstGeom>
                    <a:noFill/>
                  </pic:spPr>
                </pic:pic>
              </a:graphicData>
            </a:graphic>
          </wp:inline>
        </w:drawing>
      </w:r>
    </w:p>
    <w:p w14:paraId="463560AC" w14:textId="4C042C76" w:rsidR="009525D9" w:rsidRPr="000531BD" w:rsidRDefault="009525D9" w:rsidP="00307D50">
      <w:pPr>
        <w:rPr>
          <w:lang w:val="cs-CZ"/>
        </w:rPr>
      </w:pPr>
    </w:p>
    <w:p w14:paraId="2DEA762A" w14:textId="164BE047" w:rsidR="00957905" w:rsidRPr="000531BD" w:rsidRDefault="00957905" w:rsidP="00307D50"/>
    <w:p w14:paraId="77E7CA39" w14:textId="292AAD12" w:rsidR="00957905" w:rsidRPr="000531BD" w:rsidRDefault="00957905" w:rsidP="00307D50">
      <w:pPr>
        <w:rPr>
          <w:lang w:val="cs-CZ"/>
        </w:rPr>
      </w:pPr>
      <w:r w:rsidRPr="000531BD">
        <w:t>The general government sector balance after seasonal adjustment as well as adjustment for calendar effects ended up with a deficit of CZK </w:t>
      </w:r>
      <w:r w:rsidR="00E00C12" w:rsidRPr="000531BD">
        <w:t>34</w:t>
      </w:r>
      <w:r w:rsidRPr="000531BD">
        <w:t>.</w:t>
      </w:r>
      <w:r w:rsidR="00E00C12" w:rsidRPr="000531BD">
        <w:t>8</w:t>
      </w:r>
      <w:r w:rsidRPr="000531BD">
        <w:t> </w:t>
      </w:r>
      <w:proofErr w:type="spellStart"/>
      <w:r w:rsidRPr="000531BD">
        <w:t>bn</w:t>
      </w:r>
      <w:proofErr w:type="spellEnd"/>
      <w:r w:rsidRPr="000531BD">
        <w:t xml:space="preserve">, which corresponded to </w:t>
      </w:r>
      <w:r w:rsidR="00E00C12" w:rsidRPr="000531BD">
        <w:t>1.6</w:t>
      </w:r>
      <w:r w:rsidRPr="000531BD">
        <w:t xml:space="preserve">% of the GDP. </w:t>
      </w:r>
      <w:r w:rsidRPr="000531BD">
        <w:lastRenderedPageBreak/>
        <w:t xml:space="preserve">The general government sector balance </w:t>
      </w:r>
      <w:r w:rsidR="00E00C12" w:rsidRPr="000531BD">
        <w:t>improved by CZK 5.4</w:t>
      </w:r>
      <w:r w:rsidRPr="000531BD">
        <w:t> </w:t>
      </w:r>
      <w:proofErr w:type="spellStart"/>
      <w:r w:rsidRPr="000531BD">
        <w:t>bn</w:t>
      </w:r>
      <w:proofErr w:type="spellEnd"/>
      <w:r w:rsidRPr="000531BD">
        <w:t>, q-o-q. The development of the general government sector balance adjusted by seasonal and calendar effects is shown in the chart below.</w:t>
      </w:r>
    </w:p>
    <w:p w14:paraId="3986784B" w14:textId="77777777" w:rsidR="009C25CC" w:rsidRPr="000531BD" w:rsidRDefault="009C25CC" w:rsidP="00307D50"/>
    <w:p w14:paraId="60A0946D" w14:textId="730781EC" w:rsidR="006956B8" w:rsidRPr="000531BD" w:rsidRDefault="00831131" w:rsidP="006956B8">
      <w:pPr>
        <w:pStyle w:val="TabulkaGraf"/>
        <w:keepNext/>
      </w:pPr>
      <w:r w:rsidRPr="000531BD">
        <w:t>Chart</w:t>
      </w:r>
      <w:r w:rsidR="006956B8" w:rsidRPr="000531BD">
        <w:t xml:space="preserve"> 1.3 </w:t>
      </w:r>
      <w:proofErr w:type="gramStart"/>
      <w:r w:rsidR="00C330CF" w:rsidRPr="000531BD">
        <w:t>Seasonally</w:t>
      </w:r>
      <w:proofErr w:type="gramEnd"/>
      <w:r w:rsidR="00C330CF" w:rsidRPr="000531BD">
        <w:t xml:space="preserve"> adjusted general government sector balance</w:t>
      </w:r>
    </w:p>
    <w:p w14:paraId="7DC5E36A" w14:textId="72177898" w:rsidR="00307D50" w:rsidRPr="000531BD" w:rsidRDefault="00AA065C" w:rsidP="00307D50">
      <w:r w:rsidRPr="000531BD">
        <w:rPr>
          <w:noProof/>
          <w:lang w:val="cs-CZ" w:eastAsia="cs-CZ"/>
        </w:rPr>
        <w:drawing>
          <wp:inline distT="0" distB="0" distL="0" distR="0" wp14:anchorId="12DB5F58" wp14:editId="4E0980B4">
            <wp:extent cx="5401818" cy="2076450"/>
            <wp:effectExtent l="0" t="0" r="889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7497" cy="2078633"/>
                    </a:xfrm>
                    <a:prstGeom prst="rect">
                      <a:avLst/>
                    </a:prstGeom>
                    <a:noFill/>
                  </pic:spPr>
                </pic:pic>
              </a:graphicData>
            </a:graphic>
          </wp:inline>
        </w:drawing>
      </w:r>
    </w:p>
    <w:p w14:paraId="2BB24914" w14:textId="77777777" w:rsidR="00307D50" w:rsidRPr="000531BD" w:rsidRDefault="00307D50" w:rsidP="00307D50">
      <w:pPr>
        <w:pStyle w:val="Poznmky0"/>
      </w:pPr>
      <w:r w:rsidRPr="000531BD">
        <w:t>Notes:</w:t>
      </w:r>
    </w:p>
    <w:p w14:paraId="71AA4992" w14:textId="5D3BA661" w:rsidR="00307D50" w:rsidRPr="000531BD" w:rsidRDefault="00307D50" w:rsidP="00307D50">
      <w:pPr>
        <w:rPr>
          <w:rFonts w:cs="Arial"/>
          <w:i/>
          <w:sz w:val="18"/>
          <w:szCs w:val="20"/>
        </w:rPr>
      </w:pPr>
      <w:r w:rsidRPr="000531BD">
        <w:rPr>
          <w:rFonts w:cs="Arial"/>
          <w:i/>
          <w:sz w:val="18"/>
          <w:szCs w:val="20"/>
        </w:rPr>
        <w:t xml:space="preserve">Quantification of fiscal indicators of government deficit and debt mentioned above is based on the ESA2010 methodology. Data published in this news release are methodologically consistent with the data used for the statistics of the </w:t>
      </w:r>
      <w:r w:rsidR="009E76F4" w:rsidRPr="000531BD">
        <w:rPr>
          <w:rFonts w:cs="Arial"/>
          <w:i/>
          <w:sz w:val="18"/>
          <w:szCs w:val="20"/>
        </w:rPr>
        <w:t>E</w:t>
      </w:r>
      <w:r w:rsidRPr="000531BD">
        <w:rPr>
          <w:rFonts w:cs="Arial"/>
          <w:i/>
          <w:sz w:val="18"/>
          <w:szCs w:val="20"/>
        </w:rPr>
        <w:t xml:space="preserve">xcessive </w:t>
      </w:r>
      <w:r w:rsidR="009E76F4" w:rsidRPr="000531BD">
        <w:rPr>
          <w:rFonts w:cs="Arial"/>
          <w:i/>
          <w:sz w:val="18"/>
          <w:szCs w:val="20"/>
        </w:rPr>
        <w:t>D</w:t>
      </w:r>
      <w:r w:rsidRPr="000531BD">
        <w:rPr>
          <w:rFonts w:cs="Arial"/>
          <w:i/>
          <w:sz w:val="18"/>
          <w:szCs w:val="20"/>
        </w:rPr>
        <w:t xml:space="preserve">eficit </w:t>
      </w:r>
      <w:r w:rsidR="009E76F4" w:rsidRPr="000531BD">
        <w:rPr>
          <w:rFonts w:cs="Arial"/>
          <w:i/>
          <w:sz w:val="18"/>
          <w:szCs w:val="20"/>
        </w:rPr>
        <w:t>P</w:t>
      </w:r>
      <w:r w:rsidRPr="000531BD">
        <w:rPr>
          <w:rFonts w:cs="Arial"/>
          <w:i/>
          <w:sz w:val="18"/>
          <w:szCs w:val="20"/>
        </w:rPr>
        <w:t xml:space="preserve">rocedure (EDP) purposes and for the assessment of how Maastricht convergence criteria are met. </w:t>
      </w:r>
    </w:p>
    <w:p w14:paraId="2CD566EB" w14:textId="77777777" w:rsidR="00307D50" w:rsidRPr="000531BD" w:rsidRDefault="00307D50" w:rsidP="00307D50">
      <w:pPr>
        <w:rPr>
          <w:rFonts w:cs="Arial"/>
          <w:i/>
          <w:sz w:val="18"/>
          <w:szCs w:val="18"/>
        </w:rPr>
      </w:pPr>
    </w:p>
    <w:p w14:paraId="11DA0909" w14:textId="77777777" w:rsidR="00307D50" w:rsidRPr="000531BD" w:rsidRDefault="00307D50" w:rsidP="00307D50">
      <w:pPr>
        <w:rPr>
          <w:rFonts w:cs="Arial"/>
          <w:i/>
          <w:sz w:val="18"/>
          <w:szCs w:val="18"/>
        </w:rPr>
      </w:pPr>
      <w:r w:rsidRPr="000531BD">
        <w:rPr>
          <w:rFonts w:cs="Arial"/>
          <w:i/>
          <w:sz w:val="18"/>
          <w:szCs w:val="20"/>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14:paraId="74995291" w14:textId="77777777" w:rsidR="00307D50" w:rsidRPr="000531BD" w:rsidRDefault="00307D50" w:rsidP="00307D50">
      <w:pPr>
        <w:rPr>
          <w:rFonts w:cs="Arial"/>
          <w:i/>
          <w:sz w:val="18"/>
          <w:szCs w:val="18"/>
        </w:rPr>
      </w:pPr>
    </w:p>
    <w:p w14:paraId="39017CA3" w14:textId="77777777" w:rsidR="00307D50" w:rsidRPr="000531BD" w:rsidRDefault="00307D50" w:rsidP="00307D50">
      <w:pPr>
        <w:rPr>
          <w:rFonts w:cs="Arial"/>
          <w:i/>
          <w:sz w:val="18"/>
          <w:szCs w:val="18"/>
        </w:rPr>
      </w:pPr>
      <w:r w:rsidRPr="000531BD">
        <w:rPr>
          <w:rFonts w:cs="Arial"/>
          <w:i/>
          <w:sz w:val="18"/>
          <w:szCs w:val="20"/>
        </w:rPr>
        <w:t>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is obtained by means of the contractual exchange rate.</w:t>
      </w:r>
    </w:p>
    <w:p w14:paraId="09174BB7" w14:textId="77777777" w:rsidR="00307D50" w:rsidRPr="000531BD" w:rsidRDefault="00307D50" w:rsidP="00307D50">
      <w:pPr>
        <w:rPr>
          <w:i/>
          <w:sz w:val="18"/>
          <w:szCs w:val="18"/>
        </w:rPr>
      </w:pPr>
    </w:p>
    <w:p w14:paraId="5DC05E6E" w14:textId="296F7282" w:rsidR="00307D50" w:rsidRPr="000531BD" w:rsidRDefault="00307D50" w:rsidP="00307D50">
      <w:pPr>
        <w:pStyle w:val="Zkladntext"/>
        <w:spacing w:line="276" w:lineRule="auto"/>
        <w:rPr>
          <w:rStyle w:val="Hypertextovodkaz"/>
          <w:rFonts w:ascii="Arial" w:hAnsi="Arial" w:cs="Arial"/>
          <w:i/>
          <w:color w:val="auto"/>
          <w:sz w:val="18"/>
          <w:szCs w:val="18"/>
          <w:u w:val="none"/>
        </w:rPr>
      </w:pPr>
      <w:r w:rsidRPr="000531BD">
        <w:rPr>
          <w:rFonts w:ascii="Arial" w:hAnsi="Arial" w:cs="Arial"/>
          <w:i/>
          <w:sz w:val="18"/>
          <w:szCs w:val="20"/>
        </w:rPr>
        <w:t>The general government sector balance is compared with the amount of the GDP in the given quarter at current prices. The amount of the consolidated general government debt is compared with the sum of quarterly GDP for the last four quarters at current prices. Fiscal indicators of quarterly government deficit and debt are published within the Transmi</w:t>
      </w:r>
      <w:r w:rsidR="00716B33">
        <w:rPr>
          <w:rFonts w:ascii="Arial" w:hAnsi="Arial" w:cs="Arial"/>
          <w:i/>
          <w:sz w:val="18"/>
          <w:szCs w:val="20"/>
        </w:rPr>
        <w:t>ssion programme (Tab. 25 and Tab.</w:t>
      </w:r>
      <w:r w:rsidRPr="000531BD">
        <w:rPr>
          <w:rFonts w:ascii="Arial" w:hAnsi="Arial" w:cs="Arial"/>
          <w:i/>
          <w:sz w:val="18"/>
          <w:szCs w:val="20"/>
        </w:rPr>
        <w:t xml:space="preserve"> 28) on the CZSO’s website </w:t>
      </w:r>
      <w:hyperlink r:id="rId13" w:history="1">
        <w:r w:rsidRPr="000531BD">
          <w:rPr>
            <w:rStyle w:val="Hypertextovodkaz"/>
            <w:rFonts w:ascii="Arial" w:hAnsi="Arial" w:cs="Arial"/>
            <w:i/>
            <w:sz w:val="18"/>
            <w:szCs w:val="18"/>
          </w:rPr>
          <w:t>General government sector</w:t>
        </w:r>
      </w:hyperlink>
      <w:r w:rsidRPr="000531BD">
        <w:rPr>
          <w:rFonts w:ascii="Arial" w:hAnsi="Arial" w:cs="Arial"/>
          <w:i/>
          <w:sz w:val="18"/>
          <w:szCs w:val="18"/>
        </w:rPr>
        <w:t xml:space="preserve"> in the “GDP, National Accounts” section. Unless otherwise stated, data are not seasonally adjusted as well as they are not adjusted for calendar effects. Time series of seasonally adjusted sector accounts for the government sector (the item of net lending / net borrowing) </w:t>
      </w:r>
      <w:hyperlink r:id="rId14" w:history="1">
        <w:r w:rsidRPr="000531BD">
          <w:rPr>
            <w:rStyle w:val="Hypertextovodkaz"/>
            <w:rFonts w:ascii="Arial" w:hAnsi="Arial" w:cs="Arial"/>
            <w:i/>
            <w:sz w:val="18"/>
            <w:szCs w:val="18"/>
          </w:rPr>
          <w:t>Time series of seasonally adjusted sector accounts for S.13</w:t>
        </w:r>
      </w:hyperlink>
      <w:r w:rsidRPr="000531BD">
        <w:rPr>
          <w:rStyle w:val="Hypertextovodkaz"/>
          <w:rFonts w:ascii="Arial" w:hAnsi="Arial" w:cs="Arial"/>
          <w:i/>
          <w:color w:val="auto"/>
          <w:sz w:val="18"/>
          <w:szCs w:val="18"/>
          <w:u w:val="none"/>
        </w:rPr>
        <w:t>.</w:t>
      </w:r>
    </w:p>
    <w:p w14:paraId="37F38F95" w14:textId="77777777" w:rsidR="00890D91" w:rsidRPr="000531BD" w:rsidRDefault="00890D91" w:rsidP="00307D50">
      <w:pPr>
        <w:pStyle w:val="Zkladntext"/>
        <w:spacing w:line="276" w:lineRule="auto"/>
        <w:rPr>
          <w:rFonts w:ascii="Arial" w:eastAsia="Calibri" w:hAnsi="Arial" w:cs="ArialMT"/>
          <w:i/>
          <w:sz w:val="18"/>
          <w:szCs w:val="18"/>
        </w:rPr>
      </w:pPr>
    </w:p>
    <w:p w14:paraId="15D81701" w14:textId="77777777" w:rsidR="00890D91" w:rsidRPr="000531BD" w:rsidRDefault="00890D91" w:rsidP="00890D91">
      <w:pPr>
        <w:pStyle w:val="Poznmky0"/>
      </w:pPr>
    </w:p>
    <w:tbl>
      <w:tblPr>
        <w:tblW w:w="0" w:type="auto"/>
        <w:tblLook w:val="04A0" w:firstRow="1" w:lastRow="0" w:firstColumn="1" w:lastColumn="0" w:noHBand="0" w:noVBand="1"/>
      </w:tblPr>
      <w:tblGrid>
        <w:gridCol w:w="3307"/>
        <w:gridCol w:w="5197"/>
      </w:tblGrid>
      <w:tr w:rsidR="00307D50" w:rsidRPr="000531BD" w14:paraId="1217D80B" w14:textId="77777777" w:rsidTr="00207C03">
        <w:tc>
          <w:tcPr>
            <w:tcW w:w="3307" w:type="dxa"/>
            <w:shd w:val="clear" w:color="auto" w:fill="auto"/>
          </w:tcPr>
          <w:p w14:paraId="1DF74CF8" w14:textId="77777777" w:rsidR="00307D50" w:rsidRPr="000531BD" w:rsidRDefault="00307D50" w:rsidP="00207C03">
            <w:pPr>
              <w:rPr>
                <w:i/>
                <w:iCs/>
                <w:sz w:val="18"/>
                <w:szCs w:val="18"/>
              </w:rPr>
            </w:pPr>
            <w:r w:rsidRPr="000531BD">
              <w:rPr>
                <w:i/>
                <w:iCs/>
                <w:sz w:val="18"/>
                <w:szCs w:val="18"/>
              </w:rPr>
              <w:lastRenderedPageBreak/>
              <w:t>Responsible head at the CZSO:</w:t>
            </w:r>
          </w:p>
        </w:tc>
        <w:tc>
          <w:tcPr>
            <w:tcW w:w="5197" w:type="dxa"/>
            <w:shd w:val="clear" w:color="auto" w:fill="auto"/>
          </w:tcPr>
          <w:p w14:paraId="33508423" w14:textId="77777777" w:rsidR="00307D50" w:rsidRPr="000531BD" w:rsidRDefault="00307D50" w:rsidP="00207C03">
            <w:pPr>
              <w:jc w:val="left"/>
              <w:rPr>
                <w:i/>
                <w:iCs/>
                <w:sz w:val="18"/>
                <w:szCs w:val="18"/>
              </w:rPr>
            </w:pPr>
            <w:r w:rsidRPr="000531BD">
              <w:rPr>
                <w:i/>
                <w:iCs/>
                <w:sz w:val="18"/>
                <w:szCs w:val="18"/>
              </w:rPr>
              <w:t xml:space="preserve">Helena Houžvičková. Director of the Government and Financial Accounts Department, </w:t>
            </w:r>
          </w:p>
          <w:p w14:paraId="32E9F57A" w14:textId="77777777" w:rsidR="00307D50" w:rsidRPr="000531BD" w:rsidRDefault="00307D50" w:rsidP="00207C03">
            <w:pPr>
              <w:rPr>
                <w:i/>
                <w:iCs/>
                <w:sz w:val="18"/>
                <w:szCs w:val="18"/>
              </w:rPr>
            </w:pPr>
            <w:r w:rsidRPr="000531BD">
              <w:rPr>
                <w:i/>
                <w:iCs/>
                <w:sz w:val="18"/>
                <w:szCs w:val="18"/>
              </w:rPr>
              <w:t xml:space="preserve">phone number: (+420) 704 688 734, </w:t>
            </w:r>
          </w:p>
          <w:p w14:paraId="547B1D17" w14:textId="77777777" w:rsidR="00307D50" w:rsidRPr="000531BD" w:rsidRDefault="00307D50" w:rsidP="00207C03">
            <w:pPr>
              <w:jc w:val="left"/>
              <w:rPr>
                <w:i/>
                <w:iCs/>
                <w:sz w:val="18"/>
                <w:szCs w:val="18"/>
              </w:rPr>
            </w:pPr>
            <w:r w:rsidRPr="000531BD">
              <w:rPr>
                <w:i/>
                <w:iCs/>
                <w:sz w:val="18"/>
                <w:szCs w:val="18"/>
              </w:rPr>
              <w:t xml:space="preserve">e-mail: </w:t>
            </w:r>
            <w:hyperlink r:id="rId15" w:history="1">
              <w:r w:rsidRPr="000531BD">
                <w:rPr>
                  <w:rStyle w:val="Hypertextovodkaz"/>
                  <w:sz w:val="18"/>
                </w:rPr>
                <w:t>helena.houzvickova@csu.gov.cz</w:t>
              </w:r>
            </w:hyperlink>
            <w:r w:rsidRPr="000531BD">
              <w:rPr>
                <w:sz w:val="18"/>
              </w:rPr>
              <w:t xml:space="preserve"> </w:t>
            </w:r>
          </w:p>
        </w:tc>
      </w:tr>
      <w:tr w:rsidR="00307D50" w:rsidRPr="000531BD" w14:paraId="5CBD5D48" w14:textId="77777777" w:rsidTr="00207C03">
        <w:tc>
          <w:tcPr>
            <w:tcW w:w="3307" w:type="dxa"/>
            <w:shd w:val="clear" w:color="auto" w:fill="auto"/>
          </w:tcPr>
          <w:p w14:paraId="37C7EBEC" w14:textId="77777777" w:rsidR="00307D50" w:rsidRPr="000531BD" w:rsidRDefault="00307D50" w:rsidP="00207C03">
            <w:pPr>
              <w:rPr>
                <w:i/>
                <w:iCs/>
                <w:sz w:val="18"/>
                <w:szCs w:val="18"/>
              </w:rPr>
            </w:pPr>
            <w:r w:rsidRPr="000531BD">
              <w:rPr>
                <w:i/>
                <w:iCs/>
                <w:sz w:val="18"/>
                <w:szCs w:val="18"/>
              </w:rPr>
              <w:t>Contact person:</w:t>
            </w:r>
          </w:p>
        </w:tc>
        <w:tc>
          <w:tcPr>
            <w:tcW w:w="5197" w:type="dxa"/>
            <w:shd w:val="clear" w:color="auto" w:fill="auto"/>
          </w:tcPr>
          <w:p w14:paraId="0BB292FB" w14:textId="77777777" w:rsidR="00307D50" w:rsidRPr="000531BD" w:rsidRDefault="00307D50" w:rsidP="00207C03">
            <w:pPr>
              <w:jc w:val="left"/>
              <w:rPr>
                <w:i/>
                <w:iCs/>
                <w:sz w:val="18"/>
                <w:szCs w:val="18"/>
              </w:rPr>
            </w:pPr>
            <w:r w:rsidRPr="000531BD">
              <w:rPr>
                <w:i/>
                <w:iCs/>
                <w:sz w:val="18"/>
                <w:szCs w:val="18"/>
              </w:rPr>
              <w:t xml:space="preserve">Jaroslav Kahoun, Head of the Government Accounts Unit, phone number: (+420) 274 054 232, e-mail: </w:t>
            </w:r>
            <w:hyperlink r:id="rId16" w:history="1">
              <w:r w:rsidRPr="000531BD">
                <w:rPr>
                  <w:rStyle w:val="Hypertextovodkaz"/>
                  <w:sz w:val="18"/>
                </w:rPr>
                <w:t>jaroslav.kahoun@csu.gov.cz</w:t>
              </w:r>
            </w:hyperlink>
            <w:r w:rsidRPr="000531BD">
              <w:rPr>
                <w:sz w:val="18"/>
              </w:rPr>
              <w:t xml:space="preserve"> </w:t>
            </w:r>
          </w:p>
        </w:tc>
      </w:tr>
      <w:tr w:rsidR="00307D50" w:rsidRPr="00A555BD" w14:paraId="1BE3E233" w14:textId="77777777" w:rsidTr="00207C03">
        <w:tc>
          <w:tcPr>
            <w:tcW w:w="3307" w:type="dxa"/>
            <w:shd w:val="clear" w:color="auto" w:fill="auto"/>
          </w:tcPr>
          <w:p w14:paraId="67B0728A" w14:textId="77777777" w:rsidR="00307D50" w:rsidRPr="000531BD" w:rsidRDefault="00307D50" w:rsidP="00207C03">
            <w:pPr>
              <w:rPr>
                <w:i/>
                <w:iCs/>
                <w:sz w:val="18"/>
                <w:szCs w:val="18"/>
              </w:rPr>
            </w:pPr>
            <w:r w:rsidRPr="000531BD">
              <w:rPr>
                <w:i/>
                <w:iCs/>
                <w:sz w:val="18"/>
                <w:szCs w:val="18"/>
              </w:rPr>
              <w:t>The next news release will be published on:</w:t>
            </w:r>
          </w:p>
          <w:p w14:paraId="7726FABC" w14:textId="77777777" w:rsidR="00FD2BA6" w:rsidRPr="000531BD" w:rsidRDefault="00FD2BA6" w:rsidP="00207C03">
            <w:pPr>
              <w:rPr>
                <w:i/>
                <w:iCs/>
                <w:sz w:val="18"/>
                <w:szCs w:val="18"/>
              </w:rPr>
            </w:pPr>
          </w:p>
          <w:p w14:paraId="2D6E0000" w14:textId="77777777" w:rsidR="00FD2BA6" w:rsidRPr="000531BD" w:rsidRDefault="00FD2BA6" w:rsidP="00FD2BA6">
            <w:pPr>
              <w:rPr>
                <w:i/>
                <w:iCs/>
                <w:sz w:val="18"/>
                <w:szCs w:val="18"/>
              </w:rPr>
            </w:pPr>
          </w:p>
        </w:tc>
        <w:tc>
          <w:tcPr>
            <w:tcW w:w="5197" w:type="dxa"/>
            <w:shd w:val="clear" w:color="auto" w:fill="auto"/>
          </w:tcPr>
          <w:p w14:paraId="7002C3A8" w14:textId="77777777" w:rsidR="00307D50" w:rsidRPr="000531BD" w:rsidRDefault="00307D50" w:rsidP="00207C03">
            <w:pPr>
              <w:rPr>
                <w:i/>
                <w:iCs/>
                <w:sz w:val="18"/>
                <w:szCs w:val="18"/>
              </w:rPr>
            </w:pPr>
          </w:p>
          <w:p w14:paraId="3519050F" w14:textId="7C99695D" w:rsidR="00FD2BA6" w:rsidRPr="000531BD" w:rsidRDefault="003F52D7" w:rsidP="003F52D7">
            <w:pPr>
              <w:rPr>
                <w:i/>
                <w:iCs/>
                <w:sz w:val="18"/>
                <w:szCs w:val="18"/>
              </w:rPr>
            </w:pPr>
            <w:r w:rsidRPr="000531BD">
              <w:rPr>
                <w:i/>
                <w:iCs/>
                <w:sz w:val="18"/>
                <w:szCs w:val="18"/>
              </w:rPr>
              <w:t>6</w:t>
            </w:r>
            <w:r w:rsidR="004A5ED7" w:rsidRPr="000531BD">
              <w:rPr>
                <w:i/>
                <w:iCs/>
                <w:sz w:val="18"/>
                <w:szCs w:val="18"/>
              </w:rPr>
              <w:t> </w:t>
            </w:r>
            <w:r w:rsidRPr="000531BD">
              <w:rPr>
                <w:i/>
                <w:iCs/>
                <w:sz w:val="18"/>
                <w:szCs w:val="18"/>
              </w:rPr>
              <w:t>January</w:t>
            </w:r>
            <w:r w:rsidR="00307D50" w:rsidRPr="000531BD">
              <w:rPr>
                <w:i/>
                <w:iCs/>
                <w:sz w:val="18"/>
                <w:szCs w:val="18"/>
              </w:rPr>
              <w:t> 202</w:t>
            </w:r>
            <w:r w:rsidR="00021040" w:rsidRPr="000531BD">
              <w:rPr>
                <w:i/>
                <w:iCs/>
                <w:sz w:val="18"/>
                <w:szCs w:val="18"/>
              </w:rPr>
              <w:t>6</w:t>
            </w:r>
          </w:p>
        </w:tc>
      </w:tr>
    </w:tbl>
    <w:p w14:paraId="394176C9" w14:textId="77777777" w:rsidR="00D209A7" w:rsidRPr="00307D50" w:rsidRDefault="00D209A7" w:rsidP="00307D50"/>
    <w:sectPr w:rsidR="00D209A7" w:rsidRPr="00307D50"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28115" w14:textId="77777777" w:rsidR="00F146F9" w:rsidRDefault="00F146F9" w:rsidP="00BA6370">
      <w:r>
        <w:separator/>
      </w:r>
    </w:p>
  </w:endnote>
  <w:endnote w:type="continuationSeparator" w:id="0">
    <w:p w14:paraId="28CB54AF" w14:textId="77777777" w:rsidR="00F146F9" w:rsidRDefault="00F146F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A78EE" w14:textId="77777777" w:rsidR="003D0499" w:rsidRDefault="005C452C">
    <w:pPr>
      <w:pStyle w:val="Zpat"/>
    </w:pPr>
    <w:r>
      <w:rPr>
        <w:noProof/>
        <w:lang w:val="cs-CZ" w:eastAsia="cs-CZ"/>
      </w:rPr>
      <mc:AlternateContent>
        <mc:Choice Requires="wps">
          <w:drawing>
            <wp:anchor distT="0" distB="0" distL="114300" distR="114300" simplePos="0" relativeHeight="251657728" behindDoc="0" locked="0" layoutInCell="1" allowOverlap="1" wp14:anchorId="624A13B8" wp14:editId="4EE36212">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2077BCF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C98906B"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3E9200D"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17F81FE" w14:textId="4379995B" w:rsidR="00380178" w:rsidRPr="00150155" w:rsidRDefault="00380178" w:rsidP="00380178">
                          <w:pPr>
                            <w:tabs>
                              <w:tab w:val="right" w:pos="8505"/>
                            </w:tabs>
                            <w:spacing w:line="220" w:lineRule="atLeast"/>
                            <w:rPr>
                              <w:rFonts w:cs="Arial"/>
                              <w:lang w:val="fr-FR"/>
                            </w:rPr>
                          </w:pPr>
                          <w:r w:rsidRPr="00150155">
                            <w:rPr>
                              <w:rFonts w:cs="Arial"/>
                              <w:sz w:val="15"/>
                              <w:szCs w:val="15"/>
                              <w:lang w:val="fr-FR"/>
                            </w:rPr>
                            <w:t xml:space="preserve">tel: +420 </w:t>
                          </w:r>
                          <w:r w:rsidR="000B6773" w:rsidRPr="00150155">
                            <w:rPr>
                              <w:rFonts w:cs="Arial"/>
                              <w:sz w:val="15"/>
                              <w:szCs w:val="15"/>
                              <w:lang w:val="fr-FR"/>
                            </w:rPr>
                            <w:t>274 056 789</w:t>
                          </w:r>
                          <w:r w:rsidRPr="00150155">
                            <w:rPr>
                              <w:rFonts w:cs="Arial"/>
                              <w:sz w:val="15"/>
                              <w:szCs w:val="15"/>
                              <w:lang w:val="fr-FR"/>
                            </w:rPr>
                            <w:t xml:space="preserve">, e-mail: </w:t>
                          </w:r>
                          <w:hyperlink r:id="rId2"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480AF8">
                            <w:rPr>
                              <w:rFonts w:cs="Arial"/>
                              <w:noProof/>
                              <w:szCs w:val="15"/>
                              <w:lang w:val="fr-FR"/>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A13B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2077BCF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C98906B"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3E9200D"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17F81FE" w14:textId="4379995B" w:rsidR="00380178" w:rsidRPr="00150155" w:rsidRDefault="00380178" w:rsidP="00380178">
                    <w:pPr>
                      <w:tabs>
                        <w:tab w:val="right" w:pos="8505"/>
                      </w:tabs>
                      <w:spacing w:line="220" w:lineRule="atLeast"/>
                      <w:rPr>
                        <w:rFonts w:cs="Arial"/>
                        <w:lang w:val="fr-FR"/>
                      </w:rPr>
                    </w:pPr>
                    <w:r w:rsidRPr="00150155">
                      <w:rPr>
                        <w:rFonts w:cs="Arial"/>
                        <w:sz w:val="15"/>
                        <w:szCs w:val="15"/>
                        <w:lang w:val="fr-FR"/>
                      </w:rPr>
                      <w:t xml:space="preserve">tel: +420 </w:t>
                    </w:r>
                    <w:r w:rsidR="000B6773" w:rsidRPr="00150155">
                      <w:rPr>
                        <w:rFonts w:cs="Arial"/>
                        <w:sz w:val="15"/>
                        <w:szCs w:val="15"/>
                        <w:lang w:val="fr-FR"/>
                      </w:rPr>
                      <w:t>274 056 789</w:t>
                    </w:r>
                    <w:r w:rsidRPr="00150155">
                      <w:rPr>
                        <w:rFonts w:cs="Arial"/>
                        <w:sz w:val="15"/>
                        <w:szCs w:val="15"/>
                        <w:lang w:val="fr-FR"/>
                      </w:rPr>
                      <w:t xml:space="preserve">, e-mail: </w:t>
                    </w:r>
                    <w:hyperlink r:id="rId4"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480AF8">
                      <w:rPr>
                        <w:rFonts w:cs="Arial"/>
                        <w:noProof/>
                        <w:szCs w:val="15"/>
                        <w:lang w:val="fr-FR"/>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0436196B" wp14:editId="2A79DF49">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FAAFCD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D6C84" w14:textId="77777777" w:rsidR="00F146F9" w:rsidRDefault="00F146F9" w:rsidP="00BA6370">
      <w:r>
        <w:separator/>
      </w:r>
    </w:p>
  </w:footnote>
  <w:footnote w:type="continuationSeparator" w:id="0">
    <w:p w14:paraId="0940C9BA" w14:textId="77777777" w:rsidR="00F146F9" w:rsidRDefault="00F146F9"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7A3" w14:textId="77777777" w:rsidR="003D0499" w:rsidRDefault="005C452C">
    <w:pPr>
      <w:pStyle w:val="Zhlav"/>
    </w:pPr>
    <w:r>
      <w:rPr>
        <w:noProof/>
        <w:lang w:val="cs-CZ" w:eastAsia="cs-CZ"/>
      </w:rPr>
      <w:drawing>
        <wp:anchor distT="0" distB="0" distL="114300" distR="114300" simplePos="0" relativeHeight="251659776" behindDoc="0" locked="0" layoutInCell="1" allowOverlap="1" wp14:anchorId="33F58070" wp14:editId="6C4D0873">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27E"/>
    <w:rsid w:val="00021040"/>
    <w:rsid w:val="00034050"/>
    <w:rsid w:val="00037D0B"/>
    <w:rsid w:val="000414DB"/>
    <w:rsid w:val="0004202B"/>
    <w:rsid w:val="00043BF4"/>
    <w:rsid w:val="00043CDC"/>
    <w:rsid w:val="000531BD"/>
    <w:rsid w:val="000560A0"/>
    <w:rsid w:val="00062895"/>
    <w:rsid w:val="00074E94"/>
    <w:rsid w:val="0007720D"/>
    <w:rsid w:val="000817E9"/>
    <w:rsid w:val="000843A5"/>
    <w:rsid w:val="000904DA"/>
    <w:rsid w:val="00091722"/>
    <w:rsid w:val="00093F1D"/>
    <w:rsid w:val="00096B4E"/>
    <w:rsid w:val="000B4E2D"/>
    <w:rsid w:val="000B6773"/>
    <w:rsid w:val="000B6F63"/>
    <w:rsid w:val="000E088C"/>
    <w:rsid w:val="000E3846"/>
    <w:rsid w:val="000E7368"/>
    <w:rsid w:val="00113FFF"/>
    <w:rsid w:val="00114782"/>
    <w:rsid w:val="00115B5B"/>
    <w:rsid w:val="00116ED1"/>
    <w:rsid w:val="00123849"/>
    <w:rsid w:val="00131E5E"/>
    <w:rsid w:val="0013242C"/>
    <w:rsid w:val="001404AB"/>
    <w:rsid w:val="00150155"/>
    <w:rsid w:val="0015123A"/>
    <w:rsid w:val="0015153A"/>
    <w:rsid w:val="001640C6"/>
    <w:rsid w:val="00165AC3"/>
    <w:rsid w:val="0017231D"/>
    <w:rsid w:val="00176E26"/>
    <w:rsid w:val="0018061F"/>
    <w:rsid w:val="001810DC"/>
    <w:rsid w:val="00184E1C"/>
    <w:rsid w:val="00191C7B"/>
    <w:rsid w:val="0019731E"/>
    <w:rsid w:val="001A1A70"/>
    <w:rsid w:val="001B607F"/>
    <w:rsid w:val="001B77CA"/>
    <w:rsid w:val="001C2E82"/>
    <w:rsid w:val="001C4EDA"/>
    <w:rsid w:val="001C71FD"/>
    <w:rsid w:val="001D369A"/>
    <w:rsid w:val="001D6F55"/>
    <w:rsid w:val="001F08B3"/>
    <w:rsid w:val="001F7044"/>
    <w:rsid w:val="00201ABA"/>
    <w:rsid w:val="00204CDA"/>
    <w:rsid w:val="002070FB"/>
    <w:rsid w:val="00207273"/>
    <w:rsid w:val="0020746F"/>
    <w:rsid w:val="00213729"/>
    <w:rsid w:val="00232C16"/>
    <w:rsid w:val="00233677"/>
    <w:rsid w:val="002406FA"/>
    <w:rsid w:val="00257636"/>
    <w:rsid w:val="0026333A"/>
    <w:rsid w:val="00297900"/>
    <w:rsid w:val="002A616E"/>
    <w:rsid w:val="002B2E47"/>
    <w:rsid w:val="002C4274"/>
    <w:rsid w:val="002D37F5"/>
    <w:rsid w:val="002F3110"/>
    <w:rsid w:val="00307D50"/>
    <w:rsid w:val="0032398D"/>
    <w:rsid w:val="003301A3"/>
    <w:rsid w:val="00336618"/>
    <w:rsid w:val="0036777B"/>
    <w:rsid w:val="00372062"/>
    <w:rsid w:val="00380178"/>
    <w:rsid w:val="0038282A"/>
    <w:rsid w:val="00382CDC"/>
    <w:rsid w:val="00392072"/>
    <w:rsid w:val="00392B2D"/>
    <w:rsid w:val="00397580"/>
    <w:rsid w:val="003A45C8"/>
    <w:rsid w:val="003A499F"/>
    <w:rsid w:val="003A7C8B"/>
    <w:rsid w:val="003B7F42"/>
    <w:rsid w:val="003C2DCF"/>
    <w:rsid w:val="003C3372"/>
    <w:rsid w:val="003C5F17"/>
    <w:rsid w:val="003C7FE7"/>
    <w:rsid w:val="003D0499"/>
    <w:rsid w:val="003D27CB"/>
    <w:rsid w:val="003D3576"/>
    <w:rsid w:val="003E1DA3"/>
    <w:rsid w:val="003F526A"/>
    <w:rsid w:val="003F52D7"/>
    <w:rsid w:val="00405244"/>
    <w:rsid w:val="0042625A"/>
    <w:rsid w:val="00435C46"/>
    <w:rsid w:val="0043655F"/>
    <w:rsid w:val="00436D82"/>
    <w:rsid w:val="004436EE"/>
    <w:rsid w:val="00443CDB"/>
    <w:rsid w:val="00446594"/>
    <w:rsid w:val="0045547F"/>
    <w:rsid w:val="00457C91"/>
    <w:rsid w:val="00480AF8"/>
    <w:rsid w:val="004812E8"/>
    <w:rsid w:val="004920AD"/>
    <w:rsid w:val="004A5ED7"/>
    <w:rsid w:val="004A7C30"/>
    <w:rsid w:val="004C2560"/>
    <w:rsid w:val="004D05B3"/>
    <w:rsid w:val="004E479E"/>
    <w:rsid w:val="004E64A5"/>
    <w:rsid w:val="004E7769"/>
    <w:rsid w:val="004E7BDD"/>
    <w:rsid w:val="004F78E6"/>
    <w:rsid w:val="00501FB4"/>
    <w:rsid w:val="00512D99"/>
    <w:rsid w:val="00527E28"/>
    <w:rsid w:val="00531DBB"/>
    <w:rsid w:val="00541E4B"/>
    <w:rsid w:val="00544872"/>
    <w:rsid w:val="00546364"/>
    <w:rsid w:val="00564213"/>
    <w:rsid w:val="00574D73"/>
    <w:rsid w:val="0057776E"/>
    <w:rsid w:val="00587560"/>
    <w:rsid w:val="005907DB"/>
    <w:rsid w:val="005934FE"/>
    <w:rsid w:val="005C452C"/>
    <w:rsid w:val="005D7516"/>
    <w:rsid w:val="005E701A"/>
    <w:rsid w:val="005E7F85"/>
    <w:rsid w:val="005F79FB"/>
    <w:rsid w:val="00603CD8"/>
    <w:rsid w:val="00604406"/>
    <w:rsid w:val="00605F4A"/>
    <w:rsid w:val="00607822"/>
    <w:rsid w:val="006103AA"/>
    <w:rsid w:val="00613BBF"/>
    <w:rsid w:val="0062041B"/>
    <w:rsid w:val="00622B80"/>
    <w:rsid w:val="0064139A"/>
    <w:rsid w:val="00646181"/>
    <w:rsid w:val="006956B8"/>
    <w:rsid w:val="006C1EB0"/>
    <w:rsid w:val="006D5C60"/>
    <w:rsid w:val="006E024F"/>
    <w:rsid w:val="006E38A6"/>
    <w:rsid w:val="006E4E81"/>
    <w:rsid w:val="006F49A9"/>
    <w:rsid w:val="00707F7D"/>
    <w:rsid w:val="007128AC"/>
    <w:rsid w:val="00716B33"/>
    <w:rsid w:val="00717EC5"/>
    <w:rsid w:val="00736927"/>
    <w:rsid w:val="00755D8B"/>
    <w:rsid w:val="007575C3"/>
    <w:rsid w:val="00763787"/>
    <w:rsid w:val="00774281"/>
    <w:rsid w:val="0077661B"/>
    <w:rsid w:val="00784615"/>
    <w:rsid w:val="00792316"/>
    <w:rsid w:val="00793D5F"/>
    <w:rsid w:val="007A0CA5"/>
    <w:rsid w:val="007A57F2"/>
    <w:rsid w:val="007B1333"/>
    <w:rsid w:val="007B3944"/>
    <w:rsid w:val="007B5128"/>
    <w:rsid w:val="007C1CFB"/>
    <w:rsid w:val="007D0FDA"/>
    <w:rsid w:val="007F4AEB"/>
    <w:rsid w:val="007F75B2"/>
    <w:rsid w:val="00800995"/>
    <w:rsid w:val="00800C0E"/>
    <w:rsid w:val="008043C4"/>
    <w:rsid w:val="00810730"/>
    <w:rsid w:val="00811DE3"/>
    <w:rsid w:val="0081267C"/>
    <w:rsid w:val="00831131"/>
    <w:rsid w:val="00831B1B"/>
    <w:rsid w:val="00844FED"/>
    <w:rsid w:val="00855565"/>
    <w:rsid w:val="00855FB3"/>
    <w:rsid w:val="0085656C"/>
    <w:rsid w:val="00860C35"/>
    <w:rsid w:val="00861D0E"/>
    <w:rsid w:val="00864C18"/>
    <w:rsid w:val="00867569"/>
    <w:rsid w:val="0087174C"/>
    <w:rsid w:val="00885C0D"/>
    <w:rsid w:val="00887E7F"/>
    <w:rsid w:val="00890D91"/>
    <w:rsid w:val="008A180A"/>
    <w:rsid w:val="008A4A57"/>
    <w:rsid w:val="008A750A"/>
    <w:rsid w:val="008B3970"/>
    <w:rsid w:val="008B79AF"/>
    <w:rsid w:val="008C157D"/>
    <w:rsid w:val="008C384C"/>
    <w:rsid w:val="008D0F11"/>
    <w:rsid w:val="008E5B31"/>
    <w:rsid w:val="008E6CA5"/>
    <w:rsid w:val="008F73B4"/>
    <w:rsid w:val="009035E8"/>
    <w:rsid w:val="009041AF"/>
    <w:rsid w:val="0090511E"/>
    <w:rsid w:val="00912088"/>
    <w:rsid w:val="009131E3"/>
    <w:rsid w:val="0091606F"/>
    <w:rsid w:val="00931CB6"/>
    <w:rsid w:val="009525D9"/>
    <w:rsid w:val="009526AB"/>
    <w:rsid w:val="00953416"/>
    <w:rsid w:val="00955B51"/>
    <w:rsid w:val="00957905"/>
    <w:rsid w:val="00971374"/>
    <w:rsid w:val="0097192A"/>
    <w:rsid w:val="00975E8C"/>
    <w:rsid w:val="0098005C"/>
    <w:rsid w:val="009841C0"/>
    <w:rsid w:val="009968D1"/>
    <w:rsid w:val="009B3F82"/>
    <w:rsid w:val="009B55B1"/>
    <w:rsid w:val="009B68EE"/>
    <w:rsid w:val="009C034B"/>
    <w:rsid w:val="009C25CC"/>
    <w:rsid w:val="009C4D55"/>
    <w:rsid w:val="009C4F86"/>
    <w:rsid w:val="009E307F"/>
    <w:rsid w:val="009E39C5"/>
    <w:rsid w:val="009E76F4"/>
    <w:rsid w:val="009F7CEF"/>
    <w:rsid w:val="00A04042"/>
    <w:rsid w:val="00A06800"/>
    <w:rsid w:val="00A07BA7"/>
    <w:rsid w:val="00A10F13"/>
    <w:rsid w:val="00A16D73"/>
    <w:rsid w:val="00A17409"/>
    <w:rsid w:val="00A259CB"/>
    <w:rsid w:val="00A32B98"/>
    <w:rsid w:val="00A42857"/>
    <w:rsid w:val="00A4343D"/>
    <w:rsid w:val="00A502F1"/>
    <w:rsid w:val="00A57E98"/>
    <w:rsid w:val="00A607CE"/>
    <w:rsid w:val="00A70A83"/>
    <w:rsid w:val="00A81EB3"/>
    <w:rsid w:val="00A911EB"/>
    <w:rsid w:val="00A933A2"/>
    <w:rsid w:val="00A946CA"/>
    <w:rsid w:val="00AA065C"/>
    <w:rsid w:val="00AB6196"/>
    <w:rsid w:val="00AC1252"/>
    <w:rsid w:val="00AC3140"/>
    <w:rsid w:val="00B00C1D"/>
    <w:rsid w:val="00B05B1D"/>
    <w:rsid w:val="00B213C7"/>
    <w:rsid w:val="00B23CCB"/>
    <w:rsid w:val="00B30B7A"/>
    <w:rsid w:val="00B43201"/>
    <w:rsid w:val="00B52DFE"/>
    <w:rsid w:val="00B5398C"/>
    <w:rsid w:val="00B54E40"/>
    <w:rsid w:val="00B632CC"/>
    <w:rsid w:val="00B67600"/>
    <w:rsid w:val="00B70FEA"/>
    <w:rsid w:val="00B83877"/>
    <w:rsid w:val="00B85029"/>
    <w:rsid w:val="00B9253C"/>
    <w:rsid w:val="00B97885"/>
    <w:rsid w:val="00BA12F1"/>
    <w:rsid w:val="00BA439F"/>
    <w:rsid w:val="00BA6370"/>
    <w:rsid w:val="00BE7111"/>
    <w:rsid w:val="00C02FB5"/>
    <w:rsid w:val="00C03EC6"/>
    <w:rsid w:val="00C15356"/>
    <w:rsid w:val="00C1673C"/>
    <w:rsid w:val="00C21892"/>
    <w:rsid w:val="00C232BA"/>
    <w:rsid w:val="00C269D4"/>
    <w:rsid w:val="00C31C7D"/>
    <w:rsid w:val="00C330CF"/>
    <w:rsid w:val="00C4160D"/>
    <w:rsid w:val="00C50831"/>
    <w:rsid w:val="00C52F46"/>
    <w:rsid w:val="00C5313C"/>
    <w:rsid w:val="00C56131"/>
    <w:rsid w:val="00C77CA0"/>
    <w:rsid w:val="00C8406E"/>
    <w:rsid w:val="00C922D2"/>
    <w:rsid w:val="00CA501A"/>
    <w:rsid w:val="00CA7A89"/>
    <w:rsid w:val="00CB2709"/>
    <w:rsid w:val="00CB6F89"/>
    <w:rsid w:val="00CD1ED4"/>
    <w:rsid w:val="00CD6F9A"/>
    <w:rsid w:val="00CE228C"/>
    <w:rsid w:val="00CE71D9"/>
    <w:rsid w:val="00CF545B"/>
    <w:rsid w:val="00CF7356"/>
    <w:rsid w:val="00D076D1"/>
    <w:rsid w:val="00D209A7"/>
    <w:rsid w:val="00D27D69"/>
    <w:rsid w:val="00D30848"/>
    <w:rsid w:val="00D448C2"/>
    <w:rsid w:val="00D50740"/>
    <w:rsid w:val="00D6067B"/>
    <w:rsid w:val="00D610CA"/>
    <w:rsid w:val="00D6507E"/>
    <w:rsid w:val="00D66636"/>
    <w:rsid w:val="00D666C3"/>
    <w:rsid w:val="00D811AB"/>
    <w:rsid w:val="00D850F4"/>
    <w:rsid w:val="00DA0C4F"/>
    <w:rsid w:val="00DA6525"/>
    <w:rsid w:val="00DB427E"/>
    <w:rsid w:val="00DB4428"/>
    <w:rsid w:val="00DD598B"/>
    <w:rsid w:val="00DE0A04"/>
    <w:rsid w:val="00DE0E1B"/>
    <w:rsid w:val="00DE7936"/>
    <w:rsid w:val="00DF17F4"/>
    <w:rsid w:val="00DF47FE"/>
    <w:rsid w:val="00E00C12"/>
    <w:rsid w:val="00E0156A"/>
    <w:rsid w:val="00E03F1E"/>
    <w:rsid w:val="00E12005"/>
    <w:rsid w:val="00E1630A"/>
    <w:rsid w:val="00E26704"/>
    <w:rsid w:val="00E31980"/>
    <w:rsid w:val="00E6423C"/>
    <w:rsid w:val="00E71483"/>
    <w:rsid w:val="00E72489"/>
    <w:rsid w:val="00E80599"/>
    <w:rsid w:val="00E81151"/>
    <w:rsid w:val="00E81B41"/>
    <w:rsid w:val="00E86EB2"/>
    <w:rsid w:val="00E90373"/>
    <w:rsid w:val="00E93830"/>
    <w:rsid w:val="00E93E0E"/>
    <w:rsid w:val="00EA36B8"/>
    <w:rsid w:val="00EA4798"/>
    <w:rsid w:val="00EB1A25"/>
    <w:rsid w:val="00EB1ED3"/>
    <w:rsid w:val="00EE2CD0"/>
    <w:rsid w:val="00EE70B7"/>
    <w:rsid w:val="00EE7999"/>
    <w:rsid w:val="00EF3E39"/>
    <w:rsid w:val="00F146F9"/>
    <w:rsid w:val="00F27020"/>
    <w:rsid w:val="00F314B7"/>
    <w:rsid w:val="00F40AC0"/>
    <w:rsid w:val="00F43300"/>
    <w:rsid w:val="00F75F41"/>
    <w:rsid w:val="00F83C49"/>
    <w:rsid w:val="00F95724"/>
    <w:rsid w:val="00FB687C"/>
    <w:rsid w:val="00FD0250"/>
    <w:rsid w:val="00FD2BA6"/>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26CCCCEE"/>
  <w15:docId w15:val="{434130E0-A404-4DE7-B88A-A1028BBC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91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131E3"/>
    <w:pPr>
      <w:spacing w:line="240" w:lineRule="auto"/>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9131E3"/>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9C25CC"/>
    <w:rPr>
      <w:color w:val="800080" w:themeColor="followedHyperlink"/>
      <w:u w:val="single"/>
    </w:rPr>
  </w:style>
  <w:style w:type="character" w:styleId="Odkaznakoment">
    <w:name w:val="annotation reference"/>
    <w:basedOn w:val="Standardnpsmoodstavce"/>
    <w:uiPriority w:val="99"/>
    <w:semiHidden/>
    <w:unhideWhenUsed/>
    <w:rsid w:val="003A499F"/>
    <w:rPr>
      <w:sz w:val="16"/>
      <w:szCs w:val="16"/>
    </w:rPr>
  </w:style>
  <w:style w:type="paragraph" w:styleId="Textkomente">
    <w:name w:val="annotation text"/>
    <w:basedOn w:val="Normln"/>
    <w:link w:val="TextkomenteChar"/>
    <w:uiPriority w:val="99"/>
    <w:semiHidden/>
    <w:unhideWhenUsed/>
    <w:rsid w:val="003A499F"/>
    <w:pPr>
      <w:spacing w:line="240" w:lineRule="auto"/>
    </w:pPr>
    <w:rPr>
      <w:szCs w:val="20"/>
    </w:rPr>
  </w:style>
  <w:style w:type="character" w:customStyle="1" w:styleId="TextkomenteChar">
    <w:name w:val="Text komentáře Char"/>
    <w:basedOn w:val="Standardnpsmoodstavce"/>
    <w:link w:val="Textkomente"/>
    <w:uiPriority w:val="99"/>
    <w:semiHidden/>
    <w:rsid w:val="003A499F"/>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3A499F"/>
    <w:rPr>
      <w:b/>
      <w:bCs/>
    </w:rPr>
  </w:style>
  <w:style w:type="character" w:customStyle="1" w:styleId="PedmtkomenteChar">
    <w:name w:val="Předmět komentáře Char"/>
    <w:basedOn w:val="TextkomenteChar"/>
    <w:link w:val="Pedmtkomente"/>
    <w:uiPriority w:val="99"/>
    <w:semiHidden/>
    <w:rsid w:val="003A499F"/>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799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6253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l.czso.cz/pll/rocenka/rocenka.indexnu_gov?mylang=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roslav.kahoun@cs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helena.houzvickova@csu.gov.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apl.czso.cz/pll/rocenka/rocenkavyber.kvart_qsa?mylang=EN&amp;oblast=@R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Q:\nu\vl&#225;da\RYCHL&#193;%20INFORMACE%20-%20Q%20deficit%20a%20dluh\2024%20Q1\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schemas.openxmlformats.org/package/2006/metadata/core-properties"/>
    <ds:schemaRef ds:uri="http://purl.org/dc/elements/1.1/"/>
    <ds:schemaRef ds:uri="http://schemas.microsoft.com/office/2006/metadata/properties"/>
    <ds:schemaRef ds:uri="6f5a4aca-455c-4012-a902-4d97d6c174df"/>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2EAD48CC-8E0E-4F51-9186-C17C3D9D1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68B0D-EF51-44F4-B446-108FAA79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TotalTime>
  <Pages>4</Pages>
  <Words>893</Words>
  <Characters>5272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6153</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Houžvičková</dc:creator>
  <cp:lastModifiedBy>Houžvičková Helena</cp:lastModifiedBy>
  <cp:revision>3</cp:revision>
  <dcterms:created xsi:type="dcterms:W3CDTF">2025-09-29T12:57:00Z</dcterms:created>
  <dcterms:modified xsi:type="dcterms:W3CDTF">2025-09-29T12:58:00Z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