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801166" w:rsidP="00801166">
      <w:pPr>
        <w:pStyle w:val="Datum"/>
      </w:pPr>
      <w:r>
        <w:t>1. d</w:t>
      </w:r>
      <w:bookmarkStart w:id="0" w:name="_GoBack"/>
      <w:bookmarkEnd w:id="0"/>
      <w:r>
        <w:t xml:space="preserve">ubna </w:t>
      </w:r>
      <w:r w:rsidR="00304176">
        <w:t>201</w:t>
      </w:r>
      <w:r w:rsidR="009F3061">
        <w:t>6</w:t>
      </w:r>
    </w:p>
    <w:p w:rsidR="008B3970" w:rsidRDefault="00304176" w:rsidP="008B3970">
      <w:pPr>
        <w:pStyle w:val="Nzev"/>
      </w:pPr>
      <w:r>
        <w:t xml:space="preserve">Deficit a dluh vládních institucí – </w:t>
      </w:r>
      <w:r w:rsidR="00300C84">
        <w:t>4</w:t>
      </w:r>
      <w:r>
        <w:t>. čtvrtletí 2015</w:t>
      </w:r>
    </w:p>
    <w:p w:rsidR="008B3970" w:rsidRPr="008B3970" w:rsidRDefault="006A13BC" w:rsidP="008B3970">
      <w:pPr>
        <w:pStyle w:val="Podtitulek"/>
        <w:rPr>
          <w:color w:val="BD1B21"/>
        </w:rPr>
      </w:pPr>
      <w:r>
        <w:t>Čtvrtletní saldo v deficitu</w:t>
      </w:r>
      <w:r w:rsidR="00655714" w:rsidRPr="006A13BC">
        <w:t xml:space="preserve">, </w:t>
      </w:r>
      <w:r w:rsidR="00371C68" w:rsidRPr="006A13BC">
        <w:t>m</w:t>
      </w:r>
      <w:r w:rsidR="00371C68" w:rsidRPr="00C6403C">
        <w:t>íra zadlužení dále klesá</w:t>
      </w:r>
    </w:p>
    <w:p w:rsidR="00EB44BC" w:rsidRDefault="009C5A98" w:rsidP="00043BF4">
      <w:r>
        <w:rPr>
          <w:b/>
        </w:rPr>
        <w:t>Hospodaření</w:t>
      </w:r>
      <w:r w:rsidR="00EB44BC" w:rsidRPr="008D7FDA">
        <w:rPr>
          <w:b/>
        </w:rPr>
        <w:t xml:space="preserve"> </w:t>
      </w:r>
      <w:r w:rsidR="00474A48">
        <w:rPr>
          <w:b/>
        </w:rPr>
        <w:t xml:space="preserve">sektoru </w:t>
      </w:r>
      <w:r w:rsidR="00EB44BC" w:rsidRPr="008D7FDA">
        <w:rPr>
          <w:b/>
        </w:rPr>
        <w:t>vládních institucí</w:t>
      </w:r>
      <w:r w:rsidR="00EB44BC">
        <w:t xml:space="preserve"> v</w:t>
      </w:r>
      <w:r w:rsidR="009F3061">
        <w:t>e</w:t>
      </w:r>
      <w:r w:rsidR="00EB44BC">
        <w:t> </w:t>
      </w:r>
      <w:r w:rsidR="00896A5E">
        <w:t>čtvrtém</w:t>
      </w:r>
      <w:r w:rsidR="009F3061">
        <w:t xml:space="preserve"> </w:t>
      </w:r>
      <w:r w:rsidR="00EB44BC">
        <w:t xml:space="preserve">čtvrtletí 2015 </w:t>
      </w:r>
      <w:r>
        <w:t xml:space="preserve">skončilo </w:t>
      </w:r>
      <w:r w:rsidR="005A1F46">
        <w:t>v deficitu</w:t>
      </w:r>
      <w:r w:rsidRPr="009F3F02">
        <w:t xml:space="preserve"> </w:t>
      </w:r>
      <w:r w:rsidR="006A13BC">
        <w:rPr>
          <w:b/>
        </w:rPr>
        <w:t>1,</w:t>
      </w:r>
      <w:r w:rsidR="007A3C85">
        <w:rPr>
          <w:b/>
        </w:rPr>
        <w:t>48</w:t>
      </w:r>
      <w:r w:rsidR="00EB44BC" w:rsidRPr="009F3F02">
        <w:rPr>
          <w:b/>
        </w:rPr>
        <w:t xml:space="preserve"> % HDP</w:t>
      </w:r>
      <w:r w:rsidR="00D4651F">
        <w:t>.</w:t>
      </w:r>
      <w:r w:rsidR="00EB44BC">
        <w:t xml:space="preserve"> Ve srovnání se stejným obdobím minulého roku došlo ke </w:t>
      </w:r>
      <w:r w:rsidR="00D4651F">
        <w:t xml:space="preserve">zlepšení salda hospodaření o </w:t>
      </w:r>
      <w:r w:rsidR="007A3C85">
        <w:t>2</w:t>
      </w:r>
      <w:r w:rsidR="006A13BC">
        <w:t>,</w:t>
      </w:r>
      <w:r w:rsidR="007A3C85">
        <w:t>13</w:t>
      </w:r>
      <w:r w:rsidR="006A13BC">
        <w:t xml:space="preserve"> </w:t>
      </w:r>
      <w:r w:rsidR="00EB44BC" w:rsidRPr="009F3F02">
        <w:t>procentního bodu</w:t>
      </w:r>
      <w:r w:rsidR="00B37B7E">
        <w:t xml:space="preserve"> (</w:t>
      </w:r>
      <w:proofErr w:type="spellStart"/>
      <w:proofErr w:type="gramStart"/>
      <w:r w:rsidR="00B37B7E">
        <w:t>p.</w:t>
      </w:r>
      <w:r w:rsidR="00225098">
        <w:t>b</w:t>
      </w:r>
      <w:proofErr w:type="spellEnd"/>
      <w:r w:rsidR="00B37B7E">
        <w:t>.)</w:t>
      </w:r>
      <w:r w:rsidR="00EB44BC">
        <w:t>.</w:t>
      </w:r>
      <w:proofErr w:type="gramEnd"/>
      <w:r w:rsidR="008D7FDA">
        <w:t xml:space="preserve"> </w:t>
      </w:r>
      <w:r w:rsidR="00371C68">
        <w:t xml:space="preserve">Na základě aktualizovaných </w:t>
      </w:r>
      <w:r w:rsidR="00C61A5C">
        <w:t>údajů</w:t>
      </w:r>
      <w:r w:rsidR="00371C68">
        <w:t xml:space="preserve"> byly současně revidovány </w:t>
      </w:r>
      <w:r w:rsidR="007E1BC6">
        <w:t>údaje za předchozí čtvrtletí</w:t>
      </w:r>
      <w:r w:rsidR="00371C68">
        <w:t>.</w:t>
      </w:r>
    </w:p>
    <w:p w:rsidR="00A94B28" w:rsidRDefault="00A94B28" w:rsidP="00043BF4"/>
    <w:p w:rsidR="00A94B28" w:rsidRPr="00043BF4" w:rsidRDefault="00A94B28" w:rsidP="00A94B28">
      <w:pPr>
        <w:pStyle w:val="TabulkaGraf"/>
      </w:pPr>
      <w:r>
        <w:t xml:space="preserve">Saldo hospodaření sektoru vládních institucí, Česká </w:t>
      </w:r>
      <w:proofErr w:type="gramStart"/>
      <w:r w:rsidR="008B4A06">
        <w:t xml:space="preserve">republika, </w:t>
      </w:r>
      <w:r w:rsidR="00882853">
        <w:t>4</w:t>
      </w:r>
      <w:r w:rsidR="008B4A06">
        <w:t>.Q 2014</w:t>
      </w:r>
      <w:proofErr w:type="gramEnd"/>
      <w:r w:rsidR="00B85D5E">
        <w:t xml:space="preserve"> </w:t>
      </w:r>
      <w:r>
        <w:t>-</w:t>
      </w:r>
      <w:r w:rsidR="00B85D5E">
        <w:t xml:space="preserve"> </w:t>
      </w:r>
      <w:r w:rsidR="00882853">
        <w:t>4</w:t>
      </w:r>
      <w:r>
        <w:t>.Q</w:t>
      </w:r>
      <w:r w:rsidR="00990C86">
        <w:t xml:space="preserve"> </w:t>
      </w:r>
      <w:r>
        <w:t>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0"/>
        <w:gridCol w:w="1043"/>
        <w:gridCol w:w="932"/>
        <w:gridCol w:w="941"/>
        <w:gridCol w:w="876"/>
        <w:gridCol w:w="876"/>
        <w:gridCol w:w="1006"/>
        <w:gridCol w:w="1114"/>
      </w:tblGrid>
      <w:tr w:rsidR="006A5493" w:rsidTr="006A5493">
        <w:tc>
          <w:tcPr>
            <w:tcW w:w="1870" w:type="dxa"/>
            <w:vMerge w:val="restart"/>
            <w:vAlign w:val="center"/>
          </w:tcPr>
          <w:p w:rsidR="006A5493" w:rsidRDefault="006A5493" w:rsidP="00655714">
            <w:pPr>
              <w:jc w:val="center"/>
            </w:pPr>
          </w:p>
        </w:tc>
        <w:tc>
          <w:tcPr>
            <w:tcW w:w="1043" w:type="dxa"/>
            <w:vMerge w:val="restart"/>
            <w:vAlign w:val="center"/>
          </w:tcPr>
          <w:p w:rsidR="006A5493" w:rsidRDefault="006A5493" w:rsidP="00655714">
            <w:pPr>
              <w:jc w:val="center"/>
            </w:pPr>
            <w:r>
              <w:t>Jednotka</w:t>
            </w:r>
          </w:p>
        </w:tc>
        <w:tc>
          <w:tcPr>
            <w:tcW w:w="932" w:type="dxa"/>
          </w:tcPr>
          <w:p w:rsidR="006A5493" w:rsidRDefault="006A5493" w:rsidP="00655714">
            <w:pPr>
              <w:spacing w:line="240" w:lineRule="auto"/>
              <w:jc w:val="center"/>
              <w:rPr>
                <w:szCs w:val="20"/>
                <w:lang w:eastAsia="cs-CZ"/>
              </w:rPr>
            </w:pPr>
            <w:r>
              <w:rPr>
                <w:szCs w:val="20"/>
                <w:lang w:eastAsia="cs-CZ"/>
              </w:rPr>
              <w:t>2014</w:t>
            </w:r>
          </w:p>
        </w:tc>
        <w:tc>
          <w:tcPr>
            <w:tcW w:w="4813" w:type="dxa"/>
            <w:gridSpan w:val="5"/>
          </w:tcPr>
          <w:p w:rsidR="006A5493" w:rsidRDefault="006A5493" w:rsidP="006A5493">
            <w:pPr>
              <w:jc w:val="center"/>
            </w:pPr>
            <w:r>
              <w:t>2015</w:t>
            </w:r>
          </w:p>
        </w:tc>
      </w:tr>
      <w:tr w:rsidR="006A5493" w:rsidTr="006A5493">
        <w:tc>
          <w:tcPr>
            <w:tcW w:w="1870" w:type="dxa"/>
            <w:vMerge/>
          </w:tcPr>
          <w:p w:rsidR="006A5493" w:rsidRDefault="006A5493" w:rsidP="00655714"/>
        </w:tc>
        <w:tc>
          <w:tcPr>
            <w:tcW w:w="1043" w:type="dxa"/>
            <w:vMerge/>
          </w:tcPr>
          <w:p w:rsidR="006A5493" w:rsidRDefault="006A5493" w:rsidP="00655714"/>
        </w:tc>
        <w:tc>
          <w:tcPr>
            <w:tcW w:w="932" w:type="dxa"/>
          </w:tcPr>
          <w:p w:rsidR="006A5493" w:rsidRDefault="006A5493" w:rsidP="00655714">
            <w:pPr>
              <w:jc w:val="center"/>
            </w:pPr>
            <w:r>
              <w:t>4. čtvrtletí</w:t>
            </w:r>
          </w:p>
        </w:tc>
        <w:tc>
          <w:tcPr>
            <w:tcW w:w="941" w:type="dxa"/>
          </w:tcPr>
          <w:p w:rsidR="006A5493" w:rsidRDefault="006A5493" w:rsidP="00655714">
            <w:pPr>
              <w:jc w:val="center"/>
            </w:pPr>
            <w:r>
              <w:t>1. čtvrtletí</w:t>
            </w:r>
          </w:p>
        </w:tc>
        <w:tc>
          <w:tcPr>
            <w:tcW w:w="876" w:type="dxa"/>
          </w:tcPr>
          <w:p w:rsidR="006A5493" w:rsidRDefault="006A5493" w:rsidP="00655714">
            <w:pPr>
              <w:jc w:val="center"/>
            </w:pPr>
            <w:r>
              <w:t>2. čtvrtletí</w:t>
            </w:r>
          </w:p>
        </w:tc>
        <w:tc>
          <w:tcPr>
            <w:tcW w:w="876" w:type="dxa"/>
          </w:tcPr>
          <w:p w:rsidR="006A5493" w:rsidRDefault="006A5493" w:rsidP="00655714">
            <w:pPr>
              <w:jc w:val="center"/>
            </w:pPr>
            <w:r>
              <w:t>3.</w:t>
            </w:r>
          </w:p>
          <w:p w:rsidR="006A5493" w:rsidRDefault="006A5493" w:rsidP="00655714">
            <w:pPr>
              <w:jc w:val="center"/>
            </w:pPr>
            <w:r>
              <w:t>čtvrtletí</w:t>
            </w:r>
          </w:p>
        </w:tc>
        <w:tc>
          <w:tcPr>
            <w:tcW w:w="1006" w:type="dxa"/>
          </w:tcPr>
          <w:p w:rsidR="006A5493" w:rsidRDefault="006A5493" w:rsidP="00655714">
            <w:pPr>
              <w:jc w:val="center"/>
            </w:pPr>
            <w:r>
              <w:t>4. čtvrtletí</w:t>
            </w:r>
          </w:p>
        </w:tc>
        <w:tc>
          <w:tcPr>
            <w:tcW w:w="1114" w:type="dxa"/>
          </w:tcPr>
          <w:p w:rsidR="006A5493" w:rsidRDefault="006A5493" w:rsidP="006A5493">
            <w:pPr>
              <w:jc w:val="center"/>
            </w:pPr>
            <w:proofErr w:type="gramStart"/>
            <w:r>
              <w:t>1.- 4. čtvrtletí</w:t>
            </w:r>
            <w:proofErr w:type="gramEnd"/>
          </w:p>
        </w:tc>
      </w:tr>
      <w:tr w:rsidR="006A5493" w:rsidTr="006A5493">
        <w:tc>
          <w:tcPr>
            <w:tcW w:w="1870" w:type="dxa"/>
            <w:vMerge w:val="restart"/>
          </w:tcPr>
          <w:p w:rsidR="006A5493" w:rsidRDefault="006A5493" w:rsidP="00655714">
            <w:pPr>
              <w:jc w:val="left"/>
            </w:pPr>
            <w:r>
              <w:rPr>
                <w:rFonts w:cs="Arial"/>
                <w:szCs w:val="20"/>
              </w:rPr>
              <w:t>Přebytek/Deficit sektoru vládních institucí</w:t>
            </w:r>
          </w:p>
        </w:tc>
        <w:tc>
          <w:tcPr>
            <w:tcW w:w="1043" w:type="dxa"/>
          </w:tcPr>
          <w:p w:rsidR="006A5493" w:rsidRDefault="006A5493" w:rsidP="00655714">
            <w:pPr>
              <w:jc w:val="center"/>
            </w:pPr>
            <w:r>
              <w:t>mil. Kč</w:t>
            </w:r>
          </w:p>
        </w:tc>
        <w:tc>
          <w:tcPr>
            <w:tcW w:w="932" w:type="dxa"/>
          </w:tcPr>
          <w:p w:rsidR="006A5493" w:rsidRDefault="006A5493" w:rsidP="007A3C85">
            <w:pPr>
              <w:jc w:val="center"/>
            </w:pPr>
            <w:r>
              <w:t>-40 391</w:t>
            </w:r>
          </w:p>
        </w:tc>
        <w:tc>
          <w:tcPr>
            <w:tcW w:w="941" w:type="dxa"/>
          </w:tcPr>
          <w:p w:rsidR="006A5493" w:rsidRPr="00E27268" w:rsidRDefault="006A5493" w:rsidP="00723FB9">
            <w:pPr>
              <w:jc w:val="center"/>
            </w:pPr>
            <w:r w:rsidRPr="00E27268">
              <w:t>-18 194</w:t>
            </w:r>
          </w:p>
        </w:tc>
        <w:tc>
          <w:tcPr>
            <w:tcW w:w="876" w:type="dxa"/>
          </w:tcPr>
          <w:p w:rsidR="006A5493" w:rsidRPr="00E27268" w:rsidRDefault="006A5493" w:rsidP="005E3031">
            <w:pPr>
              <w:jc w:val="center"/>
            </w:pPr>
            <w:r w:rsidRPr="00E27268">
              <w:t>8 760</w:t>
            </w:r>
          </w:p>
        </w:tc>
        <w:tc>
          <w:tcPr>
            <w:tcW w:w="876" w:type="dxa"/>
          </w:tcPr>
          <w:p w:rsidR="006A5493" w:rsidRPr="00E27268" w:rsidRDefault="006A5493" w:rsidP="005E3031">
            <w:pPr>
              <w:jc w:val="center"/>
            </w:pPr>
            <w:r w:rsidRPr="00E27268">
              <w:t>8 167</w:t>
            </w:r>
          </w:p>
        </w:tc>
        <w:tc>
          <w:tcPr>
            <w:tcW w:w="1006" w:type="dxa"/>
          </w:tcPr>
          <w:p w:rsidR="006A5493" w:rsidRPr="00E27268" w:rsidRDefault="006A5493" w:rsidP="007A3C85">
            <w:pPr>
              <w:jc w:val="center"/>
            </w:pPr>
            <w:r w:rsidRPr="00E27268">
              <w:t>-</w:t>
            </w:r>
            <w:r>
              <w:t>17 415</w:t>
            </w:r>
          </w:p>
        </w:tc>
        <w:tc>
          <w:tcPr>
            <w:tcW w:w="1114" w:type="dxa"/>
          </w:tcPr>
          <w:p w:rsidR="006A5493" w:rsidRPr="00E27268" w:rsidRDefault="006A5493" w:rsidP="007A3C85">
            <w:pPr>
              <w:jc w:val="center"/>
            </w:pPr>
            <w:r>
              <w:t>-18 682</w:t>
            </w:r>
          </w:p>
        </w:tc>
      </w:tr>
      <w:tr w:rsidR="006A5493" w:rsidTr="006A5493">
        <w:tc>
          <w:tcPr>
            <w:tcW w:w="1870" w:type="dxa"/>
            <w:vMerge/>
          </w:tcPr>
          <w:p w:rsidR="006A5493" w:rsidRDefault="006A5493" w:rsidP="00655714"/>
        </w:tc>
        <w:tc>
          <w:tcPr>
            <w:tcW w:w="1043" w:type="dxa"/>
          </w:tcPr>
          <w:p w:rsidR="006A5493" w:rsidRDefault="006A5493" w:rsidP="00655714">
            <w:pPr>
              <w:jc w:val="center"/>
            </w:pPr>
            <w:r>
              <w:t>% (HDP)</w:t>
            </w:r>
          </w:p>
        </w:tc>
        <w:tc>
          <w:tcPr>
            <w:tcW w:w="932" w:type="dxa"/>
            <w:vAlign w:val="center"/>
          </w:tcPr>
          <w:p w:rsidR="006A5493" w:rsidRDefault="006A5493" w:rsidP="007A3C85">
            <w:pPr>
              <w:jc w:val="center"/>
            </w:pPr>
            <w:r>
              <w:t>-3,61</w:t>
            </w:r>
          </w:p>
        </w:tc>
        <w:tc>
          <w:tcPr>
            <w:tcW w:w="941" w:type="dxa"/>
            <w:vAlign w:val="center"/>
          </w:tcPr>
          <w:p w:rsidR="006A5493" w:rsidRPr="00E27268" w:rsidRDefault="006A5493" w:rsidP="007A3C85">
            <w:pPr>
              <w:jc w:val="center"/>
            </w:pPr>
            <w:r w:rsidRPr="00E27268">
              <w:t>-1,</w:t>
            </w:r>
            <w:r>
              <w:t>76</w:t>
            </w:r>
          </w:p>
        </w:tc>
        <w:tc>
          <w:tcPr>
            <w:tcW w:w="876" w:type="dxa"/>
            <w:vAlign w:val="center"/>
          </w:tcPr>
          <w:p w:rsidR="006A5493" w:rsidRPr="00E27268" w:rsidRDefault="006A5493" w:rsidP="007A3C85">
            <w:pPr>
              <w:jc w:val="center"/>
            </w:pPr>
            <w:r>
              <w:t>0,78</w:t>
            </w:r>
          </w:p>
        </w:tc>
        <w:tc>
          <w:tcPr>
            <w:tcW w:w="876" w:type="dxa"/>
            <w:vAlign w:val="center"/>
          </w:tcPr>
          <w:p w:rsidR="006A5493" w:rsidRPr="00E27268" w:rsidRDefault="006A5493" w:rsidP="007A3C85">
            <w:pPr>
              <w:jc w:val="center"/>
            </w:pPr>
            <w:r w:rsidRPr="00E27268">
              <w:t>0,</w:t>
            </w:r>
            <w:r>
              <w:t>72</w:t>
            </w:r>
          </w:p>
        </w:tc>
        <w:tc>
          <w:tcPr>
            <w:tcW w:w="1006" w:type="dxa"/>
            <w:vAlign w:val="center"/>
          </w:tcPr>
          <w:p w:rsidR="006A5493" w:rsidRPr="00E27268" w:rsidRDefault="006A5493" w:rsidP="007A3C85">
            <w:pPr>
              <w:jc w:val="center"/>
            </w:pPr>
            <w:r w:rsidRPr="00E27268">
              <w:t>-1,</w:t>
            </w:r>
            <w:r>
              <w:t>48</w:t>
            </w:r>
          </w:p>
        </w:tc>
        <w:tc>
          <w:tcPr>
            <w:tcW w:w="1114" w:type="dxa"/>
            <w:vAlign w:val="center"/>
          </w:tcPr>
          <w:p w:rsidR="006A5493" w:rsidRPr="00E27268" w:rsidRDefault="006A5493" w:rsidP="006A5493">
            <w:pPr>
              <w:jc w:val="center"/>
            </w:pPr>
            <w:r>
              <w:t>-0,42</w:t>
            </w:r>
          </w:p>
        </w:tc>
      </w:tr>
    </w:tbl>
    <w:p w:rsidR="008D7FDA" w:rsidRPr="000A18CB" w:rsidRDefault="000A18CB" w:rsidP="00043BF4">
      <w:pPr>
        <w:rPr>
          <w:i/>
        </w:rPr>
      </w:pPr>
      <w:r w:rsidRPr="000A18CB">
        <w:rPr>
          <w:i/>
        </w:rPr>
        <w:t xml:space="preserve">Poznámka: </w:t>
      </w:r>
      <w:r>
        <w:rPr>
          <w:i/>
        </w:rPr>
        <w:t>údaje v tabulce nejsou sezónně očištěny, nelze je srovnávat mezičtvrtletně</w:t>
      </w:r>
    </w:p>
    <w:p w:rsidR="000A18CB" w:rsidRDefault="000A18CB" w:rsidP="00043BF4"/>
    <w:p w:rsidR="00FF1500" w:rsidRDefault="003764B7" w:rsidP="00043BF4">
      <w:r>
        <w:t>Na všech úrovních sektoru vládních institucí bylo zaznamenáno záporné saldo hospodaření při současném poklesu deficitu. Na příjmové straně</w:t>
      </w:r>
      <w:r w:rsidR="007E1BC6">
        <w:t xml:space="preserve"> sektoru vládních institucí</w:t>
      </w:r>
      <w:r>
        <w:t xml:space="preserve"> došlo ve 4. čtvrtletí meziročně k růstu příjmů </w:t>
      </w:r>
      <w:r w:rsidR="007E1BC6">
        <w:t xml:space="preserve">zejména </w:t>
      </w:r>
      <w:r>
        <w:t>ve formě investičních dotací ze zahraničí (94 %), sociálních příspěvků (8,3 %) a příjmů z daní z výroby a z dovozu (7,4 %). Na výdajové straně došlo k růstu výdajů na tvorbu hrubého kapitálu (48 %), sociálních dávek (5,9 %) a mzdových náklad</w:t>
      </w:r>
      <w:r w:rsidR="001D05FA">
        <w:t>ů</w:t>
      </w:r>
      <w:r w:rsidR="00801166">
        <w:t xml:space="preserve"> (3,9 </w:t>
      </w:r>
      <w:r>
        <w:t>%). Meziročně o 12 % poklesl objem úrokových nákladů vládních institucí.</w:t>
      </w:r>
    </w:p>
    <w:p w:rsidR="00B632CC" w:rsidRDefault="00B632CC" w:rsidP="00043BF4"/>
    <w:p w:rsidR="00A94B28" w:rsidRDefault="00B22DEC" w:rsidP="00A94B28">
      <w:pPr>
        <w:rPr>
          <w:highlight w:val="yellow"/>
        </w:rPr>
      </w:pPr>
      <w:r>
        <w:rPr>
          <w:b/>
        </w:rPr>
        <w:t>Poměr d</w:t>
      </w:r>
      <w:r w:rsidR="00A94B28" w:rsidRPr="00A4439D">
        <w:rPr>
          <w:b/>
        </w:rPr>
        <w:t>luh</w:t>
      </w:r>
      <w:r>
        <w:rPr>
          <w:b/>
        </w:rPr>
        <w:t>u</w:t>
      </w:r>
      <w:r w:rsidR="00A94B28" w:rsidRPr="00A4439D">
        <w:rPr>
          <w:b/>
        </w:rPr>
        <w:t xml:space="preserve"> </w:t>
      </w:r>
      <w:r w:rsidR="00474A48" w:rsidRPr="00A4439D">
        <w:rPr>
          <w:b/>
        </w:rPr>
        <w:t xml:space="preserve">sektoru </w:t>
      </w:r>
      <w:r w:rsidR="00A94B28" w:rsidRPr="00A4439D">
        <w:rPr>
          <w:b/>
        </w:rPr>
        <w:t>vládních institucí</w:t>
      </w:r>
      <w:r w:rsidR="00A94B28" w:rsidRPr="00B22DEC">
        <w:rPr>
          <w:b/>
        </w:rPr>
        <w:t xml:space="preserve"> </w:t>
      </w:r>
      <w:r w:rsidRPr="00B22DEC">
        <w:rPr>
          <w:b/>
        </w:rPr>
        <w:t>k HDP</w:t>
      </w:r>
      <w:r>
        <w:t xml:space="preserve"> </w:t>
      </w:r>
      <w:r w:rsidR="00546A7F" w:rsidRPr="00A4439D">
        <w:t xml:space="preserve">poklesl </w:t>
      </w:r>
      <w:r w:rsidR="007E1BC6" w:rsidRPr="00A4439D">
        <w:t xml:space="preserve">meziročně </w:t>
      </w:r>
      <w:r w:rsidR="00A4439D" w:rsidRPr="00A4439D">
        <w:t xml:space="preserve">na konci </w:t>
      </w:r>
      <w:r w:rsidR="00C12251">
        <w:t>čtvrtého</w:t>
      </w:r>
      <w:r w:rsidR="00A4439D" w:rsidRPr="00A4439D">
        <w:t xml:space="preserve"> čtvrtletí </w:t>
      </w:r>
      <w:r w:rsidR="00546A7F" w:rsidRPr="00A4439D">
        <w:t xml:space="preserve">z úrovně </w:t>
      </w:r>
      <w:r w:rsidR="00C12251">
        <w:t>42</w:t>
      </w:r>
      <w:r w:rsidR="00284B28">
        <w:t>,</w:t>
      </w:r>
      <w:r w:rsidR="00662C2F">
        <w:t>69</w:t>
      </w:r>
      <w:r w:rsidR="00546A7F" w:rsidRPr="00A4439D">
        <w:t xml:space="preserve"> na </w:t>
      </w:r>
      <w:r w:rsidR="009871E9">
        <w:rPr>
          <w:b/>
        </w:rPr>
        <w:t>41,</w:t>
      </w:r>
      <w:r w:rsidR="00C12251">
        <w:rPr>
          <w:b/>
        </w:rPr>
        <w:t>06</w:t>
      </w:r>
      <w:r w:rsidR="00474A48" w:rsidRPr="00A4439D">
        <w:rPr>
          <w:b/>
        </w:rPr>
        <w:t xml:space="preserve"> %</w:t>
      </w:r>
      <w:r w:rsidR="00C6403C">
        <w:rPr>
          <w:b/>
        </w:rPr>
        <w:t xml:space="preserve">, </w:t>
      </w:r>
      <w:proofErr w:type="spellStart"/>
      <w:r w:rsidR="00C6403C" w:rsidRPr="00C6403C">
        <w:t>mezičtvrtletně</w:t>
      </w:r>
      <w:proofErr w:type="spellEnd"/>
      <w:r w:rsidR="00C6403C" w:rsidRPr="00C6403C">
        <w:t xml:space="preserve"> o </w:t>
      </w:r>
      <w:r w:rsidR="002642FE" w:rsidRPr="002642FE">
        <w:t>0,3</w:t>
      </w:r>
      <w:r w:rsidR="002642FE">
        <w:t>4</w:t>
      </w:r>
      <w:r w:rsidR="00C6403C" w:rsidRPr="00C6403C">
        <w:t xml:space="preserve"> procentního bodu</w:t>
      </w:r>
      <w:r w:rsidR="009213E9">
        <w:rPr>
          <w:b/>
        </w:rPr>
        <w:t>.</w:t>
      </w:r>
      <w:r w:rsidR="009213E9">
        <w:t xml:space="preserve"> </w:t>
      </w:r>
      <w:r w:rsidR="00C6403C">
        <w:t>Meziroční i mezičtvrtletní pokles relativní úrovně zadlužení</w:t>
      </w:r>
      <w:r w:rsidR="009213E9" w:rsidRPr="009213E9">
        <w:t xml:space="preserve"> </w:t>
      </w:r>
      <w:r w:rsidR="00C6403C">
        <w:t>je výsledkem rychlejšího růstu nominálního HDP oproti tempu růstu nominální úrovně dluhu vládních institucí.</w:t>
      </w:r>
    </w:p>
    <w:p w:rsidR="00C6403C" w:rsidRPr="00F2116F" w:rsidRDefault="00C6403C" w:rsidP="00A94B28">
      <w:pPr>
        <w:rPr>
          <w:highlight w:val="yellow"/>
        </w:rPr>
      </w:pPr>
    </w:p>
    <w:p w:rsidR="00A94B28" w:rsidRPr="00A4439D" w:rsidRDefault="00A94B28" w:rsidP="00A94B28">
      <w:pPr>
        <w:pStyle w:val="TabulkaGraf"/>
      </w:pPr>
      <w:r w:rsidRPr="00A4439D">
        <w:t xml:space="preserve">Dluh sektoru vládních institucí, Česká </w:t>
      </w:r>
      <w:proofErr w:type="gramStart"/>
      <w:r w:rsidR="00B7752A" w:rsidRPr="00A4439D">
        <w:t xml:space="preserve">republika, </w:t>
      </w:r>
      <w:r w:rsidR="00882853">
        <w:t>4</w:t>
      </w:r>
      <w:r w:rsidR="00B7752A" w:rsidRPr="00A4439D">
        <w:t>.Q 2014</w:t>
      </w:r>
      <w:proofErr w:type="gramEnd"/>
      <w:r w:rsidR="00B85D5E" w:rsidRPr="00A4439D">
        <w:t xml:space="preserve"> </w:t>
      </w:r>
      <w:r w:rsidRPr="00A4439D">
        <w:t>-</w:t>
      </w:r>
      <w:r w:rsidR="00B85D5E" w:rsidRPr="00A4439D">
        <w:t xml:space="preserve"> </w:t>
      </w:r>
      <w:r w:rsidR="00882853">
        <w:t>4</w:t>
      </w:r>
      <w:r w:rsidRPr="00A4439D">
        <w:t>.Q</w:t>
      </w:r>
      <w:r w:rsidR="00990C86" w:rsidRPr="00A4439D">
        <w:t xml:space="preserve"> </w:t>
      </w:r>
      <w:r w:rsidRPr="00A4439D">
        <w:t>2015</w:t>
      </w:r>
    </w:p>
    <w:tbl>
      <w:tblPr>
        <w:tblStyle w:val="Mkatabulky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46"/>
        <w:gridCol w:w="1109"/>
        <w:gridCol w:w="1140"/>
        <w:gridCol w:w="1134"/>
        <w:gridCol w:w="1134"/>
        <w:gridCol w:w="1134"/>
        <w:gridCol w:w="1134"/>
      </w:tblGrid>
      <w:tr w:rsidR="00882853" w:rsidTr="00FC5A6D">
        <w:tc>
          <w:tcPr>
            <w:tcW w:w="2146" w:type="dxa"/>
            <w:vMerge w:val="restart"/>
            <w:vAlign w:val="center"/>
          </w:tcPr>
          <w:p w:rsidR="00882853" w:rsidRDefault="00882853" w:rsidP="00EB154A">
            <w:pPr>
              <w:jc w:val="center"/>
            </w:pPr>
          </w:p>
        </w:tc>
        <w:tc>
          <w:tcPr>
            <w:tcW w:w="1109" w:type="dxa"/>
            <w:vMerge w:val="restart"/>
            <w:vAlign w:val="center"/>
          </w:tcPr>
          <w:p w:rsidR="00882853" w:rsidRDefault="00882853" w:rsidP="00EB154A">
            <w:pPr>
              <w:jc w:val="center"/>
            </w:pPr>
            <w:r>
              <w:t>Jednotka</w:t>
            </w:r>
          </w:p>
        </w:tc>
        <w:tc>
          <w:tcPr>
            <w:tcW w:w="1140" w:type="dxa"/>
          </w:tcPr>
          <w:p w:rsidR="00882853" w:rsidRDefault="00882853" w:rsidP="00EB154A">
            <w:pPr>
              <w:spacing w:line="240" w:lineRule="auto"/>
              <w:jc w:val="center"/>
              <w:rPr>
                <w:szCs w:val="20"/>
                <w:lang w:eastAsia="cs-CZ"/>
              </w:rPr>
            </w:pPr>
            <w:r>
              <w:t>2014</w:t>
            </w:r>
          </w:p>
        </w:tc>
        <w:tc>
          <w:tcPr>
            <w:tcW w:w="4536" w:type="dxa"/>
            <w:gridSpan w:val="4"/>
          </w:tcPr>
          <w:p w:rsidR="00882853" w:rsidRDefault="00882853" w:rsidP="00EB154A">
            <w:pPr>
              <w:jc w:val="center"/>
            </w:pPr>
            <w:r>
              <w:t>2015</w:t>
            </w:r>
          </w:p>
        </w:tc>
      </w:tr>
      <w:tr w:rsidR="00882853" w:rsidTr="00882853">
        <w:tc>
          <w:tcPr>
            <w:tcW w:w="2146" w:type="dxa"/>
            <w:vMerge/>
          </w:tcPr>
          <w:p w:rsidR="00882853" w:rsidRDefault="00882853" w:rsidP="00EB154A"/>
        </w:tc>
        <w:tc>
          <w:tcPr>
            <w:tcW w:w="1109" w:type="dxa"/>
            <w:vMerge/>
          </w:tcPr>
          <w:p w:rsidR="00882853" w:rsidRDefault="00882853" w:rsidP="00EB154A"/>
        </w:tc>
        <w:tc>
          <w:tcPr>
            <w:tcW w:w="1140" w:type="dxa"/>
          </w:tcPr>
          <w:p w:rsidR="00882853" w:rsidRDefault="00882853" w:rsidP="00EB154A">
            <w:pPr>
              <w:jc w:val="center"/>
            </w:pPr>
            <w:r>
              <w:t>4. čtvrtletí</w:t>
            </w:r>
          </w:p>
        </w:tc>
        <w:tc>
          <w:tcPr>
            <w:tcW w:w="1134" w:type="dxa"/>
          </w:tcPr>
          <w:p w:rsidR="00882853" w:rsidRDefault="00882853" w:rsidP="00EB154A">
            <w:pPr>
              <w:jc w:val="center"/>
            </w:pPr>
            <w:r>
              <w:t>1. čtvrtletí</w:t>
            </w:r>
          </w:p>
        </w:tc>
        <w:tc>
          <w:tcPr>
            <w:tcW w:w="1134" w:type="dxa"/>
          </w:tcPr>
          <w:p w:rsidR="00882853" w:rsidRDefault="00882853" w:rsidP="00EB154A">
            <w:pPr>
              <w:jc w:val="center"/>
            </w:pPr>
            <w:r>
              <w:t>2. čtvrtletí</w:t>
            </w:r>
          </w:p>
        </w:tc>
        <w:tc>
          <w:tcPr>
            <w:tcW w:w="1134" w:type="dxa"/>
          </w:tcPr>
          <w:p w:rsidR="00882853" w:rsidRDefault="00882853" w:rsidP="00EB154A">
            <w:pPr>
              <w:jc w:val="center"/>
            </w:pPr>
            <w:r>
              <w:t>3. čtvrtletí</w:t>
            </w:r>
          </w:p>
        </w:tc>
        <w:tc>
          <w:tcPr>
            <w:tcW w:w="1134" w:type="dxa"/>
          </w:tcPr>
          <w:p w:rsidR="00882853" w:rsidRDefault="00882853" w:rsidP="00EB154A">
            <w:pPr>
              <w:jc w:val="center"/>
            </w:pPr>
            <w:r>
              <w:t>4. čtvrtletí</w:t>
            </w:r>
          </w:p>
        </w:tc>
      </w:tr>
      <w:tr w:rsidR="00882853" w:rsidTr="00882853">
        <w:trPr>
          <w:trHeight w:val="56"/>
        </w:trPr>
        <w:tc>
          <w:tcPr>
            <w:tcW w:w="2146" w:type="dxa"/>
            <w:vMerge w:val="restart"/>
          </w:tcPr>
          <w:p w:rsidR="00882853" w:rsidRPr="00EE6451" w:rsidRDefault="00882853" w:rsidP="00EB154A">
            <w:pPr>
              <w:jc w:val="left"/>
            </w:pPr>
            <w:r w:rsidRPr="00EE6451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109" w:type="dxa"/>
          </w:tcPr>
          <w:p w:rsidR="00882853" w:rsidRPr="00EE6451" w:rsidRDefault="00882853" w:rsidP="00EB154A">
            <w:pPr>
              <w:jc w:val="center"/>
            </w:pPr>
            <w:r w:rsidRPr="00EE6451">
              <w:t>mil. Kč</w:t>
            </w:r>
          </w:p>
        </w:tc>
        <w:tc>
          <w:tcPr>
            <w:tcW w:w="1140" w:type="dxa"/>
            <w:vAlign w:val="center"/>
          </w:tcPr>
          <w:p w:rsidR="00882853" w:rsidRPr="00A4439D" w:rsidRDefault="00882853" w:rsidP="00662C2F">
            <w:pPr>
              <w:jc w:val="center"/>
            </w:pPr>
            <w:r w:rsidRPr="00A4439D">
              <w:t>1</w:t>
            </w:r>
            <w:r w:rsidR="00C12251">
              <w:t> 819 0</w:t>
            </w:r>
            <w:r w:rsidR="00662C2F">
              <w:t>9</w:t>
            </w:r>
            <w:r w:rsidR="00C12251">
              <w:t>8</w:t>
            </w:r>
          </w:p>
        </w:tc>
        <w:tc>
          <w:tcPr>
            <w:tcW w:w="1134" w:type="dxa"/>
            <w:vAlign w:val="center"/>
          </w:tcPr>
          <w:p w:rsidR="00882853" w:rsidRPr="00A4439D" w:rsidRDefault="00882853" w:rsidP="006A2F6D">
            <w:pPr>
              <w:jc w:val="center"/>
            </w:pPr>
            <w:r w:rsidRPr="00A4439D">
              <w:t>1</w:t>
            </w:r>
            <w:r w:rsidR="006A2F6D">
              <w:t> 835 431</w:t>
            </w:r>
          </w:p>
        </w:tc>
        <w:tc>
          <w:tcPr>
            <w:tcW w:w="1134" w:type="dxa"/>
            <w:vAlign w:val="center"/>
          </w:tcPr>
          <w:p w:rsidR="00882853" w:rsidRDefault="006A2F6D" w:rsidP="00371C68">
            <w:pPr>
              <w:jc w:val="center"/>
            </w:pPr>
            <w:r>
              <w:t>1 827 980</w:t>
            </w:r>
          </w:p>
        </w:tc>
        <w:tc>
          <w:tcPr>
            <w:tcW w:w="1134" w:type="dxa"/>
            <w:vAlign w:val="center"/>
          </w:tcPr>
          <w:p w:rsidR="00882853" w:rsidRDefault="006A2F6D" w:rsidP="00371C68">
            <w:pPr>
              <w:jc w:val="center"/>
            </w:pPr>
            <w:r>
              <w:t>1 829 039</w:t>
            </w:r>
          </w:p>
        </w:tc>
        <w:tc>
          <w:tcPr>
            <w:tcW w:w="1134" w:type="dxa"/>
          </w:tcPr>
          <w:p w:rsidR="00882853" w:rsidRDefault="00C12251" w:rsidP="00371C68">
            <w:pPr>
              <w:jc w:val="center"/>
            </w:pPr>
            <w:r>
              <w:t>1 836 166</w:t>
            </w:r>
          </w:p>
        </w:tc>
      </w:tr>
      <w:tr w:rsidR="00882853" w:rsidTr="00C12251">
        <w:trPr>
          <w:trHeight w:val="53"/>
        </w:trPr>
        <w:tc>
          <w:tcPr>
            <w:tcW w:w="2146" w:type="dxa"/>
            <w:vMerge/>
          </w:tcPr>
          <w:p w:rsidR="00882853" w:rsidRPr="00EE6451" w:rsidRDefault="00882853" w:rsidP="00EB154A"/>
        </w:tc>
        <w:tc>
          <w:tcPr>
            <w:tcW w:w="1109" w:type="dxa"/>
          </w:tcPr>
          <w:p w:rsidR="00882853" w:rsidRPr="00EE6451" w:rsidRDefault="00882853" w:rsidP="00EB154A">
            <w:pPr>
              <w:jc w:val="center"/>
            </w:pPr>
            <w:r w:rsidRPr="00EE6451">
              <w:t>% (HDP)</w:t>
            </w:r>
          </w:p>
        </w:tc>
        <w:tc>
          <w:tcPr>
            <w:tcW w:w="1140" w:type="dxa"/>
            <w:vAlign w:val="center"/>
          </w:tcPr>
          <w:p w:rsidR="00882853" w:rsidRPr="00A4439D" w:rsidRDefault="00882853" w:rsidP="00C12251">
            <w:pPr>
              <w:jc w:val="center"/>
            </w:pPr>
            <w:r>
              <w:t>42,</w:t>
            </w:r>
            <w:r w:rsidR="00C12251">
              <w:t>69</w:t>
            </w:r>
          </w:p>
        </w:tc>
        <w:tc>
          <w:tcPr>
            <w:tcW w:w="1134" w:type="dxa"/>
            <w:vAlign w:val="center"/>
          </w:tcPr>
          <w:p w:rsidR="00882853" w:rsidRPr="00A4439D" w:rsidRDefault="00882853" w:rsidP="002642FE">
            <w:pPr>
              <w:jc w:val="center"/>
            </w:pPr>
            <w:r>
              <w:t>42,5</w:t>
            </w:r>
            <w:r w:rsidR="002642FE">
              <w:t>6</w:t>
            </w:r>
          </w:p>
        </w:tc>
        <w:tc>
          <w:tcPr>
            <w:tcW w:w="1134" w:type="dxa"/>
            <w:vAlign w:val="center"/>
          </w:tcPr>
          <w:p w:rsidR="00882853" w:rsidRDefault="00882853" w:rsidP="002642FE">
            <w:pPr>
              <w:jc w:val="center"/>
            </w:pPr>
            <w:r>
              <w:t>41,8</w:t>
            </w:r>
            <w:r w:rsidR="002642FE">
              <w:t>5</w:t>
            </w:r>
          </w:p>
        </w:tc>
        <w:tc>
          <w:tcPr>
            <w:tcW w:w="1134" w:type="dxa"/>
            <w:vAlign w:val="center"/>
          </w:tcPr>
          <w:p w:rsidR="00882853" w:rsidRDefault="00882853" w:rsidP="002642FE">
            <w:pPr>
              <w:jc w:val="center"/>
            </w:pPr>
            <w:r>
              <w:t>41,4</w:t>
            </w:r>
            <w:r w:rsidR="002642FE">
              <w:t>0</w:t>
            </w:r>
          </w:p>
        </w:tc>
        <w:tc>
          <w:tcPr>
            <w:tcW w:w="1134" w:type="dxa"/>
            <w:vAlign w:val="center"/>
          </w:tcPr>
          <w:p w:rsidR="00882853" w:rsidRDefault="00C12251" w:rsidP="00C12251">
            <w:pPr>
              <w:jc w:val="center"/>
            </w:pPr>
            <w:r>
              <w:t>41,06</w:t>
            </w:r>
          </w:p>
        </w:tc>
      </w:tr>
    </w:tbl>
    <w:p w:rsidR="00EE6451" w:rsidRDefault="00EE6451" w:rsidP="00EE6451">
      <w:pPr>
        <w:rPr>
          <w:highlight w:val="yellow"/>
        </w:rPr>
      </w:pPr>
    </w:p>
    <w:p w:rsidR="00546A7F" w:rsidRDefault="00712924" w:rsidP="00A94B28">
      <w:r w:rsidRPr="00A4439D">
        <w:t xml:space="preserve">Podíl jednotlivých instrumentů na celkovém dluhu zůstává na stabilní úrovni s dominantním </w:t>
      </w:r>
      <w:r w:rsidR="0057429D" w:rsidRPr="00A4439D">
        <w:t>zastoupením</w:t>
      </w:r>
      <w:r w:rsidRPr="00A4439D">
        <w:t xml:space="preserve"> dluhových cenných papírů (kolem 90 %).</w:t>
      </w:r>
    </w:p>
    <w:p w:rsidR="00756185" w:rsidRDefault="00756185" w:rsidP="00A94B28"/>
    <w:p w:rsidR="0005106B" w:rsidRDefault="00756185" w:rsidP="00A94B28">
      <w:r>
        <w:t>Údaje metodicky odpovídají údajům reportovaným v rámci notifikací deficitu a dluhu vládních institucí</w:t>
      </w:r>
      <w:r w:rsidR="00246947">
        <w:t xml:space="preserve">. Oproti údajům notifikovaným v září loňského roku fiskální indikátory nově </w:t>
      </w:r>
      <w:r w:rsidR="00365C68">
        <w:t xml:space="preserve">zahrnují </w:t>
      </w:r>
      <w:r w:rsidR="00365C68">
        <w:lastRenderedPageBreak/>
        <w:t xml:space="preserve">zejména </w:t>
      </w:r>
      <w:r w:rsidR="00246947">
        <w:t xml:space="preserve">ekonomické ukazatele za </w:t>
      </w:r>
      <w:r w:rsidR="005A1F46">
        <w:t>veřejnoprávní</w:t>
      </w:r>
      <w:r w:rsidR="00246947">
        <w:t xml:space="preserve"> média, jež byly v souladu s novým metodickým pojetím </w:t>
      </w:r>
      <w:r w:rsidR="005A1F46">
        <w:t xml:space="preserve">v Manuálu na deficit a dluh </w:t>
      </w:r>
      <w:r w:rsidR="00246947">
        <w:t>zahrnuty do sektoru vládních institucí. Bližší informace o změnách ve vymezení vládního sektoru</w:t>
      </w:r>
      <w:r w:rsidR="007E1BC6">
        <w:t xml:space="preserve"> pro účely EDP a následně</w:t>
      </w:r>
      <w:r w:rsidR="00246947">
        <w:t xml:space="preserve"> </w:t>
      </w:r>
      <w:r w:rsidR="007E1BC6">
        <w:t xml:space="preserve">promítnutých také ve čtvrtletních vládních účtech </w:t>
      </w:r>
      <w:r w:rsidR="00246947">
        <w:t xml:space="preserve">lze nalézt na stránkách ČSÚ </w:t>
      </w:r>
      <w:r w:rsidR="005A1F46">
        <w:t xml:space="preserve">pod záložkou „Databáze, registry“ </w:t>
      </w:r>
      <w:r w:rsidR="00246947">
        <w:t>v sekci „Registr ekonomických subjektů“.</w:t>
      </w:r>
    </w:p>
    <w:p w:rsidR="00307816" w:rsidRDefault="00307816" w:rsidP="00307816">
      <w:pPr>
        <w:rPr>
          <w:rFonts w:cs="Arial"/>
          <w:szCs w:val="20"/>
        </w:rPr>
      </w:pPr>
    </w:p>
    <w:p w:rsidR="00E83E6D" w:rsidRDefault="00E83E6D" w:rsidP="00A94B28"/>
    <w:p w:rsidR="0005106B" w:rsidRDefault="0064756E" w:rsidP="00A94B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58FB7">
                <wp:simplePos x="0" y="0"/>
                <wp:positionH relativeFrom="column">
                  <wp:posOffset>829310</wp:posOffset>
                </wp:positionH>
                <wp:positionV relativeFrom="paragraph">
                  <wp:posOffset>39370</wp:posOffset>
                </wp:positionV>
                <wp:extent cx="3841750" cy="0"/>
                <wp:effectExtent l="10160" t="10795" r="5715" b="825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5.3pt;margin-top:3.1pt;width:3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em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"/>
            </w:pict>
          </mc:Fallback>
        </mc:AlternateContent>
      </w:r>
    </w:p>
    <w:p w:rsidR="0005106B" w:rsidRDefault="0005106B" w:rsidP="00A94B28"/>
    <w:p w:rsidR="008F7147" w:rsidRDefault="00546A7F" w:rsidP="00043BF4">
      <w:r>
        <w:t>Indikátory salda</w:t>
      </w:r>
      <w:r w:rsidR="0005106B">
        <w:t xml:space="preserve"> hospodaření a dluh</w:t>
      </w:r>
      <w:r>
        <w:t>u</w:t>
      </w:r>
      <w:r w:rsidR="0005106B">
        <w:t xml:space="preserve"> vládních institucí jsou založeny na akruálním principu požadovan</w:t>
      </w:r>
      <w:r w:rsidR="00635BB1">
        <w:t>é</w:t>
      </w:r>
      <w:r w:rsidR="0005106B">
        <w:t>m metodikou ESA2010 a Manuálem</w:t>
      </w:r>
      <w:r w:rsidR="008F7147">
        <w:t xml:space="preserve"> k deficitu a dluhu</w:t>
      </w:r>
      <w:r w:rsidR="0005106B">
        <w:t xml:space="preserve">. </w:t>
      </w:r>
      <w:r w:rsidR="00BB2C9A">
        <w:t xml:space="preserve">Dle akruálního principu </w:t>
      </w:r>
      <w:r w:rsidR="00705916">
        <w:t xml:space="preserve">jsou příjmy a výdaje </w:t>
      </w:r>
      <w:r w:rsidR="00BB2C9A">
        <w:t>přiřazen</w:t>
      </w:r>
      <w:r w:rsidR="00705916">
        <w:t>y</w:t>
      </w:r>
      <w:r w:rsidR="00BB2C9A">
        <w:t xml:space="preserve"> období, se kterým věcně souvisí, </w:t>
      </w:r>
      <w:r w:rsidR="00705916">
        <w:t>bez ohledu na období uskutečnění hotovostního toku</w:t>
      </w:r>
      <w:r w:rsidR="00BB2C9A">
        <w:t xml:space="preserve">. </w:t>
      </w:r>
      <w:r w:rsidR="00506867" w:rsidRPr="00506867">
        <w:rPr>
          <w:rFonts w:cs="Arial"/>
          <w:szCs w:val="20"/>
        </w:rPr>
        <w:t>Přebytek/deficit vládních institucí</w:t>
      </w:r>
      <w:r w:rsidR="00506867" w:rsidRPr="00E155B6">
        <w:rPr>
          <w:rFonts w:cs="Arial"/>
          <w:szCs w:val="20"/>
        </w:rPr>
        <w:t xml:space="preserve"> </w:t>
      </w:r>
      <w:r w:rsidR="00506867">
        <w:rPr>
          <w:rFonts w:cs="Arial"/>
          <w:szCs w:val="20"/>
        </w:rPr>
        <w:t>představuje výši</w:t>
      </w:r>
      <w:r w:rsidR="00506867" w:rsidRPr="00E155B6">
        <w:rPr>
          <w:rFonts w:cs="Arial"/>
          <w:szCs w:val="20"/>
        </w:rPr>
        <w:t xml:space="preserve"> čistých půjček (+) nebo výpůjček (-) v systému národního účetnictví. </w:t>
      </w:r>
      <w:r w:rsidR="0005106B">
        <w:t xml:space="preserve">Uvedené údaje jsou v metodickém souladu s údaji sloužícími pro účely EDP a pro hodnocení plnění maastrichtských kritérií. </w:t>
      </w:r>
    </w:p>
    <w:p w:rsidR="00307816" w:rsidRDefault="0005106B" w:rsidP="00043BF4">
      <w:r>
        <w:t xml:space="preserve">Saldo hospodaření v daném čtvrtletí je porovnáno s výší HDP </w:t>
      </w:r>
      <w:r w:rsidR="00C3546B">
        <w:t xml:space="preserve">v daném čtvrtletí </w:t>
      </w:r>
      <w:r>
        <w:t xml:space="preserve">v běžných cenách. Výše </w:t>
      </w:r>
      <w:r w:rsidR="00712924">
        <w:t xml:space="preserve">konsolidovaného </w:t>
      </w:r>
      <w:r>
        <w:t>dluhu vládních institucí</w:t>
      </w:r>
      <w:r w:rsidR="00712924">
        <w:t xml:space="preserve"> definovaného jako</w:t>
      </w:r>
      <w:r>
        <w:t xml:space="preserve"> </w:t>
      </w:r>
      <w:r w:rsidR="00712924">
        <w:t>součet položek Vklady a oběživo, Dluhové cenné papíry a</w:t>
      </w:r>
      <w:r w:rsidR="00F75711">
        <w:t xml:space="preserve"> </w:t>
      </w:r>
      <w:r w:rsidR="00712924">
        <w:t xml:space="preserve">Půjčky, </w:t>
      </w:r>
      <w:r>
        <w:t xml:space="preserve">je porovnána s výší HDP, jež je součtem HDP v běžných cenách za poslední čtyři čtvrtletí. </w:t>
      </w:r>
      <w:r w:rsidR="00A12EB7">
        <w:t>Údaje o saldu hospodaření a dluhu vládních institucí jsou součástí tabulek Transmisního programu (tabulka 25 a tabulka 2</w:t>
      </w:r>
      <w:r w:rsidR="00545931">
        <w:t>8</w:t>
      </w:r>
      <w:r w:rsidR="00A12EB7">
        <w:t>) publikovaných na stránkách ČSÚ</w:t>
      </w:r>
      <w:r w:rsidR="00AE305A">
        <w:t xml:space="preserve"> v sekci „HDP, </w:t>
      </w:r>
      <w:r w:rsidR="00AD1D04">
        <w:t>N</w:t>
      </w:r>
      <w:r w:rsidR="00990C86">
        <w:t>árodní účty“</w:t>
      </w:r>
      <w:r w:rsidR="00307816">
        <w:t>.</w:t>
      </w:r>
    </w:p>
    <w:p w:rsidR="00A94B28" w:rsidRDefault="00990C86" w:rsidP="00043BF4">
      <w:r>
        <w:t>(</w:t>
      </w:r>
      <w:hyperlink r:id="rId9" w:history="1">
        <w:r w:rsidRPr="00990C86">
          <w:rPr>
            <w:rStyle w:val="Hypertextovodkaz"/>
            <w:i/>
          </w:rPr>
          <w:t>http://apl.czso.cz/pll/rocenka/rocenka.indexnu_gov</w:t>
        </w:r>
      </w:hyperlink>
      <w:r>
        <w:t>)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225098" w:rsidRDefault="00EA2DE9" w:rsidP="00EA2DE9">
      <w:pPr>
        <w:rPr>
          <w:rStyle w:val="Hypertextovodkaz"/>
          <w:i/>
          <w:iCs/>
        </w:rPr>
      </w:pPr>
      <w:r w:rsidRPr="00F665DC">
        <w:rPr>
          <w:i/>
          <w:iCs/>
        </w:rPr>
        <w:t xml:space="preserve">Zodpovědný vedoucí pracovník ČSÚ: </w:t>
      </w:r>
      <w:r>
        <w:rPr>
          <w:i/>
          <w:iCs/>
        </w:rPr>
        <w:t>Ing. Václav Rybáček, Ph.D.</w:t>
      </w:r>
      <w:r w:rsidRPr="00F665DC">
        <w:rPr>
          <w:i/>
          <w:iCs/>
        </w:rPr>
        <w:t>, tel.: 274052</w:t>
      </w:r>
      <w:r>
        <w:rPr>
          <w:i/>
          <w:iCs/>
        </w:rPr>
        <w:t>5</w:t>
      </w:r>
      <w:r w:rsidRPr="00F665DC">
        <w:rPr>
          <w:i/>
          <w:iCs/>
        </w:rPr>
        <w:t>9</w:t>
      </w:r>
      <w:r>
        <w:rPr>
          <w:i/>
          <w:iCs/>
        </w:rPr>
        <w:t>6</w:t>
      </w:r>
      <w:r w:rsidRPr="00F665DC">
        <w:rPr>
          <w:i/>
          <w:iCs/>
        </w:rPr>
        <w:t xml:space="preserve">, e-mail: </w:t>
      </w:r>
      <w:hyperlink r:id="rId10" w:history="1">
        <w:r w:rsidRPr="000249DE">
          <w:rPr>
            <w:rStyle w:val="Hypertextovodkaz"/>
            <w:i/>
            <w:iCs/>
          </w:rPr>
          <w:t>vaclav.rybacek@czso.cz</w:t>
        </w:r>
      </w:hyperlink>
    </w:p>
    <w:p w:rsidR="00EA2DE9" w:rsidRPr="00F665DC" w:rsidRDefault="00225098" w:rsidP="00EA2DE9">
      <w:r w:rsidRPr="00F665DC">
        <w:rPr>
          <w:i/>
          <w:iCs/>
        </w:rPr>
        <w:t xml:space="preserve">Kontaktní osoba: </w:t>
      </w:r>
      <w:r>
        <w:rPr>
          <w:i/>
          <w:iCs/>
        </w:rPr>
        <w:t>Ing. Marie Trejbalová</w:t>
      </w:r>
      <w:r w:rsidRPr="00F665DC">
        <w:rPr>
          <w:i/>
          <w:iCs/>
        </w:rPr>
        <w:t>, tel.: 27405</w:t>
      </w:r>
      <w:r>
        <w:rPr>
          <w:i/>
          <w:iCs/>
        </w:rPr>
        <w:t>2706</w:t>
      </w:r>
      <w:r w:rsidRPr="00F665DC">
        <w:rPr>
          <w:i/>
          <w:iCs/>
        </w:rPr>
        <w:t xml:space="preserve">, e-mail: </w:t>
      </w:r>
      <w:hyperlink r:id="rId11" w:history="1">
        <w:r w:rsidRPr="000249DE">
          <w:rPr>
            <w:rStyle w:val="Hypertextovodkaz"/>
            <w:i/>
            <w:iCs/>
          </w:rPr>
          <w:t>marie.trejbalova@czso.cz</w:t>
        </w:r>
      </w:hyperlink>
      <w:r w:rsidR="00EA2DE9" w:rsidRPr="00F665DC">
        <w:br/>
      </w:r>
      <w:r w:rsidR="00EA2DE9" w:rsidRPr="00F665DC">
        <w:rPr>
          <w:i/>
          <w:iCs/>
        </w:rPr>
        <w:t xml:space="preserve">Termín zveřejnění další RI: </w:t>
      </w:r>
      <w:proofErr w:type="gramStart"/>
      <w:r w:rsidR="00C61A5C">
        <w:rPr>
          <w:i/>
          <w:iCs/>
        </w:rPr>
        <w:t>0</w:t>
      </w:r>
      <w:r w:rsidR="00882853">
        <w:rPr>
          <w:i/>
          <w:iCs/>
        </w:rPr>
        <w:t>4</w:t>
      </w:r>
      <w:r w:rsidR="00017C85">
        <w:rPr>
          <w:i/>
          <w:iCs/>
        </w:rPr>
        <w:t>.0</w:t>
      </w:r>
      <w:r w:rsidR="00882853">
        <w:rPr>
          <w:i/>
          <w:iCs/>
        </w:rPr>
        <w:t>7</w:t>
      </w:r>
      <w:r w:rsidR="00017C85">
        <w:rPr>
          <w:i/>
          <w:iCs/>
        </w:rPr>
        <w:t>.2016</w:t>
      </w:r>
      <w:proofErr w:type="gramEnd"/>
    </w:p>
    <w:p w:rsidR="00EA2DE9" w:rsidRPr="00EA2DE9" w:rsidRDefault="00EA2DE9" w:rsidP="00EA2DE9"/>
    <w:sectPr w:rsidR="00EA2DE9" w:rsidRPr="00EA2DE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09" w:rsidRDefault="00AB7909" w:rsidP="00BA6370">
      <w:r>
        <w:separator/>
      </w:r>
    </w:p>
  </w:endnote>
  <w:endnote w:type="continuationSeparator" w:id="0">
    <w:p w:rsidR="00AB7909" w:rsidRDefault="00AB790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14" w:rsidRDefault="0065571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E2ED39" wp14:editId="78B3534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5714" w:rsidRPr="001404AB" w:rsidRDefault="0065571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655714" w:rsidRPr="00A81EB3" w:rsidRDefault="0065571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0116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655714" w:rsidRPr="001404AB" w:rsidRDefault="0065571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655714" w:rsidRPr="00A81EB3" w:rsidRDefault="0065571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0116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28EFE79" wp14:editId="12C531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09" w:rsidRDefault="00AB7909" w:rsidP="00BA6370">
      <w:r>
        <w:separator/>
      </w:r>
    </w:p>
  </w:footnote>
  <w:footnote w:type="continuationSeparator" w:id="0">
    <w:p w:rsidR="00AB7909" w:rsidRDefault="00AB790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14" w:rsidRDefault="0065571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3706B4" wp14:editId="6D08FD1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2FB8"/>
    <w:multiLevelType w:val="hybridMultilevel"/>
    <w:tmpl w:val="9F528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54A"/>
    <w:multiLevelType w:val="hybridMultilevel"/>
    <w:tmpl w:val="94B0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6"/>
    <w:rsid w:val="00017C85"/>
    <w:rsid w:val="00024DDA"/>
    <w:rsid w:val="00031874"/>
    <w:rsid w:val="00043BF4"/>
    <w:rsid w:val="0005106B"/>
    <w:rsid w:val="0006346F"/>
    <w:rsid w:val="000843A5"/>
    <w:rsid w:val="000910DA"/>
    <w:rsid w:val="00096D6C"/>
    <w:rsid w:val="000A18CB"/>
    <w:rsid w:val="000B6F63"/>
    <w:rsid w:val="000D093F"/>
    <w:rsid w:val="000E43CC"/>
    <w:rsid w:val="001404AB"/>
    <w:rsid w:val="0017231D"/>
    <w:rsid w:val="001810DC"/>
    <w:rsid w:val="001A18BB"/>
    <w:rsid w:val="001B607F"/>
    <w:rsid w:val="001D05FA"/>
    <w:rsid w:val="001D369A"/>
    <w:rsid w:val="001F08B3"/>
    <w:rsid w:val="001F2FE0"/>
    <w:rsid w:val="00200854"/>
    <w:rsid w:val="002044A2"/>
    <w:rsid w:val="002070FB"/>
    <w:rsid w:val="00213729"/>
    <w:rsid w:val="00225098"/>
    <w:rsid w:val="002406FA"/>
    <w:rsid w:val="00246947"/>
    <w:rsid w:val="0026107B"/>
    <w:rsid w:val="002642FE"/>
    <w:rsid w:val="00281B97"/>
    <w:rsid w:val="00284B28"/>
    <w:rsid w:val="002B2E47"/>
    <w:rsid w:val="00300C84"/>
    <w:rsid w:val="00304176"/>
    <w:rsid w:val="00307816"/>
    <w:rsid w:val="003301A3"/>
    <w:rsid w:val="0036141C"/>
    <w:rsid w:val="00365C68"/>
    <w:rsid w:val="0036777B"/>
    <w:rsid w:val="00371C68"/>
    <w:rsid w:val="003764B7"/>
    <w:rsid w:val="00381CD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3482A"/>
    <w:rsid w:val="004436EE"/>
    <w:rsid w:val="0045547F"/>
    <w:rsid w:val="00471DEF"/>
    <w:rsid w:val="00474A48"/>
    <w:rsid w:val="004903EE"/>
    <w:rsid w:val="004920AD"/>
    <w:rsid w:val="004D05B3"/>
    <w:rsid w:val="004D7CFA"/>
    <w:rsid w:val="004E479E"/>
    <w:rsid w:val="004F686C"/>
    <w:rsid w:val="004F78E6"/>
    <w:rsid w:val="0050420E"/>
    <w:rsid w:val="00506867"/>
    <w:rsid w:val="00512D99"/>
    <w:rsid w:val="00531DBB"/>
    <w:rsid w:val="005415CC"/>
    <w:rsid w:val="00545931"/>
    <w:rsid w:val="00546A7F"/>
    <w:rsid w:val="00550144"/>
    <w:rsid w:val="005543FD"/>
    <w:rsid w:val="00573994"/>
    <w:rsid w:val="0057429D"/>
    <w:rsid w:val="005A1F46"/>
    <w:rsid w:val="005B0489"/>
    <w:rsid w:val="005E3031"/>
    <w:rsid w:val="005E307B"/>
    <w:rsid w:val="005F0EFC"/>
    <w:rsid w:val="005F79FB"/>
    <w:rsid w:val="00604406"/>
    <w:rsid w:val="00605F4A"/>
    <w:rsid w:val="00607822"/>
    <w:rsid w:val="006103AA"/>
    <w:rsid w:val="00613BBF"/>
    <w:rsid w:val="0062059D"/>
    <w:rsid w:val="00622B80"/>
    <w:rsid w:val="00635BB1"/>
    <w:rsid w:val="0064139A"/>
    <w:rsid w:val="0064756E"/>
    <w:rsid w:val="00655714"/>
    <w:rsid w:val="00662C2F"/>
    <w:rsid w:val="006931CF"/>
    <w:rsid w:val="006A13BC"/>
    <w:rsid w:val="006A2F6D"/>
    <w:rsid w:val="006A5493"/>
    <w:rsid w:val="006E024F"/>
    <w:rsid w:val="006E0F49"/>
    <w:rsid w:val="006E4E81"/>
    <w:rsid w:val="00705916"/>
    <w:rsid w:val="00707F7D"/>
    <w:rsid w:val="00712924"/>
    <w:rsid w:val="00717EC5"/>
    <w:rsid w:val="00723FB9"/>
    <w:rsid w:val="00724C0F"/>
    <w:rsid w:val="00754C20"/>
    <w:rsid w:val="00756185"/>
    <w:rsid w:val="0079545B"/>
    <w:rsid w:val="007A2048"/>
    <w:rsid w:val="007A3C85"/>
    <w:rsid w:val="007A57F2"/>
    <w:rsid w:val="007B1333"/>
    <w:rsid w:val="007E1BC6"/>
    <w:rsid w:val="007F4AEB"/>
    <w:rsid w:val="007F75B2"/>
    <w:rsid w:val="00801166"/>
    <w:rsid w:val="00803993"/>
    <w:rsid w:val="008043C4"/>
    <w:rsid w:val="00831B1B"/>
    <w:rsid w:val="00855FB3"/>
    <w:rsid w:val="00861D0E"/>
    <w:rsid w:val="008662BB"/>
    <w:rsid w:val="00867569"/>
    <w:rsid w:val="00882853"/>
    <w:rsid w:val="00885B92"/>
    <w:rsid w:val="00896A5E"/>
    <w:rsid w:val="008A750A"/>
    <w:rsid w:val="008B3970"/>
    <w:rsid w:val="008B4A06"/>
    <w:rsid w:val="008C384C"/>
    <w:rsid w:val="008C7469"/>
    <w:rsid w:val="008D0F11"/>
    <w:rsid w:val="008D7FDA"/>
    <w:rsid w:val="008F1129"/>
    <w:rsid w:val="008F7147"/>
    <w:rsid w:val="008F73B4"/>
    <w:rsid w:val="009213E9"/>
    <w:rsid w:val="00927342"/>
    <w:rsid w:val="009409E8"/>
    <w:rsid w:val="00982522"/>
    <w:rsid w:val="00986DD7"/>
    <w:rsid w:val="009871E9"/>
    <w:rsid w:val="00990C86"/>
    <w:rsid w:val="009B026E"/>
    <w:rsid w:val="009B55B1"/>
    <w:rsid w:val="009C5A98"/>
    <w:rsid w:val="009F3061"/>
    <w:rsid w:val="009F3F02"/>
    <w:rsid w:val="00A070B9"/>
    <w:rsid w:val="00A0762A"/>
    <w:rsid w:val="00A12EB7"/>
    <w:rsid w:val="00A4343D"/>
    <w:rsid w:val="00A4439D"/>
    <w:rsid w:val="00A502F1"/>
    <w:rsid w:val="00A70A83"/>
    <w:rsid w:val="00A81EB3"/>
    <w:rsid w:val="00A86C04"/>
    <w:rsid w:val="00A94B28"/>
    <w:rsid w:val="00AB3410"/>
    <w:rsid w:val="00AB7909"/>
    <w:rsid w:val="00AD1D04"/>
    <w:rsid w:val="00AD5011"/>
    <w:rsid w:val="00AE305A"/>
    <w:rsid w:val="00B00C1D"/>
    <w:rsid w:val="00B02827"/>
    <w:rsid w:val="00B22DEC"/>
    <w:rsid w:val="00B244F5"/>
    <w:rsid w:val="00B37B7E"/>
    <w:rsid w:val="00B55375"/>
    <w:rsid w:val="00B56382"/>
    <w:rsid w:val="00B632CC"/>
    <w:rsid w:val="00B733DF"/>
    <w:rsid w:val="00B74074"/>
    <w:rsid w:val="00B75B0D"/>
    <w:rsid w:val="00B7682C"/>
    <w:rsid w:val="00B7752A"/>
    <w:rsid w:val="00B85D5E"/>
    <w:rsid w:val="00BA12F1"/>
    <w:rsid w:val="00BA439F"/>
    <w:rsid w:val="00BA6370"/>
    <w:rsid w:val="00BB2C9A"/>
    <w:rsid w:val="00BF02C9"/>
    <w:rsid w:val="00C12251"/>
    <w:rsid w:val="00C135E6"/>
    <w:rsid w:val="00C269D4"/>
    <w:rsid w:val="00C3546B"/>
    <w:rsid w:val="00C37ADB"/>
    <w:rsid w:val="00C4160D"/>
    <w:rsid w:val="00C56192"/>
    <w:rsid w:val="00C61A5C"/>
    <w:rsid w:val="00C6403C"/>
    <w:rsid w:val="00C65A6E"/>
    <w:rsid w:val="00C8406E"/>
    <w:rsid w:val="00CB2709"/>
    <w:rsid w:val="00CB6F89"/>
    <w:rsid w:val="00CC0AE9"/>
    <w:rsid w:val="00CC6422"/>
    <w:rsid w:val="00CE228C"/>
    <w:rsid w:val="00CE71D9"/>
    <w:rsid w:val="00CF545B"/>
    <w:rsid w:val="00D208F1"/>
    <w:rsid w:val="00D209A7"/>
    <w:rsid w:val="00D210B0"/>
    <w:rsid w:val="00D27D69"/>
    <w:rsid w:val="00D33658"/>
    <w:rsid w:val="00D448C2"/>
    <w:rsid w:val="00D4651F"/>
    <w:rsid w:val="00D50605"/>
    <w:rsid w:val="00D666C3"/>
    <w:rsid w:val="00D77E69"/>
    <w:rsid w:val="00D9189F"/>
    <w:rsid w:val="00DF1723"/>
    <w:rsid w:val="00DF47FE"/>
    <w:rsid w:val="00E0156A"/>
    <w:rsid w:val="00E26704"/>
    <w:rsid w:val="00E27268"/>
    <w:rsid w:val="00E31980"/>
    <w:rsid w:val="00E41ECD"/>
    <w:rsid w:val="00E6423C"/>
    <w:rsid w:val="00E83E6D"/>
    <w:rsid w:val="00E93830"/>
    <w:rsid w:val="00E93E0E"/>
    <w:rsid w:val="00EA2DE9"/>
    <w:rsid w:val="00EB1ED3"/>
    <w:rsid w:val="00EB44BC"/>
    <w:rsid w:val="00EE06E6"/>
    <w:rsid w:val="00EE6451"/>
    <w:rsid w:val="00F037ED"/>
    <w:rsid w:val="00F2116F"/>
    <w:rsid w:val="00F75711"/>
    <w:rsid w:val="00F75F2A"/>
    <w:rsid w:val="00F93934"/>
    <w:rsid w:val="00FB1DDD"/>
    <w:rsid w:val="00FB687C"/>
    <w:rsid w:val="00FF15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e.trejbalova@czs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clav.rybac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.czso.cz/pll/rocenka/rocenka.indexnu_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5157-DFA1-4F25-9810-8F677A7A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Václav Rybáček</cp:lastModifiedBy>
  <cp:revision>3</cp:revision>
  <cp:lastPrinted>2015-06-30T05:58:00Z</cp:lastPrinted>
  <dcterms:created xsi:type="dcterms:W3CDTF">2016-03-30T20:31:00Z</dcterms:created>
  <dcterms:modified xsi:type="dcterms:W3CDTF">2016-03-31T07:04:00Z</dcterms:modified>
</cp:coreProperties>
</file>